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64B" w:rsidRPr="00410E4D" w:rsidRDefault="0067764B" w:rsidP="0067764B">
      <w:pPr>
        <w:spacing w:line="360" w:lineRule="auto"/>
        <w:jc w:val="center"/>
        <w:rPr>
          <w:rFonts w:ascii="Verdana" w:hAnsi="Verdana" w:cs="Arial"/>
          <w:b/>
        </w:rPr>
      </w:pPr>
      <w:bookmarkStart w:id="0" w:name="_GoBack"/>
      <w:bookmarkEnd w:id="0"/>
    </w:p>
    <w:p w:rsidR="0067764B" w:rsidRPr="00410E4D" w:rsidRDefault="0067764B" w:rsidP="0067764B">
      <w:pPr>
        <w:spacing w:line="360" w:lineRule="auto"/>
        <w:jc w:val="center"/>
        <w:rPr>
          <w:rFonts w:ascii="Verdana" w:hAnsi="Verdana" w:cs="Arial"/>
          <w:b/>
        </w:rPr>
      </w:pPr>
    </w:p>
    <w:p w:rsidR="0067764B" w:rsidRPr="00410E4D" w:rsidRDefault="0067764B" w:rsidP="0067764B">
      <w:pPr>
        <w:spacing w:line="360" w:lineRule="auto"/>
        <w:jc w:val="center"/>
        <w:rPr>
          <w:rFonts w:ascii="Verdana" w:hAnsi="Verdana" w:cs="Arial"/>
          <w:b/>
        </w:rPr>
      </w:pPr>
    </w:p>
    <w:p w:rsidR="0067764B" w:rsidRPr="00410E4D" w:rsidRDefault="0067764B" w:rsidP="0067764B">
      <w:pPr>
        <w:spacing w:line="360" w:lineRule="auto"/>
        <w:jc w:val="center"/>
        <w:rPr>
          <w:rFonts w:ascii="Verdana" w:hAnsi="Verdana" w:cs="Arial"/>
          <w:b/>
        </w:rPr>
      </w:pPr>
    </w:p>
    <w:p w:rsidR="0067764B" w:rsidRPr="00410E4D" w:rsidRDefault="0067764B" w:rsidP="0067764B">
      <w:pPr>
        <w:spacing w:line="360" w:lineRule="auto"/>
        <w:jc w:val="center"/>
        <w:rPr>
          <w:rFonts w:ascii="Verdana" w:hAnsi="Verdana" w:cs="Arial"/>
          <w:b/>
        </w:rPr>
      </w:pPr>
    </w:p>
    <w:p w:rsidR="0067764B" w:rsidRPr="00410E4D" w:rsidRDefault="0067764B" w:rsidP="0067764B">
      <w:pPr>
        <w:spacing w:line="360" w:lineRule="auto"/>
        <w:jc w:val="center"/>
        <w:rPr>
          <w:rFonts w:ascii="Verdana" w:hAnsi="Verdana"/>
          <w:b/>
        </w:rPr>
      </w:pPr>
      <w:r w:rsidRPr="00410E4D">
        <w:rPr>
          <w:rFonts w:ascii="Verdana" w:hAnsi="Verdana" w:cs="Arial"/>
          <w:b/>
        </w:rPr>
        <w:t xml:space="preserve">Measuring the </w:t>
      </w:r>
      <w:r w:rsidR="00FB1D39" w:rsidRPr="00410E4D">
        <w:rPr>
          <w:rFonts w:ascii="Verdana" w:hAnsi="Verdana" w:cs="Arial"/>
          <w:b/>
        </w:rPr>
        <w:t xml:space="preserve">musculoskeletal </w:t>
      </w:r>
      <w:r w:rsidRPr="00410E4D">
        <w:rPr>
          <w:rFonts w:ascii="Verdana" w:hAnsi="Verdana" w:cs="Arial"/>
          <w:b/>
        </w:rPr>
        <w:t>aging phenotype</w:t>
      </w:r>
    </w:p>
    <w:p w:rsidR="0067764B" w:rsidRPr="00410E4D" w:rsidRDefault="0067764B" w:rsidP="0067764B">
      <w:pPr>
        <w:spacing w:line="360" w:lineRule="auto"/>
        <w:jc w:val="center"/>
        <w:rPr>
          <w:rFonts w:ascii="Verdana" w:hAnsi="Verdana"/>
          <w:b/>
        </w:rPr>
      </w:pPr>
      <w:r w:rsidRPr="00410E4D">
        <w:rPr>
          <w:rFonts w:ascii="Verdana" w:hAnsi="Verdana"/>
          <w:b/>
          <w:vertAlign w:val="superscript"/>
        </w:rPr>
        <w:t>1</w:t>
      </w:r>
      <w:r w:rsidRPr="00410E4D">
        <w:rPr>
          <w:rFonts w:ascii="Verdana" w:hAnsi="Verdana"/>
          <w:b/>
        </w:rPr>
        <w:t>Alice Dawson</w:t>
      </w:r>
    </w:p>
    <w:p w:rsidR="0067764B" w:rsidRPr="00410E4D" w:rsidRDefault="0067764B" w:rsidP="0067764B">
      <w:pPr>
        <w:spacing w:line="360" w:lineRule="auto"/>
        <w:jc w:val="center"/>
        <w:rPr>
          <w:rFonts w:ascii="Verdana" w:hAnsi="Verdana"/>
          <w:b/>
        </w:rPr>
      </w:pPr>
      <w:r w:rsidRPr="00410E4D">
        <w:rPr>
          <w:rFonts w:ascii="Verdana" w:hAnsi="Verdana"/>
          <w:b/>
          <w:vertAlign w:val="superscript"/>
        </w:rPr>
        <w:t>1,2</w:t>
      </w:r>
      <w:r w:rsidRPr="00410E4D">
        <w:rPr>
          <w:rFonts w:ascii="Verdana" w:hAnsi="Verdana"/>
          <w:b/>
        </w:rPr>
        <w:t>Elaine Dennison</w:t>
      </w:r>
    </w:p>
    <w:p w:rsidR="0067764B" w:rsidRPr="00410E4D" w:rsidRDefault="0067764B" w:rsidP="0067764B">
      <w:pPr>
        <w:spacing w:line="360" w:lineRule="auto"/>
        <w:jc w:val="both"/>
        <w:rPr>
          <w:rFonts w:ascii="Verdana" w:hAnsi="Verdana"/>
        </w:rPr>
      </w:pPr>
    </w:p>
    <w:p w:rsidR="0067764B" w:rsidRPr="00410E4D" w:rsidRDefault="0067764B" w:rsidP="0067764B">
      <w:pPr>
        <w:pStyle w:val="BodyText"/>
        <w:spacing w:line="480" w:lineRule="auto"/>
        <w:rPr>
          <w:rFonts w:ascii="Verdana" w:hAnsi="Verdana"/>
          <w:bCs/>
          <w:i/>
        </w:rPr>
      </w:pPr>
      <w:r w:rsidRPr="00410E4D">
        <w:rPr>
          <w:rFonts w:ascii="Verdana" w:hAnsi="Verdana"/>
          <w:bCs/>
          <w:i/>
          <w:vertAlign w:val="superscript"/>
        </w:rPr>
        <w:t>1</w:t>
      </w:r>
      <w:r w:rsidRPr="00410E4D">
        <w:rPr>
          <w:rFonts w:ascii="Verdana" w:hAnsi="Verdana"/>
          <w:bCs/>
          <w:i/>
        </w:rPr>
        <w:t>MRC Lifecourse Epidemiology Unit, University of Southampton, UK</w:t>
      </w:r>
    </w:p>
    <w:p w:rsidR="0067764B" w:rsidRPr="00410E4D" w:rsidRDefault="0067764B" w:rsidP="0067764B">
      <w:pPr>
        <w:pStyle w:val="BodyText"/>
        <w:spacing w:line="480" w:lineRule="auto"/>
        <w:rPr>
          <w:rFonts w:ascii="Verdana" w:hAnsi="Verdana"/>
          <w:bCs/>
          <w:i/>
        </w:rPr>
      </w:pPr>
      <w:r w:rsidRPr="00410E4D">
        <w:rPr>
          <w:rFonts w:ascii="Verdana" w:hAnsi="Verdana"/>
          <w:bCs/>
          <w:i/>
          <w:vertAlign w:val="superscript"/>
        </w:rPr>
        <w:t xml:space="preserve">2 </w:t>
      </w:r>
      <w:r w:rsidRPr="00410E4D">
        <w:rPr>
          <w:rFonts w:ascii="Verdana" w:hAnsi="Verdana"/>
          <w:bCs/>
          <w:i/>
        </w:rPr>
        <w:t xml:space="preserve">Victoria </w:t>
      </w:r>
      <w:proofErr w:type="gramStart"/>
      <w:r w:rsidRPr="00410E4D">
        <w:rPr>
          <w:rFonts w:ascii="Verdana" w:hAnsi="Verdana"/>
          <w:bCs/>
          <w:i/>
        </w:rPr>
        <w:t>University</w:t>
      </w:r>
      <w:proofErr w:type="gramEnd"/>
      <w:r w:rsidRPr="00410E4D">
        <w:rPr>
          <w:rFonts w:ascii="Verdana" w:hAnsi="Verdana"/>
          <w:bCs/>
          <w:i/>
        </w:rPr>
        <w:t>, Wellington, New Zealand</w:t>
      </w:r>
    </w:p>
    <w:p w:rsidR="0067764B" w:rsidRPr="00410E4D" w:rsidRDefault="0067764B" w:rsidP="0067764B">
      <w:pPr>
        <w:pStyle w:val="BodyText"/>
        <w:spacing w:line="480" w:lineRule="auto"/>
        <w:ind w:left="1440"/>
        <w:jc w:val="center"/>
        <w:rPr>
          <w:rFonts w:ascii="Verdana" w:hAnsi="Verdana"/>
          <w:bCs/>
        </w:rPr>
      </w:pPr>
    </w:p>
    <w:p w:rsidR="0067764B" w:rsidRPr="00410E4D" w:rsidRDefault="0067764B" w:rsidP="0067764B">
      <w:pPr>
        <w:pStyle w:val="BodyText"/>
        <w:spacing w:line="480" w:lineRule="auto"/>
        <w:ind w:left="1440"/>
        <w:jc w:val="center"/>
        <w:rPr>
          <w:rFonts w:ascii="Verdana" w:hAnsi="Verdana"/>
          <w:bCs/>
        </w:rPr>
      </w:pPr>
    </w:p>
    <w:p w:rsidR="0067764B" w:rsidRPr="00410E4D" w:rsidRDefault="0067764B" w:rsidP="0067764B">
      <w:pPr>
        <w:pStyle w:val="BodyText"/>
        <w:spacing w:line="480" w:lineRule="auto"/>
        <w:ind w:left="1440"/>
        <w:jc w:val="center"/>
        <w:rPr>
          <w:rFonts w:ascii="Verdana" w:hAnsi="Verdana"/>
          <w:bCs/>
        </w:rPr>
      </w:pPr>
    </w:p>
    <w:p w:rsidR="0067764B" w:rsidRPr="00410E4D" w:rsidRDefault="0067764B" w:rsidP="0067764B">
      <w:pPr>
        <w:pStyle w:val="BodyText"/>
        <w:spacing w:line="480" w:lineRule="auto"/>
        <w:rPr>
          <w:rFonts w:ascii="Verdana" w:hAnsi="Verdana"/>
          <w:bCs/>
        </w:rPr>
      </w:pPr>
    </w:p>
    <w:p w:rsidR="0067764B" w:rsidRPr="00410E4D" w:rsidRDefault="0067764B" w:rsidP="0067764B">
      <w:pPr>
        <w:pStyle w:val="BodyText"/>
        <w:spacing w:line="480" w:lineRule="auto"/>
        <w:rPr>
          <w:rFonts w:ascii="Verdana" w:hAnsi="Verdana"/>
          <w:bCs/>
        </w:rPr>
      </w:pPr>
    </w:p>
    <w:p w:rsidR="0067764B" w:rsidRPr="00410E4D" w:rsidRDefault="0067764B" w:rsidP="0067764B">
      <w:pPr>
        <w:pStyle w:val="BodyText"/>
        <w:spacing w:line="480" w:lineRule="auto"/>
        <w:rPr>
          <w:rFonts w:ascii="Verdana" w:hAnsi="Verdana"/>
          <w:bCs/>
        </w:rPr>
      </w:pPr>
      <w:r w:rsidRPr="00410E4D">
        <w:rPr>
          <w:rFonts w:ascii="Verdana" w:hAnsi="Verdana"/>
          <w:bCs/>
        </w:rPr>
        <w:t>Correspondence and reprint requests to:</w:t>
      </w:r>
    </w:p>
    <w:p w:rsidR="0067764B" w:rsidRPr="00410E4D" w:rsidRDefault="0067764B" w:rsidP="0067764B">
      <w:pPr>
        <w:pStyle w:val="BodyText"/>
        <w:spacing w:line="480" w:lineRule="auto"/>
        <w:rPr>
          <w:rFonts w:ascii="Verdana" w:hAnsi="Verdana"/>
          <w:bCs/>
        </w:rPr>
      </w:pPr>
      <w:r w:rsidRPr="00410E4D">
        <w:rPr>
          <w:rFonts w:ascii="Verdana" w:hAnsi="Verdana"/>
          <w:bCs/>
        </w:rPr>
        <w:t>Prof Elaine Dennison, MRC Lifecourse Epidemiology Unit, Southampton General Hospital, Southampton, SO16 6YD, UK</w:t>
      </w:r>
    </w:p>
    <w:p w:rsidR="0067764B" w:rsidRPr="00410E4D" w:rsidRDefault="0067764B" w:rsidP="0067764B">
      <w:pPr>
        <w:rPr>
          <w:rFonts w:ascii="Verdana" w:hAnsi="Verdana" w:cs="Arial"/>
          <w:u w:val="single"/>
        </w:rPr>
      </w:pPr>
    </w:p>
    <w:p w:rsidR="00F810E2" w:rsidRPr="00410E4D" w:rsidRDefault="00F810E2">
      <w:pPr>
        <w:rPr>
          <w:rFonts w:ascii="Verdana" w:hAnsi="Verdana" w:cs="Arial"/>
          <w:u w:val="single"/>
        </w:rPr>
      </w:pPr>
      <w:r w:rsidRPr="00410E4D">
        <w:rPr>
          <w:rFonts w:ascii="Verdana" w:hAnsi="Verdana" w:cs="Arial"/>
          <w:u w:val="single"/>
        </w:rPr>
        <w:br w:type="page"/>
      </w:r>
    </w:p>
    <w:p w:rsidR="000B4086" w:rsidRPr="00410E4D" w:rsidRDefault="000B4086" w:rsidP="007454EF">
      <w:pPr>
        <w:spacing w:line="360" w:lineRule="auto"/>
        <w:jc w:val="both"/>
        <w:rPr>
          <w:rFonts w:ascii="Verdana" w:hAnsi="Verdana" w:cs="Arial"/>
          <w:u w:val="single"/>
        </w:rPr>
      </w:pPr>
    </w:p>
    <w:p w:rsidR="007B725D" w:rsidRPr="00410E4D" w:rsidRDefault="0067764B" w:rsidP="000B4086">
      <w:pPr>
        <w:spacing w:line="480" w:lineRule="auto"/>
        <w:jc w:val="both"/>
        <w:rPr>
          <w:rFonts w:ascii="Verdana" w:hAnsi="Verdana" w:cs="Arial"/>
        </w:rPr>
      </w:pPr>
      <w:r w:rsidRPr="00410E4D">
        <w:rPr>
          <w:rFonts w:ascii="Verdana" w:hAnsi="Verdana" w:cs="Arial"/>
          <w:u w:val="single"/>
        </w:rPr>
        <w:t>Abstract</w:t>
      </w:r>
    </w:p>
    <w:p w:rsidR="007B725D" w:rsidRPr="00410E4D" w:rsidRDefault="007B725D" w:rsidP="00F810E2">
      <w:pPr>
        <w:spacing w:line="480" w:lineRule="auto"/>
        <w:jc w:val="both"/>
        <w:rPr>
          <w:rFonts w:ascii="Verdana" w:hAnsi="Verdana" w:cs="Arial"/>
        </w:rPr>
      </w:pPr>
      <w:r w:rsidRPr="00410E4D">
        <w:rPr>
          <w:rFonts w:ascii="Verdana" w:hAnsi="Verdana" w:cs="Arial"/>
        </w:rPr>
        <w:t xml:space="preserve">The world is </w:t>
      </w:r>
      <w:r w:rsidR="002F6053" w:rsidRPr="00410E4D">
        <w:rPr>
          <w:rFonts w:ascii="Verdana" w:hAnsi="Verdana" w:cs="Arial"/>
        </w:rPr>
        <w:t>aging</w:t>
      </w:r>
      <w:r w:rsidRPr="00410E4D">
        <w:rPr>
          <w:rFonts w:ascii="Verdana" w:hAnsi="Verdana" w:cs="Arial"/>
        </w:rPr>
        <w:t xml:space="preserve">. The population </w:t>
      </w:r>
      <w:r w:rsidR="007C1B73" w:rsidRPr="00410E4D">
        <w:rPr>
          <w:rFonts w:ascii="Verdana" w:hAnsi="Verdana" w:cs="Arial"/>
        </w:rPr>
        <w:t xml:space="preserve">aged </w:t>
      </w:r>
      <w:r w:rsidRPr="00410E4D">
        <w:rPr>
          <w:rFonts w:ascii="Verdana" w:hAnsi="Verdana" w:cs="Arial"/>
        </w:rPr>
        <w:t xml:space="preserve">over sixty </w:t>
      </w:r>
      <w:r w:rsidR="007C1B73" w:rsidRPr="00410E4D">
        <w:rPr>
          <w:rFonts w:ascii="Verdana" w:hAnsi="Verdana" w:cs="Arial"/>
        </w:rPr>
        <w:t xml:space="preserve">years </w:t>
      </w:r>
      <w:r w:rsidRPr="00410E4D">
        <w:rPr>
          <w:rFonts w:ascii="Verdana" w:hAnsi="Verdana" w:cs="Arial"/>
        </w:rPr>
        <w:t xml:space="preserve">worldwide is predicted to rise from 841 million in 2013 to more than 2 billion by 2050. Musculoskeletal (MSK) disease is a significant burden on the </w:t>
      </w:r>
      <w:r w:rsidR="002F6053" w:rsidRPr="00410E4D">
        <w:rPr>
          <w:rFonts w:ascii="Verdana" w:hAnsi="Verdana" w:cs="Arial"/>
        </w:rPr>
        <w:t>aging</w:t>
      </w:r>
      <w:r w:rsidRPr="00410E4D">
        <w:rPr>
          <w:rFonts w:ascii="Verdana" w:hAnsi="Verdana" w:cs="Arial"/>
        </w:rPr>
        <w:t xml:space="preserve"> population</w:t>
      </w:r>
      <w:r w:rsidR="007C1B73" w:rsidRPr="00410E4D">
        <w:rPr>
          <w:rFonts w:ascii="Verdana" w:hAnsi="Verdana" w:cs="Arial"/>
        </w:rPr>
        <w:t>,</w:t>
      </w:r>
      <w:r w:rsidRPr="00410E4D">
        <w:rPr>
          <w:rFonts w:ascii="Verdana" w:hAnsi="Verdana" w:cs="Arial"/>
        </w:rPr>
        <w:t xml:space="preserve"> contributing 7.5% of the disease burden in those over 60 years. MSK diseases have a pronounced effect on disability level and independence in old age, with consequent significant public health burden and impact on quality of later life. As numbers of older individuals and their disease burden increases, it is important to examine MSK disease in older life in detail. The musculoskeletal aging phenotype comprises four often interwoven key elements; osteoporosis, osteoarthritis, sarcopenia and frailty and this review will focus on these four themes. </w:t>
      </w:r>
      <w:r w:rsidR="007454EF" w:rsidRPr="00410E4D">
        <w:rPr>
          <w:rFonts w:ascii="Verdana" w:hAnsi="Verdana" w:cs="Arial"/>
        </w:rPr>
        <w:t>I</w:t>
      </w:r>
      <w:r w:rsidRPr="00410E4D">
        <w:rPr>
          <w:rFonts w:ascii="Verdana" w:hAnsi="Verdana" w:cs="Arial"/>
        </w:rPr>
        <w:t>t is crucial that we are able to accurately measure each phenotype in order that we might identify those individuals at greatest risk of developing these conditions, and design trials of therapeutic agents that might impact their development. Accurate measurement of the musculoskeletal aging phenotype is necessary firstly to document the burden of each condition, and then to enable factors to be identified which may accelerate or retard their development or progression. In some areas of MSK disease, this work is more advanced (osteoporosis); in other areas (sarcopenia) the field is currently very rapidly evolving. We will explore the tools currently used to measure the musculoskeletal aging phenotype and how they compare, as well as highlight areas where more work is needed.</w:t>
      </w:r>
    </w:p>
    <w:p w:rsidR="007B725D" w:rsidRPr="00410E4D" w:rsidRDefault="007B725D" w:rsidP="00F810E2">
      <w:pPr>
        <w:spacing w:line="480" w:lineRule="auto"/>
        <w:jc w:val="both"/>
        <w:rPr>
          <w:rFonts w:ascii="Verdana" w:hAnsi="Verdana" w:cs="Arial"/>
        </w:rPr>
      </w:pPr>
    </w:p>
    <w:p w:rsidR="0067764B" w:rsidRPr="00410E4D" w:rsidRDefault="007B725D" w:rsidP="00F810E2">
      <w:pPr>
        <w:spacing w:line="480" w:lineRule="auto"/>
        <w:jc w:val="both"/>
        <w:rPr>
          <w:rFonts w:ascii="Verdana" w:hAnsi="Verdana" w:cs="Arial"/>
          <w:u w:val="single"/>
        </w:rPr>
      </w:pPr>
      <w:r w:rsidRPr="00410E4D" w:rsidDel="007B725D">
        <w:rPr>
          <w:rFonts w:ascii="Verdana" w:hAnsi="Verdana" w:cs="Arial"/>
          <w:highlight w:val="yellow"/>
          <w:u w:val="single"/>
        </w:rPr>
        <w:t xml:space="preserve"> </w:t>
      </w:r>
    </w:p>
    <w:p w:rsidR="00E3196E" w:rsidRPr="00410E4D" w:rsidRDefault="000B6B3E" w:rsidP="00F810E2">
      <w:pPr>
        <w:spacing w:line="480" w:lineRule="auto"/>
        <w:jc w:val="both"/>
        <w:rPr>
          <w:rFonts w:ascii="Verdana" w:hAnsi="Verdana" w:cs="Arial"/>
          <w:u w:val="single"/>
        </w:rPr>
      </w:pPr>
      <w:r w:rsidRPr="00410E4D">
        <w:rPr>
          <w:rFonts w:ascii="Verdana" w:hAnsi="Verdana" w:cs="Arial"/>
          <w:u w:val="single"/>
        </w:rPr>
        <w:lastRenderedPageBreak/>
        <w:t>Introduction</w:t>
      </w:r>
    </w:p>
    <w:p w:rsidR="00710B92" w:rsidRPr="00410E4D" w:rsidRDefault="004F75FC" w:rsidP="00F810E2">
      <w:pPr>
        <w:spacing w:line="480" w:lineRule="auto"/>
        <w:jc w:val="both"/>
        <w:rPr>
          <w:rFonts w:ascii="Verdana" w:hAnsi="Verdana" w:cs="Arial"/>
        </w:rPr>
      </w:pPr>
      <w:r w:rsidRPr="00410E4D">
        <w:rPr>
          <w:rFonts w:ascii="Verdana" w:hAnsi="Verdana" w:cs="Arial"/>
        </w:rPr>
        <w:t xml:space="preserve">The world is </w:t>
      </w:r>
      <w:r w:rsidR="002F6053" w:rsidRPr="00410E4D">
        <w:rPr>
          <w:rFonts w:ascii="Verdana" w:hAnsi="Verdana" w:cs="Arial"/>
        </w:rPr>
        <w:t>aging</w:t>
      </w:r>
      <w:r w:rsidRPr="00410E4D">
        <w:rPr>
          <w:rFonts w:ascii="Verdana" w:hAnsi="Verdana" w:cs="Arial"/>
        </w:rPr>
        <w:t xml:space="preserve">. </w:t>
      </w:r>
      <w:r w:rsidR="00DE2E7B" w:rsidRPr="00410E4D">
        <w:rPr>
          <w:rFonts w:ascii="Verdana" w:hAnsi="Verdana" w:cs="Arial"/>
        </w:rPr>
        <w:t>14% of the UK’s population is sixty five ye</w:t>
      </w:r>
      <w:r w:rsidR="00BC4272" w:rsidRPr="00410E4D">
        <w:rPr>
          <w:rFonts w:ascii="Verdana" w:hAnsi="Verdana" w:cs="Arial"/>
        </w:rPr>
        <w:t>ars or older</w:t>
      </w:r>
      <w:r w:rsidR="00486885" w:rsidRPr="00410E4D">
        <w:rPr>
          <w:rFonts w:ascii="Verdana" w:hAnsi="Verdana" w:cs="Arial"/>
        </w:rPr>
        <w:t xml:space="preserve"> [1]</w:t>
      </w:r>
      <w:r w:rsidR="00BC4272" w:rsidRPr="00410E4D">
        <w:rPr>
          <w:rFonts w:ascii="Verdana" w:hAnsi="Verdana" w:cs="Arial"/>
        </w:rPr>
        <w:t xml:space="preserve"> </w:t>
      </w:r>
      <w:r w:rsidR="00DE2E7B" w:rsidRPr="00410E4D">
        <w:rPr>
          <w:rFonts w:ascii="Verdana" w:hAnsi="Verdana" w:cs="Arial"/>
        </w:rPr>
        <w:t>;</w:t>
      </w:r>
      <w:r w:rsidR="00587F11" w:rsidRPr="00410E4D">
        <w:rPr>
          <w:rFonts w:ascii="Verdana" w:hAnsi="Verdana" w:cs="Arial"/>
        </w:rPr>
        <w:t xml:space="preserve"> </w:t>
      </w:r>
      <w:r w:rsidR="00DE2E7B" w:rsidRPr="00410E4D">
        <w:rPr>
          <w:rFonts w:ascii="Verdana" w:hAnsi="Verdana" w:cs="Arial"/>
        </w:rPr>
        <w:t xml:space="preserve">worldwide the </w:t>
      </w:r>
      <w:r w:rsidRPr="00410E4D">
        <w:rPr>
          <w:rFonts w:ascii="Verdana" w:hAnsi="Verdana" w:cs="Arial"/>
        </w:rPr>
        <w:t>population over</w:t>
      </w:r>
      <w:r w:rsidR="001F46E8" w:rsidRPr="00410E4D">
        <w:rPr>
          <w:rFonts w:ascii="Verdana" w:hAnsi="Verdana" w:cs="Arial"/>
        </w:rPr>
        <w:t xml:space="preserve"> </w:t>
      </w:r>
      <w:r w:rsidR="00DE2E7B" w:rsidRPr="00410E4D">
        <w:rPr>
          <w:rFonts w:ascii="Verdana" w:hAnsi="Verdana" w:cs="Arial"/>
        </w:rPr>
        <w:t xml:space="preserve">sixty </w:t>
      </w:r>
      <w:r w:rsidRPr="00410E4D">
        <w:rPr>
          <w:rFonts w:ascii="Verdana" w:hAnsi="Verdana" w:cs="Arial"/>
        </w:rPr>
        <w:t>is predicted</w:t>
      </w:r>
      <w:r w:rsidR="00DE2E7B" w:rsidRPr="00410E4D">
        <w:rPr>
          <w:rFonts w:ascii="Verdana" w:hAnsi="Verdana" w:cs="Arial"/>
        </w:rPr>
        <w:t xml:space="preserve"> to rise from 841 million in 2013 to more than 2 billio</w:t>
      </w:r>
      <w:r w:rsidR="00FA5CC2" w:rsidRPr="00410E4D">
        <w:rPr>
          <w:rFonts w:ascii="Verdana" w:hAnsi="Verdana" w:cs="Arial"/>
        </w:rPr>
        <w:t>n by 2050</w:t>
      </w:r>
      <w:r w:rsidR="00486885" w:rsidRPr="00410E4D">
        <w:rPr>
          <w:rFonts w:ascii="Verdana" w:hAnsi="Verdana" w:cs="Arial"/>
        </w:rPr>
        <w:t xml:space="preserve"> [2]</w:t>
      </w:r>
      <w:r w:rsidR="00DE2E7B" w:rsidRPr="00410E4D">
        <w:rPr>
          <w:rFonts w:ascii="Verdana" w:hAnsi="Verdana" w:cs="Arial"/>
        </w:rPr>
        <w:t xml:space="preserve">; a proportional rise from 11% to 22% </w:t>
      </w:r>
      <w:r w:rsidR="00C713A2" w:rsidRPr="00410E4D">
        <w:rPr>
          <w:rFonts w:ascii="Verdana" w:hAnsi="Verdana" w:cs="Arial"/>
        </w:rPr>
        <w:t>[3]</w:t>
      </w:r>
      <w:r w:rsidR="007454EF" w:rsidRPr="00410E4D">
        <w:rPr>
          <w:rFonts w:ascii="Verdana" w:hAnsi="Verdana" w:cs="Arial"/>
        </w:rPr>
        <w:t>.</w:t>
      </w:r>
      <w:r w:rsidR="00C713A2" w:rsidRPr="00410E4D">
        <w:rPr>
          <w:rFonts w:ascii="Verdana" w:hAnsi="Verdana" w:cs="Arial"/>
        </w:rPr>
        <w:t xml:space="preserve"> </w:t>
      </w:r>
      <w:r w:rsidR="00710B92" w:rsidRPr="00410E4D">
        <w:rPr>
          <w:rFonts w:ascii="Verdana" w:hAnsi="Verdana" w:cs="Arial"/>
        </w:rPr>
        <w:t xml:space="preserve">The question is whether this rise in life expectancy is a rise in healthy life expectancy or whether these extra years are burdened with poor health and disability. </w:t>
      </w:r>
      <w:r w:rsidRPr="00410E4D">
        <w:rPr>
          <w:rFonts w:ascii="Verdana" w:hAnsi="Verdana" w:cs="Arial"/>
        </w:rPr>
        <w:t>There is controversy currently over whether we a</w:t>
      </w:r>
      <w:r w:rsidR="00710B92" w:rsidRPr="00410E4D">
        <w:rPr>
          <w:rFonts w:ascii="Verdana" w:hAnsi="Verdana" w:cs="Arial"/>
        </w:rPr>
        <w:t>re seeing a compression or expan</w:t>
      </w:r>
      <w:r w:rsidRPr="00410E4D">
        <w:rPr>
          <w:rFonts w:ascii="Verdana" w:hAnsi="Verdana" w:cs="Arial"/>
        </w:rPr>
        <w:t>sion of morbidity with age.</w:t>
      </w:r>
      <w:r w:rsidR="00710B92" w:rsidRPr="00410E4D">
        <w:rPr>
          <w:rFonts w:ascii="Verdana" w:hAnsi="Verdana" w:cs="Arial"/>
        </w:rPr>
        <w:t xml:space="preserve"> Progress with interventions aimed at lethal disease has left many previously fatal conditions survivable but in states of – frequently co-morbid – d</w:t>
      </w:r>
      <w:r w:rsidR="00092E44" w:rsidRPr="00410E4D">
        <w:rPr>
          <w:rFonts w:ascii="Verdana" w:hAnsi="Verdana" w:cs="Arial"/>
        </w:rPr>
        <w:t xml:space="preserve">isability </w:t>
      </w:r>
      <w:r w:rsidR="00506175" w:rsidRPr="00410E4D">
        <w:rPr>
          <w:rFonts w:ascii="Verdana" w:hAnsi="Verdana" w:cs="Arial"/>
        </w:rPr>
        <w:t>[2]</w:t>
      </w:r>
      <w:r w:rsidR="00710B92" w:rsidRPr="00410E4D">
        <w:rPr>
          <w:rFonts w:ascii="Verdana" w:hAnsi="Verdana" w:cs="Arial"/>
        </w:rPr>
        <w:t xml:space="preserve">. </w:t>
      </w:r>
    </w:p>
    <w:p w:rsidR="00587F11" w:rsidRPr="00410E4D" w:rsidRDefault="00587F11" w:rsidP="00F810E2">
      <w:pPr>
        <w:spacing w:line="480" w:lineRule="auto"/>
        <w:jc w:val="both"/>
        <w:rPr>
          <w:rFonts w:ascii="Verdana" w:hAnsi="Verdana" w:cs="Arial"/>
        </w:rPr>
      </w:pPr>
    </w:p>
    <w:p w:rsidR="00792592" w:rsidRPr="00410E4D" w:rsidRDefault="00801180" w:rsidP="00F810E2">
      <w:pPr>
        <w:spacing w:line="480" w:lineRule="auto"/>
        <w:jc w:val="both"/>
        <w:rPr>
          <w:rFonts w:ascii="Verdana" w:hAnsi="Verdana" w:cs="Arial"/>
        </w:rPr>
      </w:pPr>
      <w:r w:rsidRPr="00410E4D">
        <w:rPr>
          <w:rFonts w:ascii="Verdana" w:hAnsi="Verdana" w:cs="Arial"/>
        </w:rPr>
        <w:t>Global Burden of Disease estimates from 2010 attribute 23.1% of the total disease burden to disorders in those over 60 years in age</w:t>
      </w:r>
      <w:r w:rsidR="00092E44" w:rsidRPr="00410E4D">
        <w:rPr>
          <w:rFonts w:ascii="Verdana" w:hAnsi="Verdana" w:cs="Arial"/>
        </w:rPr>
        <w:t xml:space="preserve"> </w:t>
      </w:r>
      <w:r w:rsidR="00506175" w:rsidRPr="00410E4D">
        <w:rPr>
          <w:rFonts w:ascii="Verdana" w:hAnsi="Verdana" w:cs="Arial"/>
        </w:rPr>
        <w:t>[1]</w:t>
      </w:r>
      <w:r w:rsidRPr="00410E4D">
        <w:rPr>
          <w:rFonts w:ascii="Verdana" w:hAnsi="Verdana" w:cs="Arial"/>
        </w:rPr>
        <w:t xml:space="preserve">. </w:t>
      </w:r>
      <w:r w:rsidR="00236117" w:rsidRPr="00410E4D">
        <w:rPr>
          <w:rFonts w:ascii="Verdana" w:hAnsi="Verdana" w:cs="Arial"/>
        </w:rPr>
        <w:t xml:space="preserve">Musculoskeletal </w:t>
      </w:r>
      <w:r w:rsidR="00092E44" w:rsidRPr="00410E4D">
        <w:rPr>
          <w:rFonts w:ascii="Verdana" w:hAnsi="Verdana" w:cs="Arial"/>
        </w:rPr>
        <w:t xml:space="preserve">(MSK) </w:t>
      </w:r>
      <w:r w:rsidR="00236117" w:rsidRPr="00410E4D">
        <w:rPr>
          <w:rFonts w:ascii="Verdana" w:hAnsi="Verdana" w:cs="Arial"/>
        </w:rPr>
        <w:t xml:space="preserve">disease is a significant burden on the </w:t>
      </w:r>
      <w:r w:rsidR="002F6053" w:rsidRPr="00410E4D">
        <w:rPr>
          <w:rFonts w:ascii="Verdana" w:hAnsi="Verdana" w:cs="Arial"/>
        </w:rPr>
        <w:t>aging</w:t>
      </w:r>
      <w:r w:rsidR="00236117" w:rsidRPr="00410E4D">
        <w:rPr>
          <w:rFonts w:ascii="Verdana" w:hAnsi="Verdana" w:cs="Arial"/>
        </w:rPr>
        <w:t xml:space="preserve"> population contributing 7.5% of the disease burden in those over 60 years. MSK disease is more prominent and </w:t>
      </w:r>
      <w:r w:rsidR="00792592" w:rsidRPr="00410E4D">
        <w:rPr>
          <w:rFonts w:ascii="Verdana" w:hAnsi="Verdana" w:cs="Arial"/>
        </w:rPr>
        <w:t xml:space="preserve">is </w:t>
      </w:r>
      <w:r w:rsidR="00236117" w:rsidRPr="00410E4D">
        <w:rPr>
          <w:rFonts w:ascii="Verdana" w:hAnsi="Verdana" w:cs="Arial"/>
        </w:rPr>
        <w:t>increasing in burden in middle to high inco</w:t>
      </w:r>
      <w:r w:rsidR="00092E44" w:rsidRPr="00410E4D">
        <w:rPr>
          <w:rFonts w:ascii="Verdana" w:hAnsi="Verdana" w:cs="Arial"/>
        </w:rPr>
        <w:t xml:space="preserve">me countries </w:t>
      </w:r>
      <w:r w:rsidR="00506175" w:rsidRPr="00410E4D">
        <w:rPr>
          <w:rFonts w:ascii="Verdana" w:hAnsi="Verdana" w:cs="Arial"/>
        </w:rPr>
        <w:t>[1</w:t>
      </w:r>
      <w:r w:rsidR="00252D5F" w:rsidRPr="00410E4D">
        <w:rPr>
          <w:rFonts w:ascii="Verdana" w:hAnsi="Verdana" w:cs="Arial"/>
        </w:rPr>
        <w:t>, 2</w:t>
      </w:r>
      <w:r w:rsidR="00506175" w:rsidRPr="00410E4D">
        <w:rPr>
          <w:rFonts w:ascii="Verdana" w:hAnsi="Verdana" w:cs="Arial"/>
        </w:rPr>
        <w:t>]</w:t>
      </w:r>
      <w:r w:rsidR="00236117" w:rsidRPr="00410E4D">
        <w:rPr>
          <w:rFonts w:ascii="Verdana" w:hAnsi="Verdana" w:cs="Arial"/>
        </w:rPr>
        <w:t>.</w:t>
      </w:r>
      <w:r w:rsidR="00792592" w:rsidRPr="00410E4D">
        <w:rPr>
          <w:rFonts w:ascii="Verdana" w:hAnsi="Verdana" w:cs="Arial"/>
        </w:rPr>
        <w:t xml:space="preserve"> With its pronounced effect on disability level and independence in old age it is helpful to examine musculoskeletal </w:t>
      </w:r>
      <w:r w:rsidR="002F6053" w:rsidRPr="00410E4D">
        <w:rPr>
          <w:rFonts w:ascii="Verdana" w:hAnsi="Verdana" w:cs="Arial"/>
        </w:rPr>
        <w:t>aging</w:t>
      </w:r>
      <w:r w:rsidR="00792592" w:rsidRPr="00410E4D">
        <w:rPr>
          <w:rFonts w:ascii="Verdana" w:hAnsi="Verdana" w:cs="Arial"/>
        </w:rPr>
        <w:t xml:space="preserve"> in detail.</w:t>
      </w:r>
      <w:r w:rsidR="0067764B" w:rsidRPr="00410E4D">
        <w:rPr>
          <w:rFonts w:ascii="Verdana" w:hAnsi="Verdana" w:cs="Arial"/>
        </w:rPr>
        <w:t xml:space="preserve"> It is hence very important that researchers can accurately measure the musculoskeletal aging phenotype; to document the burden of each condition, and to identify factors that might accelerate or retard the development or progression. </w:t>
      </w:r>
      <w:r w:rsidR="00792592" w:rsidRPr="00410E4D">
        <w:rPr>
          <w:rFonts w:ascii="Verdana" w:hAnsi="Verdana" w:cs="Arial"/>
        </w:rPr>
        <w:t xml:space="preserve">This review will focus on </w:t>
      </w:r>
      <w:r w:rsidR="0067764B" w:rsidRPr="00410E4D">
        <w:rPr>
          <w:rFonts w:ascii="Verdana" w:hAnsi="Verdana" w:cs="Arial"/>
        </w:rPr>
        <w:t xml:space="preserve">the </w:t>
      </w:r>
      <w:r w:rsidR="00792592" w:rsidRPr="00410E4D">
        <w:rPr>
          <w:rFonts w:ascii="Verdana" w:hAnsi="Verdana" w:cs="Arial"/>
        </w:rPr>
        <w:t xml:space="preserve">four themes common to musculoskeletal </w:t>
      </w:r>
      <w:r w:rsidR="002F6053" w:rsidRPr="00410E4D">
        <w:rPr>
          <w:rFonts w:ascii="Verdana" w:hAnsi="Verdana" w:cs="Arial"/>
        </w:rPr>
        <w:t>aging</w:t>
      </w:r>
      <w:r w:rsidR="00792592" w:rsidRPr="00410E4D">
        <w:rPr>
          <w:rFonts w:ascii="Verdana" w:hAnsi="Verdana" w:cs="Arial"/>
        </w:rPr>
        <w:t>: osteoporosis</w:t>
      </w:r>
      <w:r w:rsidR="00E975AA" w:rsidRPr="00410E4D">
        <w:rPr>
          <w:rFonts w:ascii="Verdana" w:hAnsi="Verdana" w:cs="Arial"/>
        </w:rPr>
        <w:t>,</w:t>
      </w:r>
      <w:r w:rsidR="00792592" w:rsidRPr="00410E4D">
        <w:rPr>
          <w:rFonts w:ascii="Verdana" w:hAnsi="Verdana" w:cs="Arial"/>
        </w:rPr>
        <w:t xml:space="preserve"> osteoarthritis</w:t>
      </w:r>
      <w:r w:rsidR="00E975AA" w:rsidRPr="00410E4D">
        <w:rPr>
          <w:rFonts w:ascii="Verdana" w:hAnsi="Verdana" w:cs="Arial"/>
        </w:rPr>
        <w:t>, frailty and sarcopenia.</w:t>
      </w:r>
    </w:p>
    <w:p w:rsidR="00792592" w:rsidRPr="00410E4D" w:rsidRDefault="00792592" w:rsidP="00F810E2">
      <w:pPr>
        <w:spacing w:line="480" w:lineRule="auto"/>
        <w:jc w:val="both"/>
        <w:rPr>
          <w:rFonts w:ascii="Verdana" w:hAnsi="Verdana" w:cs="Arial"/>
        </w:rPr>
      </w:pPr>
    </w:p>
    <w:p w:rsidR="00884DBB" w:rsidRPr="00410E4D" w:rsidRDefault="00E975AA" w:rsidP="00F810E2">
      <w:pPr>
        <w:spacing w:line="480" w:lineRule="auto"/>
        <w:jc w:val="both"/>
        <w:rPr>
          <w:rFonts w:ascii="Verdana" w:hAnsi="Verdana" w:cs="Arial"/>
          <w:u w:val="single"/>
        </w:rPr>
      </w:pPr>
      <w:r w:rsidRPr="00410E4D">
        <w:rPr>
          <w:rFonts w:ascii="Verdana" w:hAnsi="Verdana" w:cs="Arial"/>
          <w:u w:val="single"/>
        </w:rPr>
        <w:lastRenderedPageBreak/>
        <w:t>P</w:t>
      </w:r>
      <w:r w:rsidR="0067764B" w:rsidRPr="00410E4D">
        <w:rPr>
          <w:rFonts w:ascii="Verdana" w:hAnsi="Verdana" w:cs="Arial"/>
          <w:u w:val="single"/>
        </w:rPr>
        <w:t>athophysiology</w:t>
      </w:r>
      <w:r w:rsidRPr="00410E4D">
        <w:rPr>
          <w:rFonts w:ascii="Verdana" w:hAnsi="Verdana" w:cs="Arial"/>
          <w:u w:val="single"/>
        </w:rPr>
        <w:t xml:space="preserve"> of musculoskeletal aging</w:t>
      </w:r>
    </w:p>
    <w:p w:rsidR="005F1F2E" w:rsidRPr="00410E4D" w:rsidRDefault="00557B22" w:rsidP="00F810E2">
      <w:pPr>
        <w:spacing w:line="480" w:lineRule="auto"/>
        <w:jc w:val="both"/>
        <w:rPr>
          <w:rFonts w:ascii="Verdana" w:hAnsi="Verdana" w:cs="Arial"/>
        </w:rPr>
      </w:pPr>
      <w:r w:rsidRPr="00410E4D">
        <w:rPr>
          <w:rFonts w:ascii="Verdana" w:hAnsi="Verdana" w:cs="Arial"/>
        </w:rPr>
        <w:t xml:space="preserve">There is a significant heterogeneity of </w:t>
      </w:r>
      <w:r w:rsidR="002F6053" w:rsidRPr="00410E4D">
        <w:rPr>
          <w:rFonts w:ascii="Verdana" w:hAnsi="Verdana" w:cs="Arial"/>
        </w:rPr>
        <w:t>aging</w:t>
      </w:r>
      <w:r w:rsidR="005F1F2E" w:rsidRPr="00410E4D">
        <w:rPr>
          <w:rFonts w:ascii="Verdana" w:hAnsi="Verdana" w:cs="Arial"/>
        </w:rPr>
        <w:t xml:space="preserve"> </w:t>
      </w:r>
      <w:r w:rsidR="00FF1F47" w:rsidRPr="00410E4D">
        <w:rPr>
          <w:rFonts w:ascii="Verdana" w:hAnsi="Verdana" w:cs="Arial"/>
        </w:rPr>
        <w:t>[4]</w:t>
      </w:r>
      <w:r w:rsidRPr="00410E4D">
        <w:rPr>
          <w:rFonts w:ascii="Verdana" w:hAnsi="Verdana" w:cs="Arial"/>
        </w:rPr>
        <w:t xml:space="preserve">; different persons at the same chronological age exhibit </w:t>
      </w:r>
      <w:r w:rsidR="005F1F2E" w:rsidRPr="00410E4D">
        <w:rPr>
          <w:rFonts w:ascii="Verdana" w:hAnsi="Verdana" w:cs="Arial"/>
        </w:rPr>
        <w:t xml:space="preserve">highly </w:t>
      </w:r>
      <w:r w:rsidRPr="00410E4D">
        <w:rPr>
          <w:rFonts w:ascii="Verdana" w:hAnsi="Verdana" w:cs="Arial"/>
        </w:rPr>
        <w:t>varied</w:t>
      </w:r>
      <w:r w:rsidR="005F1F2E" w:rsidRPr="00410E4D">
        <w:rPr>
          <w:rFonts w:ascii="Verdana" w:hAnsi="Verdana" w:cs="Arial"/>
        </w:rPr>
        <w:t xml:space="preserve"> psychological and physical</w:t>
      </w:r>
      <w:r w:rsidR="00274237" w:rsidRPr="00410E4D">
        <w:rPr>
          <w:rFonts w:ascii="Verdana" w:hAnsi="Verdana" w:cs="Arial"/>
        </w:rPr>
        <w:t xml:space="preserve"> effects</w:t>
      </w:r>
      <w:r w:rsidR="005F1F2E" w:rsidRPr="00410E4D">
        <w:rPr>
          <w:rFonts w:ascii="Verdana" w:hAnsi="Verdana" w:cs="Arial"/>
        </w:rPr>
        <w:t>.</w:t>
      </w:r>
      <w:r w:rsidR="0067764B" w:rsidRPr="00410E4D">
        <w:rPr>
          <w:rFonts w:ascii="Verdana" w:hAnsi="Verdana" w:cs="Arial"/>
        </w:rPr>
        <w:t xml:space="preserve"> </w:t>
      </w:r>
      <w:r w:rsidR="005F1F2E" w:rsidRPr="00410E4D">
        <w:rPr>
          <w:rFonts w:ascii="Verdana" w:hAnsi="Verdana" w:cs="Arial"/>
        </w:rPr>
        <w:t xml:space="preserve">There are however common </w:t>
      </w:r>
      <w:r w:rsidR="002F6053" w:rsidRPr="00410E4D">
        <w:rPr>
          <w:rFonts w:ascii="Verdana" w:hAnsi="Verdana" w:cs="Arial"/>
        </w:rPr>
        <w:t>aging</w:t>
      </w:r>
      <w:r w:rsidR="005F1F2E" w:rsidRPr="00410E4D">
        <w:rPr>
          <w:rFonts w:ascii="Verdana" w:hAnsi="Verdana" w:cs="Arial"/>
        </w:rPr>
        <w:t xml:space="preserve"> processes</w:t>
      </w:r>
      <w:r w:rsidR="00E975AA" w:rsidRPr="00410E4D">
        <w:rPr>
          <w:rFonts w:ascii="Verdana" w:hAnsi="Verdana" w:cs="Arial"/>
        </w:rPr>
        <w:t xml:space="preserve"> that can be measured</w:t>
      </w:r>
      <w:r w:rsidR="00587F11" w:rsidRPr="00410E4D">
        <w:rPr>
          <w:rFonts w:ascii="Verdana" w:hAnsi="Verdana" w:cs="Arial"/>
        </w:rPr>
        <w:t>, and may contribute to how we define a phenotype</w:t>
      </w:r>
      <w:r w:rsidR="005F1F2E" w:rsidRPr="00410E4D">
        <w:rPr>
          <w:rFonts w:ascii="Verdana" w:hAnsi="Verdana" w:cs="Arial"/>
        </w:rPr>
        <w:t xml:space="preserve">. </w:t>
      </w:r>
      <w:r w:rsidR="00E975AA" w:rsidRPr="00410E4D">
        <w:rPr>
          <w:rFonts w:ascii="Verdana" w:hAnsi="Verdana" w:cs="Arial"/>
        </w:rPr>
        <w:t>With age the p</w:t>
      </w:r>
      <w:r w:rsidR="005F1F2E" w:rsidRPr="00410E4D">
        <w:rPr>
          <w:rFonts w:ascii="Verdana" w:hAnsi="Verdana" w:cs="Arial"/>
        </w:rPr>
        <w:t>roport</w:t>
      </w:r>
      <w:r w:rsidR="00766536" w:rsidRPr="00410E4D">
        <w:rPr>
          <w:rFonts w:ascii="Verdana" w:hAnsi="Verdana" w:cs="Arial"/>
        </w:rPr>
        <w:t>i</w:t>
      </w:r>
      <w:r w:rsidR="005F1F2E" w:rsidRPr="00410E4D">
        <w:rPr>
          <w:rFonts w:ascii="Verdana" w:hAnsi="Verdana" w:cs="Arial"/>
        </w:rPr>
        <w:t>on of body fat increases</w:t>
      </w:r>
      <w:r w:rsidR="00E975AA" w:rsidRPr="00410E4D">
        <w:rPr>
          <w:rFonts w:ascii="Verdana" w:hAnsi="Verdana" w:cs="Arial"/>
        </w:rPr>
        <w:t xml:space="preserve"> and its location</w:t>
      </w:r>
      <w:r w:rsidR="00766536" w:rsidRPr="00410E4D">
        <w:rPr>
          <w:rFonts w:ascii="Verdana" w:hAnsi="Verdana" w:cs="Arial"/>
        </w:rPr>
        <w:t xml:space="preserve"> alter</w:t>
      </w:r>
      <w:r w:rsidR="00E975AA" w:rsidRPr="00410E4D">
        <w:rPr>
          <w:rFonts w:ascii="Verdana" w:hAnsi="Verdana" w:cs="Arial"/>
        </w:rPr>
        <w:t>s</w:t>
      </w:r>
      <w:r w:rsidR="00766536" w:rsidRPr="00410E4D">
        <w:rPr>
          <w:rFonts w:ascii="Verdana" w:hAnsi="Verdana" w:cs="Arial"/>
        </w:rPr>
        <w:t xml:space="preserve">: </w:t>
      </w:r>
      <w:r w:rsidR="005F1F2E" w:rsidRPr="00410E4D">
        <w:rPr>
          <w:rFonts w:ascii="Verdana" w:hAnsi="Verdana" w:cs="Arial"/>
        </w:rPr>
        <w:t>subcutaneous fat decreases</w:t>
      </w:r>
      <w:r w:rsidR="00766536" w:rsidRPr="00410E4D">
        <w:rPr>
          <w:rFonts w:ascii="Verdana" w:hAnsi="Verdana" w:cs="Arial"/>
        </w:rPr>
        <w:t xml:space="preserve"> as visceral</w:t>
      </w:r>
      <w:r w:rsidR="005F1F2E" w:rsidRPr="00410E4D">
        <w:rPr>
          <w:rFonts w:ascii="Verdana" w:hAnsi="Verdana" w:cs="Arial"/>
        </w:rPr>
        <w:t xml:space="preserve"> fat increases. Muscle </w:t>
      </w:r>
      <w:r w:rsidR="00766536" w:rsidRPr="00410E4D">
        <w:rPr>
          <w:rFonts w:ascii="Verdana" w:hAnsi="Verdana" w:cs="Arial"/>
        </w:rPr>
        <w:t xml:space="preserve">is infiltrated with fat and collagen is deposited. </w:t>
      </w:r>
      <w:r w:rsidR="002B744A" w:rsidRPr="00410E4D">
        <w:rPr>
          <w:rFonts w:ascii="Verdana" w:hAnsi="Verdana" w:cs="Arial"/>
        </w:rPr>
        <w:t xml:space="preserve">Motor units are </w:t>
      </w:r>
      <w:proofErr w:type="spellStart"/>
      <w:r w:rsidR="002B744A" w:rsidRPr="00410E4D">
        <w:rPr>
          <w:rFonts w:ascii="Verdana" w:hAnsi="Verdana" w:cs="Arial"/>
        </w:rPr>
        <w:t>denervated</w:t>
      </w:r>
      <w:proofErr w:type="spellEnd"/>
      <w:r w:rsidR="002B744A" w:rsidRPr="00410E4D">
        <w:rPr>
          <w:rFonts w:ascii="Verdana" w:hAnsi="Verdana" w:cs="Arial"/>
        </w:rPr>
        <w:t xml:space="preserve"> and f</w:t>
      </w:r>
      <w:r w:rsidR="00766536" w:rsidRPr="00410E4D">
        <w:rPr>
          <w:rFonts w:ascii="Verdana" w:hAnsi="Verdana" w:cs="Arial"/>
        </w:rPr>
        <w:t>ast type II muscle fibres are converted to slow type I fibres</w:t>
      </w:r>
      <w:r w:rsidR="00B17F93" w:rsidRPr="00410E4D">
        <w:rPr>
          <w:rFonts w:ascii="Verdana" w:hAnsi="Verdana" w:cs="Arial"/>
        </w:rPr>
        <w:t xml:space="preserve"> </w:t>
      </w:r>
      <w:r w:rsidR="00213ACC" w:rsidRPr="00410E4D">
        <w:rPr>
          <w:rFonts w:ascii="Verdana" w:hAnsi="Verdana" w:cs="Arial"/>
        </w:rPr>
        <w:t>[3</w:t>
      </w:r>
      <w:r w:rsidR="00252D5F" w:rsidRPr="00410E4D">
        <w:rPr>
          <w:rFonts w:ascii="Verdana" w:hAnsi="Verdana" w:cs="Arial"/>
        </w:rPr>
        <w:t>, 5</w:t>
      </w:r>
      <w:r w:rsidR="00213ACC" w:rsidRPr="00410E4D">
        <w:rPr>
          <w:rFonts w:ascii="Verdana" w:hAnsi="Verdana" w:cs="Arial"/>
        </w:rPr>
        <w:t>]</w:t>
      </w:r>
      <w:r w:rsidR="00766536" w:rsidRPr="00410E4D">
        <w:rPr>
          <w:rFonts w:ascii="Verdana" w:hAnsi="Verdana" w:cs="Arial"/>
        </w:rPr>
        <w:t xml:space="preserve">. </w:t>
      </w:r>
      <w:r w:rsidR="002B744A" w:rsidRPr="00410E4D">
        <w:rPr>
          <w:rFonts w:ascii="Verdana" w:hAnsi="Verdana" w:cs="Arial"/>
        </w:rPr>
        <w:t xml:space="preserve">These changes lead to a decrease in muscle mass and strength. Muscle mass decreases annually from the age of fifty by 1-2% and </w:t>
      </w:r>
      <w:r w:rsidR="00B17F93" w:rsidRPr="00410E4D">
        <w:rPr>
          <w:rFonts w:ascii="Verdana" w:hAnsi="Verdana" w:cs="Arial"/>
        </w:rPr>
        <w:t>muscle strength similarly decrease</w:t>
      </w:r>
      <w:r w:rsidR="00FF2561" w:rsidRPr="00410E4D">
        <w:rPr>
          <w:rFonts w:ascii="Verdana" w:hAnsi="Verdana" w:cs="Arial"/>
        </w:rPr>
        <w:t>s</w:t>
      </w:r>
      <w:r w:rsidR="00B17F93" w:rsidRPr="00410E4D">
        <w:rPr>
          <w:rFonts w:ascii="Verdana" w:hAnsi="Verdana" w:cs="Arial"/>
        </w:rPr>
        <w:t>, by 1.5% from the age of fifty to sixty and by 3% thereafter</w:t>
      </w:r>
      <w:r w:rsidR="00B33099" w:rsidRPr="00410E4D">
        <w:rPr>
          <w:rFonts w:ascii="Verdana" w:hAnsi="Verdana" w:cs="Arial"/>
        </w:rPr>
        <w:t xml:space="preserve"> </w:t>
      </w:r>
      <w:r w:rsidR="0027284A" w:rsidRPr="00410E4D">
        <w:rPr>
          <w:rFonts w:ascii="Verdana" w:hAnsi="Verdana" w:cs="Arial"/>
        </w:rPr>
        <w:t>[6]</w:t>
      </w:r>
      <w:r w:rsidR="00B17F93" w:rsidRPr="00410E4D">
        <w:rPr>
          <w:rFonts w:ascii="Verdana" w:hAnsi="Verdana" w:cs="Arial"/>
        </w:rPr>
        <w:t>.</w:t>
      </w:r>
      <w:r w:rsidR="00CE54B6" w:rsidRPr="00410E4D">
        <w:rPr>
          <w:rFonts w:ascii="Verdana" w:hAnsi="Verdana" w:cs="Arial"/>
        </w:rPr>
        <w:t xml:space="preserve"> </w:t>
      </w:r>
      <w:r w:rsidR="00810B74" w:rsidRPr="00410E4D">
        <w:rPr>
          <w:rFonts w:ascii="Verdana" w:hAnsi="Verdana" w:cs="Arial"/>
        </w:rPr>
        <w:t xml:space="preserve">Decreases in muscle mass and strength also have a negative effect on bone </w:t>
      </w:r>
      <w:r w:rsidR="00092E44" w:rsidRPr="00410E4D">
        <w:rPr>
          <w:rFonts w:ascii="Verdana" w:hAnsi="Verdana" w:cs="Arial"/>
        </w:rPr>
        <w:t>mineral density, which</w:t>
      </w:r>
      <w:r w:rsidR="00810B74" w:rsidRPr="00410E4D">
        <w:rPr>
          <w:rFonts w:ascii="Verdana" w:hAnsi="Verdana" w:cs="Arial"/>
        </w:rPr>
        <w:t xml:space="preserve"> also decreases with age.</w:t>
      </w:r>
    </w:p>
    <w:p w:rsidR="00AB382D" w:rsidRPr="00410E4D" w:rsidRDefault="00AB382D" w:rsidP="00AB382D">
      <w:pPr>
        <w:spacing w:line="480" w:lineRule="auto"/>
        <w:jc w:val="both"/>
        <w:rPr>
          <w:rFonts w:ascii="Verdana" w:hAnsi="Verdana" w:cs="Arial"/>
        </w:rPr>
      </w:pPr>
      <w:r w:rsidRPr="00410E4D">
        <w:rPr>
          <w:rFonts w:ascii="Verdana" w:hAnsi="Verdana" w:cs="Arial"/>
        </w:rPr>
        <w:t>Loss of bone mineral density is also mediated by oestrogen. The loss of oestrogen at menopause is an important factor for musculoskeletal aging in women. It is associated with a rapid decline in bone mineral density (BMD), muscle mass and muscle strength [3]. There is no comparable androgen state of middle life in men, although lower levels of testosterone predict sarcopenia, lower levels of protein synthesis and loss of muscle mass [7].</w:t>
      </w:r>
    </w:p>
    <w:p w:rsidR="00AB382D" w:rsidRPr="00410E4D" w:rsidRDefault="00AB382D" w:rsidP="00AB382D">
      <w:pPr>
        <w:spacing w:line="480" w:lineRule="auto"/>
        <w:jc w:val="both"/>
        <w:rPr>
          <w:rFonts w:ascii="Verdana" w:hAnsi="Verdana" w:cs="Arial"/>
        </w:rPr>
      </w:pPr>
      <w:r w:rsidRPr="00410E4D">
        <w:rPr>
          <w:rFonts w:ascii="Verdana" w:hAnsi="Verdana" w:cs="Arial"/>
        </w:rPr>
        <w:t xml:space="preserve">Protein intake is one stimulus for protein synthesis. However, the phenomenon of anorexia of aging means that older people often have a decreased protein intake. </w:t>
      </w:r>
      <w:proofErr w:type="gramStart"/>
      <w:r w:rsidRPr="00410E4D">
        <w:rPr>
          <w:rFonts w:ascii="Verdana" w:hAnsi="Verdana" w:cs="Arial"/>
        </w:rPr>
        <w:t>As a recognised state of older age is reduced response to anabolic stimuli [4, 5], aging here effects both availability of the stimulus and the ability to react to it.</w:t>
      </w:r>
      <w:proofErr w:type="gramEnd"/>
      <w:r w:rsidRPr="00410E4D">
        <w:rPr>
          <w:rFonts w:ascii="Verdana" w:hAnsi="Verdana" w:cs="Arial"/>
        </w:rPr>
        <w:t xml:space="preserve"> </w:t>
      </w:r>
    </w:p>
    <w:p w:rsidR="00AB382D" w:rsidRPr="00410E4D" w:rsidRDefault="00AB382D" w:rsidP="00AB382D">
      <w:pPr>
        <w:spacing w:line="480" w:lineRule="auto"/>
        <w:jc w:val="both"/>
        <w:rPr>
          <w:rFonts w:ascii="Verdana" w:hAnsi="Verdana" w:cs="Arial"/>
        </w:rPr>
      </w:pPr>
    </w:p>
    <w:p w:rsidR="00AB382D" w:rsidRPr="00410E4D" w:rsidRDefault="00AB382D" w:rsidP="00F810E2">
      <w:pPr>
        <w:spacing w:line="480" w:lineRule="auto"/>
        <w:jc w:val="both"/>
        <w:rPr>
          <w:rFonts w:ascii="Verdana" w:hAnsi="Verdana" w:cs="Arial"/>
        </w:rPr>
      </w:pPr>
    </w:p>
    <w:p w:rsidR="00587F11" w:rsidRPr="00410E4D" w:rsidRDefault="00587F11" w:rsidP="00F810E2">
      <w:pPr>
        <w:spacing w:line="480" w:lineRule="auto"/>
        <w:jc w:val="both"/>
        <w:rPr>
          <w:rFonts w:ascii="Verdana" w:hAnsi="Verdana" w:cs="Arial"/>
        </w:rPr>
      </w:pPr>
    </w:p>
    <w:p w:rsidR="005F6709" w:rsidRPr="00410E4D" w:rsidRDefault="00AB382D" w:rsidP="00F810E2">
      <w:pPr>
        <w:spacing w:line="480" w:lineRule="auto"/>
        <w:jc w:val="both"/>
        <w:rPr>
          <w:rFonts w:ascii="Verdana" w:hAnsi="Verdana" w:cs="Arial"/>
        </w:rPr>
      </w:pPr>
      <w:r w:rsidRPr="00410E4D">
        <w:rPr>
          <w:rFonts w:ascii="Verdana" w:hAnsi="Verdana" w:cs="Arial"/>
        </w:rPr>
        <w:t xml:space="preserve">The pro-inflammatory nature of aging contributes to the anorexia of aging. </w:t>
      </w:r>
      <w:r w:rsidR="00905051" w:rsidRPr="00410E4D">
        <w:rPr>
          <w:rFonts w:ascii="Verdana" w:hAnsi="Verdana" w:cs="Arial"/>
        </w:rPr>
        <w:t xml:space="preserve"> </w:t>
      </w:r>
      <w:r w:rsidRPr="00410E4D">
        <w:rPr>
          <w:rFonts w:ascii="Verdana" w:hAnsi="Verdana" w:cs="Arial"/>
        </w:rPr>
        <w:t>As we age the p</w:t>
      </w:r>
      <w:r w:rsidR="00905051" w:rsidRPr="00410E4D">
        <w:rPr>
          <w:rFonts w:ascii="Verdana" w:hAnsi="Verdana" w:cs="Arial"/>
        </w:rPr>
        <w:t>roduction of pro-inflammatory factors, including IL-6, CRP and TNF-alpha, is increased</w:t>
      </w:r>
      <w:r w:rsidR="00FF7182" w:rsidRPr="00410E4D">
        <w:rPr>
          <w:rFonts w:ascii="Verdana" w:hAnsi="Verdana" w:cs="Arial"/>
        </w:rPr>
        <w:t xml:space="preserve"> [7]</w:t>
      </w:r>
      <w:r w:rsidR="00905051" w:rsidRPr="00410E4D">
        <w:rPr>
          <w:rFonts w:ascii="Verdana" w:hAnsi="Verdana" w:cs="Arial"/>
        </w:rPr>
        <w:t>. This low level increase in serum inflammatory markers is associated with impaired motor and cognitive function and is an independent risk factor for im</w:t>
      </w:r>
      <w:r w:rsidR="005F6709" w:rsidRPr="00410E4D">
        <w:rPr>
          <w:rFonts w:ascii="Verdana" w:hAnsi="Verdana" w:cs="Arial"/>
        </w:rPr>
        <w:t>paired mobility and disability</w:t>
      </w:r>
      <w:r w:rsidR="00FF7182" w:rsidRPr="00410E4D">
        <w:rPr>
          <w:rFonts w:ascii="Verdana" w:hAnsi="Verdana" w:cs="Arial"/>
        </w:rPr>
        <w:t xml:space="preserve"> [4]</w:t>
      </w:r>
      <w:r w:rsidR="005F6709" w:rsidRPr="00410E4D">
        <w:rPr>
          <w:rFonts w:ascii="Verdana" w:hAnsi="Verdana" w:cs="Arial"/>
        </w:rPr>
        <w:t>.</w:t>
      </w:r>
      <w:r w:rsidR="00CE54B6" w:rsidRPr="00410E4D">
        <w:rPr>
          <w:rFonts w:ascii="Verdana" w:hAnsi="Verdana" w:cs="Arial"/>
        </w:rPr>
        <w:t xml:space="preserve"> </w:t>
      </w:r>
      <w:r w:rsidR="005F6709" w:rsidRPr="00410E4D">
        <w:rPr>
          <w:rFonts w:ascii="Verdana" w:hAnsi="Verdana" w:cs="Arial"/>
        </w:rPr>
        <w:t xml:space="preserve">This natural pro-inflammatory state can exacerbate any previous inflammatory exposure through life and any concurrent inflammatory disease process. </w:t>
      </w:r>
    </w:p>
    <w:p w:rsidR="00587F11" w:rsidRPr="00410E4D" w:rsidRDefault="00587F11" w:rsidP="00F810E2">
      <w:pPr>
        <w:spacing w:line="480" w:lineRule="auto"/>
        <w:jc w:val="both"/>
        <w:rPr>
          <w:rFonts w:ascii="Verdana" w:hAnsi="Verdana" w:cs="Arial"/>
        </w:rPr>
      </w:pPr>
    </w:p>
    <w:p w:rsidR="00587F11" w:rsidRPr="00410E4D" w:rsidRDefault="00587F11"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b/>
        </w:rPr>
      </w:pPr>
      <w:r w:rsidRPr="00410E4D">
        <w:rPr>
          <w:rFonts w:ascii="Verdana" w:hAnsi="Verdana" w:cs="Arial"/>
          <w:b/>
        </w:rPr>
        <w:t>Measuring the phenotype</w:t>
      </w:r>
    </w:p>
    <w:p w:rsidR="00E975AA" w:rsidRPr="00410E4D" w:rsidRDefault="00E975AA" w:rsidP="00F810E2">
      <w:pPr>
        <w:spacing w:line="480" w:lineRule="auto"/>
        <w:jc w:val="both"/>
        <w:rPr>
          <w:rFonts w:ascii="Verdana" w:hAnsi="Verdana" w:cs="Arial"/>
        </w:rPr>
      </w:pPr>
      <w:r w:rsidRPr="00410E4D">
        <w:rPr>
          <w:rFonts w:ascii="Verdana" w:hAnsi="Verdana" w:cs="Arial"/>
        </w:rPr>
        <w:t>OSTEOPOROSIS</w:t>
      </w:r>
    </w:p>
    <w:p w:rsidR="00E975AA" w:rsidRPr="00410E4D" w:rsidRDefault="00E975AA" w:rsidP="00F810E2">
      <w:pPr>
        <w:spacing w:line="480" w:lineRule="auto"/>
        <w:jc w:val="both"/>
        <w:rPr>
          <w:rFonts w:ascii="Verdana" w:hAnsi="Verdana" w:cs="Arial"/>
        </w:rPr>
      </w:pPr>
      <w:r w:rsidRPr="00410E4D">
        <w:rPr>
          <w:rFonts w:ascii="Verdana" w:hAnsi="Verdana" w:cs="Arial"/>
        </w:rPr>
        <w:t xml:space="preserve">Osteoporosis is a skeletal disorder characterised by diminished bone strength, </w:t>
      </w:r>
      <w:proofErr w:type="spellStart"/>
      <w:r w:rsidRPr="00410E4D">
        <w:rPr>
          <w:rFonts w:ascii="Verdana" w:hAnsi="Verdana" w:cs="Arial"/>
        </w:rPr>
        <w:t>microarchitectural</w:t>
      </w:r>
      <w:proofErr w:type="spellEnd"/>
      <w:r w:rsidRPr="00410E4D">
        <w:rPr>
          <w:rFonts w:ascii="Verdana" w:hAnsi="Verdana" w:cs="Arial"/>
        </w:rPr>
        <w:t xml:space="preserve"> deterioration and increased propensity to fracture. Fragility fracture is its major clinical consequence </w:t>
      </w:r>
      <w:r w:rsidR="00360084" w:rsidRPr="00410E4D">
        <w:rPr>
          <w:rFonts w:ascii="Verdana" w:hAnsi="Verdana" w:cs="Arial"/>
        </w:rPr>
        <w:t>[8]</w:t>
      </w:r>
      <w:r w:rsidRPr="00410E4D">
        <w:rPr>
          <w:rFonts w:ascii="Verdana" w:hAnsi="Verdana" w:cs="Arial"/>
        </w:rPr>
        <w:t xml:space="preserve">. It affects over 22 million women aged over 50 years in Europe, or 22% of the female population in 2010 </w:t>
      </w:r>
      <w:r w:rsidR="00360084" w:rsidRPr="00410E4D">
        <w:rPr>
          <w:rFonts w:ascii="Verdana" w:hAnsi="Verdana" w:cs="Arial"/>
        </w:rPr>
        <w:t>[3]</w:t>
      </w:r>
      <w:r w:rsidRPr="00410E4D">
        <w:rPr>
          <w:rFonts w:ascii="Verdana" w:hAnsi="Verdana" w:cs="Arial"/>
        </w:rPr>
        <w:t>. Although women bear the greatest burden of this disease it is not solely a female concern: 13% of men will experience an osteoporotic fracture</w:t>
      </w:r>
      <w:r w:rsidR="005A64A3" w:rsidRPr="00410E4D">
        <w:rPr>
          <w:rFonts w:ascii="Verdana" w:hAnsi="Verdana" w:cs="Arial"/>
        </w:rPr>
        <w:t xml:space="preserve"> [9]</w:t>
      </w:r>
      <w:r w:rsidRPr="00410E4D">
        <w:rPr>
          <w:rFonts w:ascii="Verdana" w:hAnsi="Verdana" w:cs="Arial"/>
        </w:rPr>
        <w:t xml:space="preserve">. </w:t>
      </w:r>
    </w:p>
    <w:p w:rsidR="00587F11" w:rsidRPr="00410E4D" w:rsidRDefault="00587F11"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rPr>
      </w:pPr>
      <w:r w:rsidRPr="00410E4D">
        <w:rPr>
          <w:rFonts w:ascii="Verdana" w:hAnsi="Verdana" w:cs="Arial"/>
        </w:rPr>
        <w:lastRenderedPageBreak/>
        <w:t>Osteoporosis is defined by the WHO using bone mineral density</w:t>
      </w:r>
      <w:r w:rsidR="007C1B73" w:rsidRPr="00410E4D">
        <w:rPr>
          <w:rFonts w:ascii="Verdana" w:hAnsi="Verdana" w:cs="Arial"/>
        </w:rPr>
        <w:t xml:space="preserve"> (BMD)</w:t>
      </w:r>
      <w:r w:rsidRPr="00410E4D">
        <w:rPr>
          <w:rFonts w:ascii="Verdana" w:hAnsi="Verdana" w:cs="Arial"/>
        </w:rPr>
        <w:t xml:space="preserve"> cut-offs: the presence of a DXA T</w:t>
      </w:r>
      <w:r w:rsidR="007C1B73" w:rsidRPr="00410E4D">
        <w:rPr>
          <w:rFonts w:ascii="Verdana" w:hAnsi="Verdana" w:cs="Arial"/>
        </w:rPr>
        <w:t xml:space="preserve"> </w:t>
      </w:r>
      <w:r w:rsidRPr="00410E4D">
        <w:rPr>
          <w:rFonts w:ascii="Verdana" w:hAnsi="Verdana" w:cs="Arial"/>
        </w:rPr>
        <w:t xml:space="preserve">score of ≤-2.5. However, a definition using BMD alone misses many other risk factors for fracture and does not enable all of those at risk of osteoporotic fracture to be identified </w:t>
      </w:r>
      <w:r w:rsidR="00A01088" w:rsidRPr="00410E4D">
        <w:rPr>
          <w:rFonts w:ascii="Verdana" w:hAnsi="Verdana" w:cs="Arial"/>
        </w:rPr>
        <w:t>[10]</w:t>
      </w:r>
      <w:r w:rsidRPr="00410E4D">
        <w:rPr>
          <w:rFonts w:ascii="Verdana" w:hAnsi="Verdana" w:cs="Arial"/>
        </w:rPr>
        <w:t xml:space="preserve">: the majority of fragility fractures occur in postmenopausal women who do not have osteoporosis by WHO definitions </w:t>
      </w:r>
      <w:r w:rsidR="00554BD1" w:rsidRPr="00410E4D">
        <w:rPr>
          <w:rFonts w:ascii="Verdana" w:hAnsi="Verdana" w:cs="Arial"/>
        </w:rPr>
        <w:t>[11]</w:t>
      </w:r>
      <w:r w:rsidRPr="00410E4D">
        <w:rPr>
          <w:rFonts w:ascii="Verdana" w:hAnsi="Verdana" w:cs="Arial"/>
        </w:rPr>
        <w:t>.</w:t>
      </w:r>
    </w:p>
    <w:p w:rsidR="00587F11" w:rsidRPr="00410E4D" w:rsidRDefault="00587F11"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rPr>
      </w:pPr>
      <w:r w:rsidRPr="00410E4D">
        <w:rPr>
          <w:rFonts w:ascii="Verdana" w:hAnsi="Verdana" w:cs="Arial"/>
        </w:rPr>
        <w:t xml:space="preserve">Fracture risk calculators exist to help guide clinicians in managing osteoporosis and understanding likelihood of fracture tailored to individual patients. Osteoporosis tools have been studied in different populations. The three most commonly used are FRAX, </w:t>
      </w:r>
      <w:proofErr w:type="spellStart"/>
      <w:r w:rsidRPr="00410E4D">
        <w:rPr>
          <w:rFonts w:ascii="Verdana" w:hAnsi="Verdana" w:cs="Arial"/>
        </w:rPr>
        <w:t>QFracture</w:t>
      </w:r>
      <w:proofErr w:type="spellEnd"/>
      <w:r w:rsidRPr="00410E4D">
        <w:rPr>
          <w:rFonts w:ascii="Verdana" w:hAnsi="Verdana" w:cs="Arial"/>
        </w:rPr>
        <w:t xml:space="preserve"> (both original and 2012 revised version) and </w:t>
      </w:r>
      <w:proofErr w:type="spellStart"/>
      <w:r w:rsidRPr="00410E4D">
        <w:rPr>
          <w:rFonts w:ascii="Verdana" w:hAnsi="Verdana" w:cs="Arial"/>
        </w:rPr>
        <w:t>Garvan</w:t>
      </w:r>
      <w:proofErr w:type="spellEnd"/>
      <w:r w:rsidRPr="00410E4D">
        <w:rPr>
          <w:rFonts w:ascii="Verdana" w:hAnsi="Verdana" w:cs="Arial"/>
        </w:rPr>
        <w:t>. All the tools vary in number of risk factors taken into account; from 4 to 33. This affects not only their sensitivity and specificity, but also their pragmatic clinical use. They differ also in predictive time period from 5 to ten years, which has implications for their review e.g. when they are judged in a follow up period shorter than that for which they are designed to predict</w:t>
      </w:r>
      <w:r w:rsidR="005338FF" w:rsidRPr="00410E4D">
        <w:rPr>
          <w:rFonts w:ascii="Verdana" w:hAnsi="Verdana" w:cs="Arial"/>
        </w:rPr>
        <w:t xml:space="preserve"> [12]</w:t>
      </w:r>
      <w:r w:rsidRPr="00410E4D">
        <w:rPr>
          <w:rFonts w:ascii="Verdana" w:hAnsi="Verdana" w:cs="Arial"/>
        </w:rPr>
        <w:t>. Different countries have different thresholds for intervention: often determined on a cost basis</w:t>
      </w:r>
      <w:r w:rsidR="007E239B" w:rsidRPr="00410E4D">
        <w:rPr>
          <w:rFonts w:ascii="Verdana" w:hAnsi="Verdana" w:cs="Arial"/>
        </w:rPr>
        <w:t xml:space="preserve"> [11]</w:t>
      </w:r>
      <w:r w:rsidRPr="00410E4D">
        <w:rPr>
          <w:rFonts w:ascii="Verdana" w:hAnsi="Verdana" w:cs="Arial"/>
        </w:rPr>
        <w:t xml:space="preserve">. In the UK FRAX is often paired with National Osteoporosis Guideline Group (NOGG) recommendations on treatment initiation. However, in a paper looking at fracture risk estimation tools in clinical practice, significant disparity was found between FRAX with and FRAX without NOGG in comparison to </w:t>
      </w:r>
      <w:proofErr w:type="spellStart"/>
      <w:r w:rsidRPr="00410E4D">
        <w:rPr>
          <w:rFonts w:ascii="Verdana" w:hAnsi="Verdana" w:cs="Arial"/>
        </w:rPr>
        <w:t>Qfracture</w:t>
      </w:r>
      <w:proofErr w:type="spellEnd"/>
      <w:r w:rsidR="00A22167" w:rsidRPr="00410E4D">
        <w:rPr>
          <w:rFonts w:ascii="Verdana" w:hAnsi="Verdana" w:cs="Arial"/>
        </w:rPr>
        <w:t xml:space="preserve"> [13]</w:t>
      </w:r>
      <w:r w:rsidRPr="00410E4D">
        <w:rPr>
          <w:rFonts w:ascii="Verdana" w:hAnsi="Verdana" w:cs="Arial"/>
        </w:rPr>
        <w:t>. This highlights the need to always consider the patient and their own appreciation of risk and benefit, as even the tools designed to assist are not conclusive.</w:t>
      </w:r>
    </w:p>
    <w:p w:rsidR="008B3F17" w:rsidRPr="00410E4D" w:rsidRDefault="008B3F17" w:rsidP="00F810E2">
      <w:pPr>
        <w:spacing w:line="480" w:lineRule="auto"/>
        <w:jc w:val="both"/>
        <w:rPr>
          <w:rFonts w:ascii="Verdana" w:hAnsi="Verdana" w:cs="Arial"/>
        </w:rPr>
      </w:pPr>
      <w:r w:rsidRPr="00410E4D">
        <w:rPr>
          <w:rFonts w:ascii="Verdana" w:hAnsi="Verdana" w:cs="Arial"/>
        </w:rPr>
        <w:lastRenderedPageBreak/>
        <w:t xml:space="preserve">Weight-bearing exercise should usually be recommended as it helps not only in terms of bone strength but improves muscle strength and helps mediate falls risk. When pharmacological intervention is indicated, it focuses primarily on </w:t>
      </w:r>
      <w:proofErr w:type="spellStart"/>
      <w:r w:rsidRPr="00410E4D">
        <w:rPr>
          <w:rFonts w:ascii="Verdana" w:hAnsi="Verdana" w:cs="Arial"/>
        </w:rPr>
        <w:t>antiresorptive</w:t>
      </w:r>
      <w:proofErr w:type="spellEnd"/>
      <w:r w:rsidRPr="00410E4D">
        <w:rPr>
          <w:rFonts w:ascii="Verdana" w:hAnsi="Verdana" w:cs="Arial"/>
        </w:rPr>
        <w:t xml:space="preserve"> agents such as bisphosphonates and </w:t>
      </w:r>
      <w:proofErr w:type="spellStart"/>
      <w:r w:rsidRPr="00410E4D">
        <w:rPr>
          <w:rFonts w:ascii="Verdana" w:hAnsi="Verdana" w:cs="Arial"/>
        </w:rPr>
        <w:t>denosumab</w:t>
      </w:r>
      <w:proofErr w:type="spellEnd"/>
      <w:r w:rsidRPr="00410E4D">
        <w:rPr>
          <w:rFonts w:ascii="Verdana" w:hAnsi="Verdana" w:cs="Arial"/>
        </w:rPr>
        <w:t xml:space="preserve"> rather than pro-anabolic therapies. Agents which appear to stimulate bone formation, such as </w:t>
      </w:r>
      <w:proofErr w:type="spellStart"/>
      <w:r w:rsidRPr="00410E4D">
        <w:rPr>
          <w:rFonts w:ascii="Verdana" w:hAnsi="Verdana" w:cs="Arial"/>
        </w:rPr>
        <w:t>sclerostin</w:t>
      </w:r>
      <w:proofErr w:type="spellEnd"/>
      <w:r w:rsidRPr="00410E4D">
        <w:rPr>
          <w:rFonts w:ascii="Verdana" w:hAnsi="Verdana" w:cs="Arial"/>
        </w:rPr>
        <w:t xml:space="preserve"> antibody treatment [9], are currently in development and results awaited with interest.</w:t>
      </w:r>
    </w:p>
    <w:p w:rsidR="00E975AA" w:rsidRPr="00410E4D" w:rsidRDefault="00E975AA"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rPr>
      </w:pPr>
      <w:r w:rsidRPr="00410E4D">
        <w:rPr>
          <w:rFonts w:ascii="Verdana" w:hAnsi="Verdana" w:cs="Arial"/>
        </w:rPr>
        <w:t>OSTEOARTHRITIS</w:t>
      </w:r>
    </w:p>
    <w:p w:rsidR="00E975AA" w:rsidRPr="00410E4D" w:rsidRDefault="00E975AA" w:rsidP="00F810E2">
      <w:pPr>
        <w:spacing w:line="480" w:lineRule="auto"/>
        <w:jc w:val="both"/>
        <w:rPr>
          <w:rFonts w:ascii="Verdana" w:hAnsi="Verdana" w:cs="Arial"/>
        </w:rPr>
      </w:pPr>
      <w:r w:rsidRPr="00410E4D">
        <w:rPr>
          <w:rFonts w:ascii="Verdana" w:hAnsi="Verdana" w:cs="Arial"/>
        </w:rPr>
        <w:t>The Royal College of General Practitioners estimated in 2006 that over 1</w:t>
      </w:r>
      <w:r w:rsidR="00587F11" w:rsidRPr="00410E4D">
        <w:rPr>
          <w:rFonts w:ascii="Verdana" w:hAnsi="Verdana" w:cs="Arial"/>
        </w:rPr>
        <w:t xml:space="preserve"> </w:t>
      </w:r>
      <w:r w:rsidRPr="00410E4D">
        <w:rPr>
          <w:rFonts w:ascii="Verdana" w:hAnsi="Verdana" w:cs="Arial"/>
        </w:rPr>
        <w:t>million adults annually consult their GP with symptoms of osteoarthritis. The UK department of work and pensions estimated 36 million work days were lost to osteoarthritis in 2002 alone, with an estimated loss of economic productivity of £3.2 billion. Osteoarthritis is the most frequent cause of hip and knee replacements in the UK (93% of hip and 97% of primary knee replacements in 2010) at a cost of £852 million in 2010</w:t>
      </w:r>
      <w:r w:rsidR="003E06EC" w:rsidRPr="00410E4D">
        <w:rPr>
          <w:rFonts w:ascii="Verdana" w:hAnsi="Verdana" w:cs="Arial"/>
        </w:rPr>
        <w:t xml:space="preserve"> [14]</w:t>
      </w:r>
      <w:r w:rsidRPr="00410E4D">
        <w:rPr>
          <w:rFonts w:ascii="Verdana" w:hAnsi="Verdana" w:cs="Arial"/>
        </w:rPr>
        <w:t xml:space="preserve">. </w:t>
      </w:r>
    </w:p>
    <w:p w:rsidR="00587F11" w:rsidRPr="00410E4D" w:rsidRDefault="00587F11"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cs="Arial"/>
        </w:rPr>
      </w:pPr>
      <w:r w:rsidRPr="00410E4D">
        <w:rPr>
          <w:rFonts w:ascii="Verdana" w:hAnsi="Verdana" w:cs="Arial"/>
        </w:rPr>
        <w:t>Osteoarthritis is a multifactorial degenerative disease of the joints, characterised by cartilage degradation, bone remodelling, osteophyte formation, joint inflammation and loss of normal joint function, affecting over half of adults over 65 years</w:t>
      </w:r>
      <w:r w:rsidR="00C57CE8" w:rsidRPr="00410E4D">
        <w:rPr>
          <w:rFonts w:ascii="Verdana" w:hAnsi="Verdana" w:cs="Arial"/>
        </w:rPr>
        <w:t xml:space="preserve"> [15, </w:t>
      </w:r>
      <w:r w:rsidR="00CA5B27" w:rsidRPr="00410E4D">
        <w:rPr>
          <w:rFonts w:ascii="Verdana" w:hAnsi="Verdana" w:cs="Arial"/>
        </w:rPr>
        <w:t>16]</w:t>
      </w:r>
      <w:r w:rsidRPr="00410E4D">
        <w:rPr>
          <w:rFonts w:ascii="Verdana" w:hAnsi="Verdana" w:cs="Arial"/>
        </w:rPr>
        <w:t xml:space="preserve">. </w:t>
      </w:r>
      <w:r w:rsidR="008D289F" w:rsidRPr="00410E4D">
        <w:rPr>
          <w:rFonts w:ascii="Verdana" w:hAnsi="Verdana" w:cs="Arial"/>
        </w:rPr>
        <w:t xml:space="preserve">As global rates of obesity rise (with one third of the adult population over sixty obese in the USA [4]) obesity is an increasingly important predisposing factor to symptomatic OA. It has multiple routes of potential damage, as a </w:t>
      </w:r>
      <w:proofErr w:type="spellStart"/>
      <w:r w:rsidR="008D289F" w:rsidRPr="00410E4D">
        <w:rPr>
          <w:rFonts w:ascii="Verdana" w:hAnsi="Verdana" w:cs="Arial"/>
        </w:rPr>
        <w:t>proinflammatory</w:t>
      </w:r>
      <w:proofErr w:type="spellEnd"/>
      <w:r w:rsidR="008D289F" w:rsidRPr="00410E4D">
        <w:rPr>
          <w:rFonts w:ascii="Verdana" w:hAnsi="Verdana" w:cs="Arial"/>
        </w:rPr>
        <w:t xml:space="preserve"> state with increased </w:t>
      </w:r>
      <w:proofErr w:type="spellStart"/>
      <w:r w:rsidR="008D289F" w:rsidRPr="00410E4D">
        <w:rPr>
          <w:rFonts w:ascii="Verdana" w:hAnsi="Verdana" w:cs="Arial"/>
        </w:rPr>
        <w:t>adipokines</w:t>
      </w:r>
      <w:proofErr w:type="spellEnd"/>
      <w:r w:rsidR="008D289F" w:rsidRPr="00410E4D">
        <w:rPr>
          <w:rFonts w:ascii="Verdana" w:hAnsi="Verdana" w:cs="Arial"/>
        </w:rPr>
        <w:t xml:space="preserve"> and as a state </w:t>
      </w:r>
      <w:r w:rsidR="008D289F" w:rsidRPr="00410E4D">
        <w:rPr>
          <w:rFonts w:ascii="Verdana" w:hAnsi="Verdana" w:cs="Arial"/>
        </w:rPr>
        <w:lastRenderedPageBreak/>
        <w:t xml:space="preserve">which produces increased mechanical loading stress.  </w:t>
      </w:r>
      <w:r w:rsidRPr="00410E4D">
        <w:rPr>
          <w:rFonts w:ascii="Verdana" w:hAnsi="Verdana" w:cs="Arial"/>
        </w:rPr>
        <w:t xml:space="preserve">Prevalence </w:t>
      </w:r>
      <w:r w:rsidR="008D289F" w:rsidRPr="00410E4D">
        <w:rPr>
          <w:rFonts w:ascii="Verdana" w:hAnsi="Verdana" w:cs="Arial"/>
        </w:rPr>
        <w:t xml:space="preserve">of OA </w:t>
      </w:r>
      <w:r w:rsidRPr="00410E4D">
        <w:rPr>
          <w:rFonts w:ascii="Verdana" w:hAnsi="Verdana" w:cs="Arial"/>
        </w:rPr>
        <w:t>varies dependent on mode of definition: clinical, radiological or reported symptoms. However it is estimated that 10-20% of adults over 60 have significant clinical problems attributable to OA</w:t>
      </w:r>
      <w:r w:rsidR="00CA5B27" w:rsidRPr="00410E4D">
        <w:rPr>
          <w:rFonts w:ascii="Verdana" w:hAnsi="Verdana" w:cs="Arial"/>
        </w:rPr>
        <w:t xml:space="preserve"> [1]</w:t>
      </w:r>
      <w:r w:rsidRPr="00410E4D">
        <w:rPr>
          <w:rFonts w:ascii="Verdana" w:hAnsi="Verdana" w:cs="Arial"/>
        </w:rPr>
        <w:t>. Hip and knee OA was ranked by the Global Burden of Disease 2010 study as the 11th highest contributor to global disability</w:t>
      </w:r>
      <w:r w:rsidR="00CA5B27" w:rsidRPr="00410E4D">
        <w:rPr>
          <w:rFonts w:ascii="Verdana" w:hAnsi="Verdana" w:cs="Arial"/>
        </w:rPr>
        <w:t xml:space="preserve"> [16]</w:t>
      </w:r>
      <w:r w:rsidRPr="00410E4D">
        <w:rPr>
          <w:rFonts w:ascii="Verdana" w:hAnsi="Verdana" w:cs="Arial"/>
        </w:rPr>
        <w:t>. In terms of joint prevalence OA appears in decreasing order: hand,</w:t>
      </w:r>
      <w:r w:rsidR="00FE4504" w:rsidRPr="00410E4D">
        <w:rPr>
          <w:rFonts w:ascii="Verdana" w:hAnsi="Verdana" w:cs="Arial"/>
        </w:rPr>
        <w:t xml:space="preserve"> knee,</w:t>
      </w:r>
      <w:r w:rsidRPr="00410E4D">
        <w:rPr>
          <w:rFonts w:ascii="Verdana" w:hAnsi="Verdana" w:cs="Arial"/>
        </w:rPr>
        <w:t xml:space="preserve"> hip</w:t>
      </w:r>
      <w:r w:rsidR="005D1CAC" w:rsidRPr="00410E4D">
        <w:rPr>
          <w:rFonts w:ascii="Verdana" w:hAnsi="Verdana" w:cs="Arial"/>
        </w:rPr>
        <w:t xml:space="preserve"> [17]</w:t>
      </w:r>
      <w:r w:rsidRPr="00410E4D">
        <w:rPr>
          <w:rFonts w:ascii="Verdana" w:hAnsi="Verdana" w:cs="Arial"/>
        </w:rPr>
        <w:t>.</w:t>
      </w:r>
    </w:p>
    <w:p w:rsidR="00587F11" w:rsidRPr="00410E4D" w:rsidRDefault="00587F11" w:rsidP="00F810E2">
      <w:pPr>
        <w:spacing w:line="480" w:lineRule="auto"/>
        <w:jc w:val="both"/>
        <w:rPr>
          <w:rFonts w:ascii="Verdana" w:hAnsi="Verdana" w:cs="Arial"/>
        </w:rPr>
      </w:pPr>
    </w:p>
    <w:p w:rsidR="00E975AA" w:rsidRPr="00410E4D" w:rsidRDefault="00E975AA" w:rsidP="00F810E2">
      <w:pPr>
        <w:spacing w:line="480" w:lineRule="auto"/>
        <w:jc w:val="both"/>
        <w:rPr>
          <w:rFonts w:ascii="Verdana" w:hAnsi="Verdana"/>
        </w:rPr>
      </w:pPr>
      <w:r w:rsidRPr="00410E4D">
        <w:rPr>
          <w:rFonts w:ascii="Verdana" w:hAnsi="Verdana"/>
        </w:rPr>
        <w:t>There have been many attempts to accurately identify and grade radiographic disease in OA. Of these, the classification by Kellgren and Lawrence (K&amp;L) is the most widely accepted and used. Overall grades of severity are determined from 0 to 4 and are related to the presumed sequential appearance of osteophytes, joint space loss, sclerosis and cysts</w:t>
      </w:r>
      <w:r w:rsidR="004C152C" w:rsidRPr="00410E4D">
        <w:rPr>
          <w:rFonts w:ascii="Verdana" w:hAnsi="Verdana"/>
        </w:rPr>
        <w:t xml:space="preserve"> [18]</w:t>
      </w:r>
      <w:r w:rsidRPr="00410E4D">
        <w:rPr>
          <w:rFonts w:ascii="Verdana" w:hAnsi="Verdana"/>
        </w:rPr>
        <w:t>. The World Health Organization (WHO) adopted these criteria as the standard for epidemiological studies on OA.  Cross-sectional imaging methods, such as magnetic resonance imaging (MRI), can visualize joint structures in more detail and continue to undergo evaluation to determine if they will provide a means by which the definition of OA can be refined.  Many studies now report the prevalence of self-reported or symptomatic OA; these differing approaches may go some way toward explaining part of the heterogeneity in OA estimates</w:t>
      </w:r>
      <w:r w:rsidR="000D61E4" w:rsidRPr="00410E4D">
        <w:rPr>
          <w:rFonts w:ascii="Verdana" w:hAnsi="Verdana"/>
        </w:rPr>
        <w:t xml:space="preserve"> [19]</w:t>
      </w:r>
      <w:r w:rsidRPr="00410E4D">
        <w:rPr>
          <w:rFonts w:ascii="Verdana" w:hAnsi="Verdana"/>
        </w:rPr>
        <w:t xml:space="preserve">. A recent systematic review </w:t>
      </w:r>
      <w:r w:rsidR="000D61E4" w:rsidRPr="00410E4D">
        <w:rPr>
          <w:rFonts w:ascii="Verdana" w:hAnsi="Verdana"/>
        </w:rPr>
        <w:t xml:space="preserve">[19] </w:t>
      </w:r>
      <w:r w:rsidRPr="00410E4D">
        <w:rPr>
          <w:rFonts w:ascii="Verdana" w:hAnsi="Verdana"/>
        </w:rPr>
        <w:t>attempted to understand the differences in prevalence and incidence of OA according to case definition in knee, hip and hand joints and concluded that radiographic case definition afforded the highest estimates, while self-reported and symptomatic OA definitions presented similar estimates.</w:t>
      </w:r>
    </w:p>
    <w:p w:rsidR="008D289F" w:rsidRPr="00410E4D" w:rsidRDefault="008D289F" w:rsidP="00F810E2">
      <w:pPr>
        <w:spacing w:line="480" w:lineRule="auto"/>
        <w:jc w:val="both"/>
        <w:rPr>
          <w:rFonts w:ascii="Verdana" w:hAnsi="Verdana"/>
        </w:rPr>
      </w:pPr>
      <w:r w:rsidRPr="00410E4D">
        <w:rPr>
          <w:rFonts w:ascii="Verdana" w:hAnsi="Verdana"/>
        </w:rPr>
        <w:lastRenderedPageBreak/>
        <w:t xml:space="preserve">In terms of treatment analgesia and anti-inflammatories </w:t>
      </w:r>
      <w:proofErr w:type="gramStart"/>
      <w:r w:rsidRPr="00410E4D">
        <w:rPr>
          <w:rFonts w:ascii="Verdana" w:hAnsi="Verdana"/>
        </w:rPr>
        <w:t>remain</w:t>
      </w:r>
      <w:proofErr w:type="gramEnd"/>
      <w:r w:rsidRPr="00410E4D">
        <w:rPr>
          <w:rFonts w:ascii="Verdana" w:hAnsi="Verdana"/>
        </w:rPr>
        <w:t xml:space="preserve"> the mainstay for symptomatic relief of OA. Many studies have found that moderate intensity physical exercise is associated with lower risk of joint pain and disability [16]. Moderate physical activity has the added benefit of contributing toward weight loss and muscle strengthening.  </w:t>
      </w:r>
    </w:p>
    <w:p w:rsidR="00587F11" w:rsidRPr="00410E4D" w:rsidRDefault="00587F11" w:rsidP="00F810E2">
      <w:pPr>
        <w:spacing w:line="480" w:lineRule="auto"/>
        <w:jc w:val="both"/>
        <w:rPr>
          <w:rFonts w:ascii="Verdana" w:hAnsi="Verdana" w:cs="Arial"/>
        </w:rPr>
      </w:pPr>
    </w:p>
    <w:p w:rsidR="000B6B3E" w:rsidRPr="00410E4D" w:rsidRDefault="00506A77" w:rsidP="00F810E2">
      <w:pPr>
        <w:spacing w:line="480" w:lineRule="auto"/>
        <w:jc w:val="both"/>
        <w:rPr>
          <w:rFonts w:ascii="Verdana" w:hAnsi="Verdana" w:cs="Arial"/>
        </w:rPr>
      </w:pPr>
      <w:r w:rsidRPr="00410E4D">
        <w:rPr>
          <w:rFonts w:ascii="Verdana" w:hAnsi="Verdana" w:cs="Arial"/>
        </w:rPr>
        <w:t>FRAILTY</w:t>
      </w:r>
    </w:p>
    <w:p w:rsidR="00796BC9" w:rsidRPr="00410E4D" w:rsidRDefault="00E975AA" w:rsidP="00F810E2">
      <w:pPr>
        <w:spacing w:line="480" w:lineRule="auto"/>
        <w:jc w:val="both"/>
        <w:rPr>
          <w:rFonts w:ascii="Verdana" w:hAnsi="Verdana" w:cs="Arial"/>
        </w:rPr>
      </w:pPr>
      <w:r w:rsidRPr="00410E4D">
        <w:rPr>
          <w:rFonts w:ascii="Verdana" w:hAnsi="Verdana" w:cs="Arial"/>
        </w:rPr>
        <w:t>Like the musculoskeletal conditions described above, f</w:t>
      </w:r>
      <w:r w:rsidR="00796BC9" w:rsidRPr="00410E4D">
        <w:rPr>
          <w:rFonts w:ascii="Verdana" w:hAnsi="Verdana" w:cs="Arial"/>
        </w:rPr>
        <w:t>railty is significant in its social impact: 71% of frail patients in one study were found to require some assistance with activities of daily living compared to 31% of non-frail patients</w:t>
      </w:r>
      <w:r w:rsidR="00AE65CE" w:rsidRPr="00410E4D">
        <w:rPr>
          <w:rFonts w:ascii="Verdana" w:hAnsi="Verdana" w:cs="Arial"/>
        </w:rPr>
        <w:t xml:space="preserve"> [20]</w:t>
      </w:r>
      <w:r w:rsidR="00796BC9" w:rsidRPr="00410E4D">
        <w:rPr>
          <w:rFonts w:ascii="Verdana" w:hAnsi="Verdana" w:cs="Arial"/>
        </w:rPr>
        <w:t>.</w:t>
      </w:r>
      <w:r w:rsidR="007454EF" w:rsidRPr="00410E4D">
        <w:rPr>
          <w:rFonts w:ascii="Verdana" w:hAnsi="Verdana" w:cs="Arial"/>
        </w:rPr>
        <w:t xml:space="preserve"> </w:t>
      </w:r>
      <w:r w:rsidR="00796BC9" w:rsidRPr="00410E4D">
        <w:rPr>
          <w:rFonts w:ascii="Verdana" w:hAnsi="Verdana" w:cs="Arial"/>
        </w:rPr>
        <w:t xml:space="preserve">It is significant too in its association with mortality: greater than age alone, the Canadian study of Health and </w:t>
      </w:r>
      <w:r w:rsidR="002F6053" w:rsidRPr="00410E4D">
        <w:rPr>
          <w:rFonts w:ascii="Verdana" w:hAnsi="Verdana" w:cs="Arial"/>
        </w:rPr>
        <w:t>Aging</w:t>
      </w:r>
      <w:r w:rsidR="00796BC9" w:rsidRPr="00410E4D">
        <w:rPr>
          <w:rFonts w:ascii="Verdana" w:hAnsi="Verdana" w:cs="Arial"/>
        </w:rPr>
        <w:t xml:space="preserve"> found those with mild frailty have a 5-year-risk-of-death odds ratio of 4.82; this increases to 7.34 in those with severe frailty</w:t>
      </w:r>
      <w:r w:rsidR="000851B1" w:rsidRPr="00410E4D">
        <w:rPr>
          <w:rFonts w:ascii="Verdana" w:hAnsi="Verdana" w:cs="Arial"/>
        </w:rPr>
        <w:t xml:space="preserve"> [21]</w:t>
      </w:r>
      <w:r w:rsidR="00796BC9" w:rsidRPr="00410E4D">
        <w:rPr>
          <w:rFonts w:ascii="Verdana" w:hAnsi="Verdana" w:cs="Arial"/>
        </w:rPr>
        <w:t>.</w:t>
      </w:r>
    </w:p>
    <w:p w:rsidR="00587F11" w:rsidRPr="00410E4D" w:rsidRDefault="00587F11" w:rsidP="00F810E2">
      <w:pPr>
        <w:spacing w:line="480" w:lineRule="auto"/>
        <w:jc w:val="both"/>
        <w:rPr>
          <w:rFonts w:ascii="Verdana" w:hAnsi="Verdana" w:cs="Arial"/>
        </w:rPr>
      </w:pPr>
    </w:p>
    <w:p w:rsidR="000B6B3E" w:rsidRPr="00410E4D" w:rsidRDefault="0067764B" w:rsidP="00F810E2">
      <w:pPr>
        <w:spacing w:line="480" w:lineRule="auto"/>
        <w:jc w:val="both"/>
        <w:rPr>
          <w:rFonts w:ascii="Verdana" w:hAnsi="Verdana" w:cs="Arial"/>
        </w:rPr>
      </w:pPr>
      <w:r w:rsidRPr="00410E4D">
        <w:rPr>
          <w:rFonts w:ascii="Verdana" w:hAnsi="Verdana" w:cs="Arial"/>
        </w:rPr>
        <w:t xml:space="preserve">Frailty is not an inevitable consequence of </w:t>
      </w:r>
      <w:r w:rsidR="002F6053" w:rsidRPr="00410E4D">
        <w:rPr>
          <w:rFonts w:ascii="Verdana" w:hAnsi="Verdana" w:cs="Arial"/>
        </w:rPr>
        <w:t>aging</w:t>
      </w:r>
      <w:r w:rsidRPr="00410E4D">
        <w:rPr>
          <w:rFonts w:ascii="Verdana" w:hAnsi="Verdana" w:cs="Arial"/>
        </w:rPr>
        <w:t xml:space="preserve">. </w:t>
      </w:r>
      <w:r w:rsidR="006C3C2D" w:rsidRPr="00410E4D">
        <w:rPr>
          <w:rFonts w:ascii="Verdana" w:hAnsi="Verdana" w:cs="Arial"/>
        </w:rPr>
        <w:t xml:space="preserve">Frailty is </w:t>
      </w:r>
      <w:r w:rsidRPr="00410E4D">
        <w:rPr>
          <w:rFonts w:ascii="Verdana" w:hAnsi="Verdana" w:cs="Arial"/>
        </w:rPr>
        <w:t xml:space="preserve">defined as </w:t>
      </w:r>
      <w:r w:rsidR="006C3C2D" w:rsidRPr="00410E4D">
        <w:rPr>
          <w:rFonts w:ascii="Verdana" w:hAnsi="Verdana" w:cs="Arial"/>
        </w:rPr>
        <w:t xml:space="preserve">a state of poor physiological reserve of more than one </w:t>
      </w:r>
      <w:r w:rsidR="00C46EE7" w:rsidRPr="00410E4D">
        <w:rPr>
          <w:rFonts w:ascii="Verdana" w:hAnsi="Verdana" w:cs="Arial"/>
        </w:rPr>
        <w:t>body system, which i</w:t>
      </w:r>
      <w:r w:rsidRPr="00410E4D">
        <w:rPr>
          <w:rFonts w:ascii="Verdana" w:hAnsi="Verdana" w:cs="Arial"/>
        </w:rPr>
        <w:t>nduces a state of vulnerability;</w:t>
      </w:r>
      <w:r w:rsidR="00C46EE7" w:rsidRPr="00410E4D">
        <w:rPr>
          <w:rFonts w:ascii="Verdana" w:hAnsi="Verdana" w:cs="Arial"/>
        </w:rPr>
        <w:t xml:space="preserve"> even minor health insults can precipitate significant deterioration</w:t>
      </w:r>
      <w:r w:rsidR="007405B3" w:rsidRPr="00410E4D">
        <w:rPr>
          <w:rFonts w:ascii="Verdana" w:hAnsi="Verdana" w:cs="Arial"/>
        </w:rPr>
        <w:t xml:space="preserve"> to overall health</w:t>
      </w:r>
      <w:r w:rsidR="00410F38" w:rsidRPr="00410E4D">
        <w:rPr>
          <w:rFonts w:ascii="Verdana" w:hAnsi="Verdana" w:cs="Arial"/>
        </w:rPr>
        <w:t>, including falls, hospitalisation, institutionalisation and mortality</w:t>
      </w:r>
      <w:r w:rsidR="001F2E6B" w:rsidRPr="00410E4D">
        <w:rPr>
          <w:rFonts w:ascii="Verdana" w:hAnsi="Verdana" w:cs="Arial"/>
        </w:rPr>
        <w:t xml:space="preserve"> [22</w:t>
      </w:r>
      <w:r w:rsidR="00252D5F" w:rsidRPr="00410E4D">
        <w:rPr>
          <w:rFonts w:ascii="Verdana" w:hAnsi="Verdana" w:cs="Arial"/>
        </w:rPr>
        <w:t>, 23</w:t>
      </w:r>
      <w:r w:rsidR="001F2E6B" w:rsidRPr="00410E4D">
        <w:rPr>
          <w:rFonts w:ascii="Verdana" w:hAnsi="Verdana" w:cs="Arial"/>
        </w:rPr>
        <w:t>]</w:t>
      </w:r>
      <w:r w:rsidR="00C46EE7" w:rsidRPr="00410E4D">
        <w:rPr>
          <w:rFonts w:ascii="Verdana" w:hAnsi="Verdana" w:cs="Arial"/>
        </w:rPr>
        <w:t>.</w:t>
      </w:r>
      <w:r w:rsidR="007405B3" w:rsidRPr="00410E4D">
        <w:rPr>
          <w:rFonts w:ascii="Verdana" w:hAnsi="Verdana" w:cs="Arial"/>
        </w:rPr>
        <w:t xml:space="preserve"> Fried et al proposed</w:t>
      </w:r>
      <w:r w:rsidR="00AC0864" w:rsidRPr="00410E4D">
        <w:rPr>
          <w:rFonts w:ascii="Verdana" w:hAnsi="Verdana" w:cs="Arial"/>
        </w:rPr>
        <w:t xml:space="preserve"> five</w:t>
      </w:r>
      <w:r w:rsidR="007405B3" w:rsidRPr="00410E4D">
        <w:rPr>
          <w:rFonts w:ascii="Verdana" w:hAnsi="Verdana" w:cs="Arial"/>
        </w:rPr>
        <w:t xml:space="preserve"> criteria for frailty: </w:t>
      </w:r>
      <w:r w:rsidR="00345F04" w:rsidRPr="00410E4D">
        <w:rPr>
          <w:rFonts w:ascii="Verdana" w:hAnsi="Verdana" w:cs="Arial"/>
        </w:rPr>
        <w:t xml:space="preserve">weakness (assessed by grip strength), slowness (assessed by gait speed), low levels of physical activity, low levels of energy (self-reported) and unintentional weight loss. </w:t>
      </w:r>
      <w:r w:rsidR="00A6273C" w:rsidRPr="00410E4D">
        <w:rPr>
          <w:rFonts w:ascii="Verdana" w:hAnsi="Verdana" w:cs="Arial"/>
        </w:rPr>
        <w:t>Possessing one to two criteria indicates a pre-frail state while three or more is diagnostic of frailty</w:t>
      </w:r>
      <w:r w:rsidR="00A46A67" w:rsidRPr="00410E4D">
        <w:rPr>
          <w:rFonts w:ascii="Verdana" w:hAnsi="Verdana" w:cs="Arial"/>
        </w:rPr>
        <w:t xml:space="preserve"> </w:t>
      </w:r>
      <w:r w:rsidR="004B4429" w:rsidRPr="00410E4D">
        <w:rPr>
          <w:rFonts w:ascii="Verdana" w:hAnsi="Verdana" w:cs="Arial"/>
        </w:rPr>
        <w:t>[24]</w:t>
      </w:r>
      <w:r w:rsidR="00A6273C" w:rsidRPr="00410E4D">
        <w:rPr>
          <w:rFonts w:ascii="Verdana" w:hAnsi="Verdana" w:cs="Arial"/>
        </w:rPr>
        <w:t>.</w:t>
      </w:r>
      <w:r w:rsidR="000C0015" w:rsidRPr="00410E4D">
        <w:rPr>
          <w:rFonts w:ascii="Verdana" w:hAnsi="Verdana" w:cs="Arial"/>
        </w:rPr>
        <w:t xml:space="preserve"> The Frailty Index, a cumulative deficit approach in </w:t>
      </w:r>
      <w:r w:rsidR="000C0015" w:rsidRPr="00410E4D">
        <w:rPr>
          <w:rFonts w:ascii="Verdana" w:hAnsi="Verdana" w:cs="Arial"/>
        </w:rPr>
        <w:lastRenderedPageBreak/>
        <w:t xml:space="preserve">contrast to Fried’s phenotype approach, was proposed by Clegg, Young, </w:t>
      </w:r>
      <w:proofErr w:type="spellStart"/>
      <w:r w:rsidR="000C0015" w:rsidRPr="00410E4D">
        <w:rPr>
          <w:rFonts w:ascii="Verdana" w:hAnsi="Verdana" w:cs="Arial"/>
        </w:rPr>
        <w:t>Iliffe</w:t>
      </w:r>
      <w:proofErr w:type="spellEnd"/>
      <w:r w:rsidR="000C0015" w:rsidRPr="00410E4D">
        <w:rPr>
          <w:rFonts w:ascii="Verdana" w:hAnsi="Verdana" w:cs="Arial"/>
        </w:rPr>
        <w:t xml:space="preserve">, </w:t>
      </w:r>
      <w:proofErr w:type="spellStart"/>
      <w:r w:rsidR="000C0015" w:rsidRPr="00410E4D">
        <w:rPr>
          <w:rFonts w:ascii="Verdana" w:hAnsi="Verdana" w:cs="Arial"/>
        </w:rPr>
        <w:t>Rikkert</w:t>
      </w:r>
      <w:proofErr w:type="spellEnd"/>
      <w:r w:rsidR="000C0015" w:rsidRPr="00410E4D">
        <w:rPr>
          <w:rFonts w:ascii="Verdana" w:hAnsi="Verdana" w:cs="Arial"/>
        </w:rPr>
        <w:t xml:space="preserve"> and Rockwood</w:t>
      </w:r>
      <w:r w:rsidR="004B4429" w:rsidRPr="00410E4D">
        <w:rPr>
          <w:rFonts w:ascii="Verdana" w:hAnsi="Verdana" w:cs="Arial"/>
        </w:rPr>
        <w:t xml:space="preserve"> </w:t>
      </w:r>
      <w:r w:rsidR="006B4F07" w:rsidRPr="00410E4D">
        <w:rPr>
          <w:rFonts w:ascii="Verdana" w:hAnsi="Verdana" w:cs="Arial"/>
        </w:rPr>
        <w:t>[25]</w:t>
      </w:r>
      <w:r w:rsidR="000C0015" w:rsidRPr="00410E4D">
        <w:rPr>
          <w:rFonts w:ascii="Verdana" w:hAnsi="Verdana" w:cs="Arial"/>
        </w:rPr>
        <w:t xml:space="preserve">. It allows for a </w:t>
      </w:r>
      <w:proofErr w:type="spellStart"/>
      <w:r w:rsidR="000C0015" w:rsidRPr="00410E4D">
        <w:rPr>
          <w:rFonts w:ascii="Verdana" w:hAnsi="Verdana" w:cs="Arial"/>
        </w:rPr>
        <w:t>gradeable</w:t>
      </w:r>
      <w:proofErr w:type="spellEnd"/>
      <w:r w:rsidR="000C0015" w:rsidRPr="00410E4D">
        <w:rPr>
          <w:rFonts w:ascii="Verdana" w:hAnsi="Verdana" w:cs="Arial"/>
        </w:rPr>
        <w:t xml:space="preserve"> rather than binary absent/present approach to frailty. </w:t>
      </w:r>
      <w:r w:rsidR="00A46A67" w:rsidRPr="00410E4D">
        <w:rPr>
          <w:rFonts w:ascii="Verdana" w:hAnsi="Verdana" w:cs="Arial"/>
        </w:rPr>
        <w:t xml:space="preserve"> Prevalence among 60-69 year olds in the UK is </w:t>
      </w:r>
      <w:r w:rsidR="007F3B30" w:rsidRPr="00410E4D">
        <w:rPr>
          <w:rFonts w:ascii="Verdana" w:hAnsi="Verdana" w:cs="Arial"/>
        </w:rPr>
        <w:t>estimated at 6.5%</w:t>
      </w:r>
      <w:r w:rsidR="0020770F" w:rsidRPr="00410E4D">
        <w:rPr>
          <w:rFonts w:ascii="Verdana" w:hAnsi="Verdana" w:cs="Arial"/>
        </w:rPr>
        <w:t xml:space="preserve"> [20]</w:t>
      </w:r>
      <w:r w:rsidR="00AC0864" w:rsidRPr="00410E4D">
        <w:rPr>
          <w:rFonts w:ascii="Verdana" w:hAnsi="Verdana" w:cs="Arial"/>
        </w:rPr>
        <w:t xml:space="preserve"> and increases with age; 65% of those over 90 are frail.</w:t>
      </w:r>
      <w:r w:rsidR="004F7B85" w:rsidRPr="00410E4D">
        <w:rPr>
          <w:rFonts w:ascii="Verdana" w:hAnsi="Verdana" w:cs="Arial"/>
        </w:rPr>
        <w:t xml:space="preserve"> </w:t>
      </w:r>
      <w:r w:rsidR="00796BC9" w:rsidRPr="00410E4D">
        <w:rPr>
          <w:rFonts w:ascii="Verdana" w:hAnsi="Verdana" w:cs="Arial"/>
        </w:rPr>
        <w:t>At present, w</w:t>
      </w:r>
      <w:r w:rsidR="00FB1D39" w:rsidRPr="00410E4D">
        <w:rPr>
          <w:rFonts w:ascii="Verdana" w:hAnsi="Verdana" w:cs="Arial"/>
        </w:rPr>
        <w:t>hile d</w:t>
      </w:r>
      <w:r w:rsidR="00D4110B" w:rsidRPr="00410E4D">
        <w:rPr>
          <w:rFonts w:ascii="Verdana" w:hAnsi="Verdana" w:cs="Arial"/>
        </w:rPr>
        <w:t xml:space="preserve">iagnostic tools </w:t>
      </w:r>
      <w:r w:rsidR="00DE715E" w:rsidRPr="00410E4D">
        <w:rPr>
          <w:rFonts w:ascii="Verdana" w:hAnsi="Verdana" w:cs="Arial"/>
        </w:rPr>
        <w:t>h</w:t>
      </w:r>
      <w:r w:rsidR="00D4110B" w:rsidRPr="00410E4D">
        <w:rPr>
          <w:rFonts w:ascii="Verdana" w:hAnsi="Verdana" w:cs="Arial"/>
        </w:rPr>
        <w:t xml:space="preserve">ave been developed </w:t>
      </w:r>
      <w:r w:rsidR="00796BC9" w:rsidRPr="00410E4D">
        <w:rPr>
          <w:rFonts w:ascii="Verdana" w:hAnsi="Verdana" w:cs="Arial"/>
        </w:rPr>
        <w:t xml:space="preserve">to identify those with the condition </w:t>
      </w:r>
      <w:r w:rsidR="00DE715E" w:rsidRPr="00410E4D">
        <w:rPr>
          <w:rFonts w:ascii="Verdana" w:hAnsi="Verdana" w:cs="Arial"/>
        </w:rPr>
        <w:t>(</w:t>
      </w:r>
      <w:r w:rsidR="00252D5F" w:rsidRPr="00410E4D">
        <w:rPr>
          <w:rFonts w:ascii="Verdana" w:hAnsi="Verdana" w:cs="Arial"/>
        </w:rPr>
        <w:t>e.g.</w:t>
      </w:r>
      <w:r w:rsidR="00DE715E" w:rsidRPr="00410E4D">
        <w:rPr>
          <w:rFonts w:ascii="Verdana" w:hAnsi="Verdana" w:cs="Arial"/>
        </w:rPr>
        <w:t xml:space="preserve"> the PRISMA 7 questio</w:t>
      </w:r>
      <w:r w:rsidR="00EB4317" w:rsidRPr="00410E4D">
        <w:rPr>
          <w:rFonts w:ascii="Verdana" w:hAnsi="Verdana" w:cs="Arial"/>
        </w:rPr>
        <w:t>n</w:t>
      </w:r>
      <w:r w:rsidR="00DE715E" w:rsidRPr="00410E4D">
        <w:rPr>
          <w:rFonts w:ascii="Verdana" w:hAnsi="Verdana" w:cs="Arial"/>
        </w:rPr>
        <w:t>naire)</w:t>
      </w:r>
      <w:r w:rsidR="00FB1D39" w:rsidRPr="00410E4D">
        <w:rPr>
          <w:rFonts w:ascii="Verdana" w:hAnsi="Verdana" w:cs="Arial"/>
        </w:rPr>
        <w:t>,</w:t>
      </w:r>
      <w:r w:rsidR="001733ED" w:rsidRPr="00410E4D">
        <w:rPr>
          <w:rFonts w:ascii="Verdana" w:hAnsi="Verdana" w:cs="Arial"/>
        </w:rPr>
        <w:t xml:space="preserve"> as the</w:t>
      </w:r>
      <w:r w:rsidR="00D4110B" w:rsidRPr="00410E4D">
        <w:rPr>
          <w:rFonts w:ascii="Verdana" w:hAnsi="Verdana" w:cs="Arial"/>
        </w:rPr>
        <w:t>r</w:t>
      </w:r>
      <w:r w:rsidR="001733ED" w:rsidRPr="00410E4D">
        <w:rPr>
          <w:rFonts w:ascii="Verdana" w:hAnsi="Verdana" w:cs="Arial"/>
        </w:rPr>
        <w:t>e</w:t>
      </w:r>
      <w:r w:rsidR="00D4110B" w:rsidRPr="00410E4D">
        <w:rPr>
          <w:rFonts w:ascii="Verdana" w:hAnsi="Verdana" w:cs="Arial"/>
        </w:rPr>
        <w:t xml:space="preserve"> are </w:t>
      </w:r>
      <w:r w:rsidR="001733ED" w:rsidRPr="00410E4D">
        <w:rPr>
          <w:rFonts w:ascii="Verdana" w:hAnsi="Verdana" w:cs="Arial"/>
        </w:rPr>
        <w:t>m</w:t>
      </w:r>
      <w:r w:rsidR="00D4110B" w:rsidRPr="00410E4D">
        <w:rPr>
          <w:rFonts w:ascii="Verdana" w:hAnsi="Verdana" w:cs="Arial"/>
        </w:rPr>
        <w:t>any conditions which frailty mimics</w:t>
      </w:r>
      <w:r w:rsidR="0044368C" w:rsidRPr="00410E4D">
        <w:rPr>
          <w:rFonts w:ascii="Verdana" w:hAnsi="Verdana" w:cs="Arial"/>
        </w:rPr>
        <w:t>,</w:t>
      </w:r>
      <w:r w:rsidR="00D4110B" w:rsidRPr="00410E4D">
        <w:rPr>
          <w:rFonts w:ascii="Verdana" w:hAnsi="Verdana" w:cs="Arial"/>
        </w:rPr>
        <w:t xml:space="preserve"> </w:t>
      </w:r>
      <w:r w:rsidR="00DE715E" w:rsidRPr="00410E4D">
        <w:rPr>
          <w:rFonts w:ascii="Verdana" w:hAnsi="Verdana" w:cs="Arial"/>
        </w:rPr>
        <w:t>the problem of low specificity remains.</w:t>
      </w:r>
    </w:p>
    <w:p w:rsidR="00FB1D39" w:rsidRPr="00410E4D" w:rsidRDefault="008D289F" w:rsidP="00F810E2">
      <w:pPr>
        <w:spacing w:line="480" w:lineRule="auto"/>
        <w:jc w:val="both"/>
        <w:rPr>
          <w:rFonts w:ascii="Verdana" w:hAnsi="Verdana" w:cs="Arial"/>
        </w:rPr>
      </w:pPr>
      <w:r w:rsidRPr="00410E4D">
        <w:rPr>
          <w:rFonts w:ascii="Verdana" w:hAnsi="Verdana" w:cs="Arial"/>
        </w:rPr>
        <w:t>Exercise and nutrition interventions are the focus of most frailty treatment plans</w:t>
      </w:r>
      <w:r w:rsidR="000A5DC4" w:rsidRPr="00410E4D">
        <w:rPr>
          <w:rFonts w:ascii="Verdana" w:hAnsi="Verdana" w:cs="Arial"/>
        </w:rPr>
        <w:t>, although this is dependent on the particular frailty domain exhibited by the individual patient.</w:t>
      </w:r>
    </w:p>
    <w:p w:rsidR="00871172" w:rsidRPr="00410E4D" w:rsidRDefault="00871172" w:rsidP="00F810E2">
      <w:pPr>
        <w:spacing w:line="480" w:lineRule="auto"/>
        <w:jc w:val="both"/>
        <w:rPr>
          <w:rFonts w:ascii="Verdana" w:hAnsi="Verdana" w:cs="Arial"/>
        </w:rPr>
      </w:pPr>
      <w:r w:rsidRPr="00410E4D">
        <w:rPr>
          <w:rFonts w:ascii="Verdana" w:hAnsi="Verdana" w:cs="Arial"/>
        </w:rPr>
        <w:t>SARCOPENIA</w:t>
      </w:r>
    </w:p>
    <w:p w:rsidR="00796BC9" w:rsidRPr="00410E4D" w:rsidRDefault="00796BC9" w:rsidP="00F810E2">
      <w:pPr>
        <w:spacing w:line="480" w:lineRule="auto"/>
        <w:jc w:val="both"/>
        <w:rPr>
          <w:rFonts w:ascii="Verdana" w:hAnsi="Verdana" w:cs="Arial"/>
        </w:rPr>
      </w:pPr>
      <w:r w:rsidRPr="00410E4D">
        <w:rPr>
          <w:rFonts w:ascii="Verdana" w:hAnsi="Verdana" w:cs="Arial"/>
        </w:rPr>
        <w:t xml:space="preserve">Like frailty, sarcopenia is strongly associated with loss of function. Up to 3% of functional capacity is lost each year beyond the age of 60 </w:t>
      </w:r>
      <w:r w:rsidR="00041781" w:rsidRPr="00410E4D">
        <w:rPr>
          <w:rFonts w:ascii="Verdana" w:hAnsi="Verdana" w:cs="Arial"/>
        </w:rPr>
        <w:t>[26]</w:t>
      </w:r>
      <w:r w:rsidRPr="00410E4D">
        <w:rPr>
          <w:rFonts w:ascii="Verdana" w:hAnsi="Verdana" w:cs="Arial"/>
        </w:rPr>
        <w:t xml:space="preserve">.  This has a negative effect on people’s ability for independent living. This of course brings its own burdens in terms of consequent isolation, effect on mental health, and cost of assistance care. </w:t>
      </w:r>
    </w:p>
    <w:p w:rsidR="00587F11" w:rsidRPr="00410E4D" w:rsidRDefault="00587F11" w:rsidP="00F810E2">
      <w:pPr>
        <w:spacing w:line="480" w:lineRule="auto"/>
        <w:jc w:val="both"/>
        <w:rPr>
          <w:rFonts w:ascii="Verdana" w:hAnsi="Verdana" w:cs="Arial"/>
        </w:rPr>
      </w:pPr>
    </w:p>
    <w:p w:rsidR="00972914" w:rsidRPr="00410E4D" w:rsidRDefault="00635F09" w:rsidP="00F810E2">
      <w:pPr>
        <w:spacing w:line="480" w:lineRule="auto"/>
        <w:jc w:val="both"/>
        <w:rPr>
          <w:rFonts w:ascii="Verdana" w:hAnsi="Verdana" w:cs="Arial"/>
        </w:rPr>
      </w:pPr>
      <w:r w:rsidRPr="00410E4D">
        <w:rPr>
          <w:rFonts w:ascii="Verdana" w:hAnsi="Verdana" w:cs="Arial"/>
        </w:rPr>
        <w:t xml:space="preserve">Sarcopenia is considered </w:t>
      </w:r>
      <w:r w:rsidR="009D4A99" w:rsidRPr="00410E4D">
        <w:rPr>
          <w:rFonts w:ascii="Verdana" w:hAnsi="Verdana" w:cs="Arial"/>
        </w:rPr>
        <w:t xml:space="preserve">to comprise </w:t>
      </w:r>
      <w:r w:rsidRPr="00410E4D">
        <w:rPr>
          <w:rFonts w:ascii="Verdana" w:hAnsi="Verdana" w:cs="Arial"/>
        </w:rPr>
        <w:t xml:space="preserve">the loss of muscle </w:t>
      </w:r>
      <w:proofErr w:type="gramStart"/>
      <w:r w:rsidRPr="00410E4D">
        <w:rPr>
          <w:rFonts w:ascii="Verdana" w:hAnsi="Verdana" w:cs="Arial"/>
        </w:rPr>
        <w:t>strength,</w:t>
      </w:r>
      <w:proofErr w:type="gramEnd"/>
      <w:r w:rsidRPr="00410E4D">
        <w:rPr>
          <w:rFonts w:ascii="Verdana" w:hAnsi="Verdana" w:cs="Arial"/>
        </w:rPr>
        <w:t xml:space="preserve"> muscle mass and muscle function</w:t>
      </w:r>
      <w:r w:rsidR="006F7A8D" w:rsidRPr="00410E4D">
        <w:rPr>
          <w:rFonts w:ascii="Verdana" w:hAnsi="Verdana" w:cs="Arial"/>
        </w:rPr>
        <w:t xml:space="preserve"> with increasing age</w:t>
      </w:r>
      <w:r w:rsidR="00117439" w:rsidRPr="00410E4D">
        <w:rPr>
          <w:rFonts w:ascii="Verdana" w:hAnsi="Verdana" w:cs="Arial"/>
        </w:rPr>
        <w:t>. At a histopathological level,</w:t>
      </w:r>
      <w:r w:rsidR="00512591" w:rsidRPr="00410E4D">
        <w:rPr>
          <w:rFonts w:ascii="Verdana" w:hAnsi="Verdana" w:cs="Arial"/>
        </w:rPr>
        <w:t xml:space="preserve"> </w:t>
      </w:r>
      <w:proofErr w:type="spellStart"/>
      <w:r w:rsidR="00512591" w:rsidRPr="00410E4D">
        <w:rPr>
          <w:rFonts w:ascii="Verdana" w:hAnsi="Verdana" w:cs="Arial"/>
        </w:rPr>
        <w:t>sarcopenic</w:t>
      </w:r>
      <w:proofErr w:type="spellEnd"/>
      <w:r w:rsidR="00512591" w:rsidRPr="00410E4D">
        <w:rPr>
          <w:rFonts w:ascii="Verdana" w:hAnsi="Verdana" w:cs="Arial"/>
        </w:rPr>
        <w:t xml:space="preserve"> muscle samples display</w:t>
      </w:r>
      <w:r w:rsidR="00117439" w:rsidRPr="00410E4D">
        <w:rPr>
          <w:rFonts w:ascii="Verdana" w:hAnsi="Verdana" w:cs="Arial"/>
        </w:rPr>
        <w:t xml:space="preserve"> muscle atrophy</w:t>
      </w:r>
      <w:r w:rsidR="00512591" w:rsidRPr="00410E4D">
        <w:rPr>
          <w:rFonts w:ascii="Verdana" w:hAnsi="Verdana" w:cs="Arial"/>
        </w:rPr>
        <w:t xml:space="preserve">, particularly of type II fibres; necrosis and between-fibre reductions in cross bridging elements; as well as a reduction in mitochondria [5]. </w:t>
      </w:r>
      <w:r w:rsidRPr="00410E4D">
        <w:rPr>
          <w:rFonts w:ascii="Verdana" w:hAnsi="Verdana" w:cs="Arial"/>
        </w:rPr>
        <w:t>The</w:t>
      </w:r>
      <w:r w:rsidR="00A14CEF" w:rsidRPr="00410E4D">
        <w:rPr>
          <w:rFonts w:ascii="Verdana" w:hAnsi="Verdana" w:cs="Arial"/>
        </w:rPr>
        <w:t xml:space="preserve"> consensus</w:t>
      </w:r>
      <w:r w:rsidRPr="00410E4D">
        <w:rPr>
          <w:rFonts w:ascii="Verdana" w:hAnsi="Verdana" w:cs="Arial"/>
        </w:rPr>
        <w:t xml:space="preserve"> definition</w:t>
      </w:r>
      <w:r w:rsidR="00512591" w:rsidRPr="00410E4D">
        <w:rPr>
          <w:rFonts w:ascii="Verdana" w:hAnsi="Verdana" w:cs="Arial"/>
        </w:rPr>
        <w:t xml:space="preserve"> of sarcopenia</w:t>
      </w:r>
      <w:r w:rsidRPr="00410E4D">
        <w:rPr>
          <w:rFonts w:ascii="Verdana" w:hAnsi="Verdana" w:cs="Arial"/>
        </w:rPr>
        <w:t xml:space="preserve"> is still under debate, </w:t>
      </w:r>
      <w:r w:rsidR="000F375A" w:rsidRPr="00410E4D">
        <w:rPr>
          <w:rFonts w:ascii="Verdana" w:hAnsi="Verdana" w:cs="Arial"/>
        </w:rPr>
        <w:t xml:space="preserve">a factor </w:t>
      </w:r>
      <w:r w:rsidRPr="00410E4D">
        <w:rPr>
          <w:rFonts w:ascii="Verdana" w:hAnsi="Verdana" w:cs="Arial"/>
        </w:rPr>
        <w:t>which has adversely affected stud</w:t>
      </w:r>
      <w:r w:rsidR="009D4A99" w:rsidRPr="00410E4D">
        <w:rPr>
          <w:rFonts w:ascii="Verdana" w:hAnsi="Verdana" w:cs="Arial"/>
        </w:rPr>
        <w:t>y</w:t>
      </w:r>
      <w:r w:rsidRPr="00410E4D">
        <w:rPr>
          <w:rFonts w:ascii="Verdana" w:hAnsi="Verdana" w:cs="Arial"/>
        </w:rPr>
        <w:t xml:space="preserve"> </w:t>
      </w:r>
      <w:r w:rsidR="00A14CEF" w:rsidRPr="00410E4D">
        <w:rPr>
          <w:rFonts w:ascii="Verdana" w:hAnsi="Verdana" w:cs="Arial"/>
        </w:rPr>
        <w:t xml:space="preserve">design and </w:t>
      </w:r>
      <w:r w:rsidRPr="00410E4D">
        <w:rPr>
          <w:rFonts w:ascii="Verdana" w:hAnsi="Verdana" w:cs="Arial"/>
        </w:rPr>
        <w:t>comparability.</w:t>
      </w:r>
      <w:r w:rsidR="000F375A" w:rsidRPr="00410E4D">
        <w:rPr>
          <w:rFonts w:ascii="Verdana" w:hAnsi="Verdana" w:cs="Arial"/>
        </w:rPr>
        <w:t xml:space="preserve"> The two main </w:t>
      </w:r>
      <w:r w:rsidR="000039B9" w:rsidRPr="00410E4D">
        <w:rPr>
          <w:rFonts w:ascii="Verdana" w:hAnsi="Verdana" w:cs="Arial"/>
        </w:rPr>
        <w:t xml:space="preserve">sets of criteria </w:t>
      </w:r>
      <w:r w:rsidR="000F375A" w:rsidRPr="00410E4D">
        <w:rPr>
          <w:rFonts w:ascii="Verdana" w:hAnsi="Verdana" w:cs="Arial"/>
        </w:rPr>
        <w:t>are those proposed by the</w:t>
      </w:r>
      <w:r w:rsidRPr="00410E4D">
        <w:rPr>
          <w:rFonts w:ascii="Verdana" w:hAnsi="Verdana" w:cs="Arial"/>
        </w:rPr>
        <w:t xml:space="preserve"> E</w:t>
      </w:r>
      <w:r w:rsidR="000F375A" w:rsidRPr="00410E4D">
        <w:rPr>
          <w:rFonts w:ascii="Verdana" w:hAnsi="Verdana" w:cs="Arial"/>
        </w:rPr>
        <w:t xml:space="preserve">uropean </w:t>
      </w:r>
      <w:r w:rsidRPr="00410E4D">
        <w:rPr>
          <w:rFonts w:ascii="Verdana" w:hAnsi="Verdana" w:cs="Arial"/>
        </w:rPr>
        <w:t>W</w:t>
      </w:r>
      <w:r w:rsidR="000F375A" w:rsidRPr="00410E4D">
        <w:rPr>
          <w:rFonts w:ascii="Verdana" w:hAnsi="Verdana" w:cs="Arial"/>
        </w:rPr>
        <w:t xml:space="preserve">orking </w:t>
      </w:r>
      <w:r w:rsidRPr="00410E4D">
        <w:rPr>
          <w:rFonts w:ascii="Verdana" w:hAnsi="Verdana" w:cs="Arial"/>
        </w:rPr>
        <w:t>G</w:t>
      </w:r>
      <w:r w:rsidR="000F375A" w:rsidRPr="00410E4D">
        <w:rPr>
          <w:rFonts w:ascii="Verdana" w:hAnsi="Verdana" w:cs="Arial"/>
        </w:rPr>
        <w:t xml:space="preserve">roup on </w:t>
      </w:r>
      <w:r w:rsidRPr="00410E4D">
        <w:rPr>
          <w:rFonts w:ascii="Verdana" w:hAnsi="Verdana" w:cs="Arial"/>
        </w:rPr>
        <w:lastRenderedPageBreak/>
        <w:t>S</w:t>
      </w:r>
      <w:r w:rsidR="000F375A" w:rsidRPr="00410E4D">
        <w:rPr>
          <w:rFonts w:ascii="Verdana" w:hAnsi="Verdana" w:cs="Arial"/>
        </w:rPr>
        <w:t xml:space="preserve">arcopenia in Older </w:t>
      </w:r>
      <w:r w:rsidRPr="00410E4D">
        <w:rPr>
          <w:rFonts w:ascii="Verdana" w:hAnsi="Verdana" w:cs="Arial"/>
        </w:rPr>
        <w:t>P</w:t>
      </w:r>
      <w:r w:rsidR="000F375A" w:rsidRPr="00410E4D">
        <w:rPr>
          <w:rFonts w:ascii="Verdana" w:hAnsi="Verdana" w:cs="Arial"/>
        </w:rPr>
        <w:t>eople (EWGSOP)</w:t>
      </w:r>
      <w:r w:rsidR="00A14CEF" w:rsidRPr="00410E4D">
        <w:rPr>
          <w:rFonts w:ascii="Verdana" w:hAnsi="Verdana" w:cs="Arial"/>
        </w:rPr>
        <w:t xml:space="preserve"> and The Foundation for the National Institutes of Health (FNIH) Sarcopenia Project</w:t>
      </w:r>
      <w:r w:rsidRPr="00410E4D">
        <w:rPr>
          <w:rFonts w:ascii="Verdana" w:hAnsi="Verdana" w:cs="Arial"/>
        </w:rPr>
        <w:t xml:space="preserve">. </w:t>
      </w:r>
      <w:r w:rsidR="00972914" w:rsidRPr="00410E4D">
        <w:rPr>
          <w:rFonts w:ascii="Verdana" w:hAnsi="Verdana" w:cs="Arial"/>
        </w:rPr>
        <w:t xml:space="preserve">Other proposed criteria include those from International Working Group (IWG), European Society for Clinical Nutrition and Metabolism Special Interest Group on cachexia-anorexia in chronic wasting diseases (ESPEN) and Society of Sarcopenia, Cachexia, and Wasting Disorders (SCWD) </w:t>
      </w:r>
      <w:r w:rsidR="00250F65" w:rsidRPr="00410E4D">
        <w:rPr>
          <w:rFonts w:ascii="Verdana" w:hAnsi="Verdana" w:cs="Arial"/>
        </w:rPr>
        <w:t>[27]</w:t>
      </w:r>
      <w:r w:rsidR="00972914" w:rsidRPr="00410E4D">
        <w:rPr>
          <w:rFonts w:ascii="Verdana" w:hAnsi="Verdana" w:cs="Arial"/>
        </w:rPr>
        <w:t>.</w:t>
      </w:r>
    </w:p>
    <w:p w:rsidR="00972914" w:rsidRPr="00410E4D" w:rsidRDefault="000039B9" w:rsidP="00F810E2">
      <w:pPr>
        <w:spacing w:line="480" w:lineRule="auto"/>
        <w:jc w:val="both"/>
        <w:rPr>
          <w:rFonts w:ascii="Verdana" w:hAnsi="Verdana" w:cs="Arial"/>
        </w:rPr>
      </w:pPr>
      <w:r w:rsidRPr="00410E4D">
        <w:rPr>
          <w:rFonts w:ascii="Verdana" w:hAnsi="Verdana" w:cs="Arial"/>
        </w:rPr>
        <w:t xml:space="preserve">Low lean mass, muscle strength and weakness are considered </w:t>
      </w:r>
      <w:r w:rsidR="00863158" w:rsidRPr="00410E4D">
        <w:rPr>
          <w:rFonts w:ascii="Verdana" w:hAnsi="Verdana" w:cs="Arial"/>
        </w:rPr>
        <w:t>in the criteria.</w:t>
      </w:r>
      <w:r w:rsidR="00513839" w:rsidRPr="00410E4D">
        <w:rPr>
          <w:rFonts w:ascii="Verdana" w:hAnsi="Verdana" w:cs="Arial"/>
        </w:rPr>
        <w:t xml:space="preserve"> Different performance measures can be used: commonly grip strength,</w:t>
      </w:r>
      <w:r w:rsidR="00972914" w:rsidRPr="00410E4D">
        <w:rPr>
          <w:rFonts w:ascii="Verdana" w:hAnsi="Verdana" w:cs="Arial"/>
        </w:rPr>
        <w:t xml:space="preserve"> </w:t>
      </w:r>
      <w:r w:rsidR="00513839" w:rsidRPr="00410E4D">
        <w:rPr>
          <w:rFonts w:ascii="Verdana" w:hAnsi="Verdana" w:cs="Arial"/>
        </w:rPr>
        <w:t>ga</w:t>
      </w:r>
      <w:r w:rsidR="00972914" w:rsidRPr="00410E4D">
        <w:rPr>
          <w:rFonts w:ascii="Verdana" w:hAnsi="Verdana" w:cs="Arial"/>
        </w:rPr>
        <w:t>i</w:t>
      </w:r>
      <w:r w:rsidR="00513839" w:rsidRPr="00410E4D">
        <w:rPr>
          <w:rFonts w:ascii="Verdana" w:hAnsi="Verdana" w:cs="Arial"/>
        </w:rPr>
        <w:t>t speed and muscle mass as derived from</w:t>
      </w:r>
      <w:r w:rsidR="00DB2F1B" w:rsidRPr="00410E4D">
        <w:rPr>
          <w:rFonts w:ascii="Verdana" w:hAnsi="Verdana" w:cs="Arial"/>
        </w:rPr>
        <w:t xml:space="preserve"> DXA scans are used. Gait speed has recently been questioned as</w:t>
      </w:r>
      <w:r w:rsidR="00234F5C" w:rsidRPr="00410E4D">
        <w:rPr>
          <w:rFonts w:ascii="Verdana" w:hAnsi="Verdana" w:cs="Arial"/>
        </w:rPr>
        <w:t xml:space="preserve"> </w:t>
      </w:r>
      <w:r w:rsidR="00DB2F1B" w:rsidRPr="00410E4D">
        <w:rPr>
          <w:rFonts w:ascii="Verdana" w:hAnsi="Verdana" w:cs="Arial"/>
        </w:rPr>
        <w:t xml:space="preserve">an indicator as in the older population causes of slower walking speed may </w:t>
      </w:r>
      <w:r w:rsidR="001943FA" w:rsidRPr="00410E4D">
        <w:rPr>
          <w:rFonts w:ascii="Verdana" w:hAnsi="Verdana" w:cs="Arial"/>
        </w:rPr>
        <w:t xml:space="preserve">not </w:t>
      </w:r>
      <w:r w:rsidR="00DB2F1B" w:rsidRPr="00410E4D">
        <w:rPr>
          <w:rFonts w:ascii="Verdana" w:hAnsi="Verdana" w:cs="Arial"/>
        </w:rPr>
        <w:t>always be related to lower</w:t>
      </w:r>
      <w:r w:rsidR="00234F5C" w:rsidRPr="00410E4D">
        <w:rPr>
          <w:rFonts w:ascii="Verdana" w:hAnsi="Verdana" w:cs="Arial"/>
        </w:rPr>
        <w:t xml:space="preserve"> </w:t>
      </w:r>
      <w:r w:rsidR="00DB2F1B" w:rsidRPr="00410E4D">
        <w:rPr>
          <w:rFonts w:ascii="Verdana" w:hAnsi="Verdana" w:cs="Arial"/>
        </w:rPr>
        <w:t>muscle mass or quality</w:t>
      </w:r>
      <w:r w:rsidR="00CF3D83" w:rsidRPr="00410E4D">
        <w:rPr>
          <w:rFonts w:ascii="Verdana" w:hAnsi="Verdana" w:cs="Arial"/>
        </w:rPr>
        <w:t xml:space="preserve"> [28, 29]</w:t>
      </w:r>
      <w:r w:rsidR="004E1A59" w:rsidRPr="00410E4D">
        <w:rPr>
          <w:rFonts w:ascii="Verdana" w:hAnsi="Verdana" w:cs="Arial"/>
        </w:rPr>
        <w:t>.</w:t>
      </w:r>
    </w:p>
    <w:p w:rsidR="00587F11" w:rsidRPr="00410E4D" w:rsidRDefault="00587F11" w:rsidP="00F810E2">
      <w:pPr>
        <w:spacing w:line="480" w:lineRule="auto"/>
        <w:jc w:val="both"/>
        <w:rPr>
          <w:rFonts w:ascii="Verdana" w:hAnsi="Verdana" w:cs="Arial"/>
        </w:rPr>
      </w:pPr>
    </w:p>
    <w:p w:rsidR="00535D95" w:rsidRPr="00410E4D" w:rsidRDefault="00972914" w:rsidP="00F810E2">
      <w:pPr>
        <w:spacing w:line="480" w:lineRule="auto"/>
        <w:jc w:val="both"/>
        <w:rPr>
          <w:rFonts w:ascii="Verdana" w:hAnsi="Verdana" w:cs="Arial"/>
        </w:rPr>
      </w:pPr>
      <w:r w:rsidRPr="00410E4D">
        <w:rPr>
          <w:rFonts w:ascii="Verdana" w:hAnsi="Verdana" w:cs="Arial"/>
        </w:rPr>
        <w:t xml:space="preserve">EWGSOP seeks to differentiate </w:t>
      </w:r>
      <w:proofErr w:type="spellStart"/>
      <w:r w:rsidRPr="00410E4D">
        <w:rPr>
          <w:rFonts w:ascii="Verdana" w:hAnsi="Verdana" w:cs="Arial"/>
        </w:rPr>
        <w:t>presarcopenia</w:t>
      </w:r>
      <w:proofErr w:type="spellEnd"/>
      <w:r w:rsidRPr="00410E4D">
        <w:rPr>
          <w:rFonts w:ascii="Verdana" w:hAnsi="Verdana" w:cs="Arial"/>
        </w:rPr>
        <w:t xml:space="preserve"> (low mass) from sarcopenia (low mass + low strength or low performance) and severe sarcopenia (low mass + low strength + low performance).</w:t>
      </w:r>
      <w:r w:rsidR="00587F11" w:rsidRPr="00410E4D">
        <w:rPr>
          <w:rFonts w:ascii="Verdana" w:hAnsi="Verdana" w:cs="Arial"/>
        </w:rPr>
        <w:t xml:space="preserve"> </w:t>
      </w:r>
      <w:r w:rsidRPr="00410E4D">
        <w:rPr>
          <w:rFonts w:ascii="Verdana" w:hAnsi="Verdana" w:cs="Arial"/>
        </w:rPr>
        <w:t xml:space="preserve">Weakness, as applied to grip strength, has a differing cut-off defined by FNIH: &lt;26kg in men &lt;16kg in women; to EWGSOP: &lt;30kg in men &lt;20kg in women. Slowness is consistent between groups with &lt;0.8m/s recognised as predicting sarcopenia. </w:t>
      </w:r>
      <w:r w:rsidR="00863158" w:rsidRPr="00410E4D">
        <w:rPr>
          <w:rFonts w:ascii="Verdana" w:hAnsi="Verdana" w:cs="Arial"/>
        </w:rPr>
        <w:t>Regarding low lean mass, FNIH criteria looks at appendicular lean mass divided by BMI. All other criteria use A</w:t>
      </w:r>
      <w:r w:rsidR="00077687" w:rsidRPr="00410E4D">
        <w:rPr>
          <w:rFonts w:ascii="Verdana" w:hAnsi="Verdana" w:cs="Arial"/>
        </w:rPr>
        <w:t xml:space="preserve">ppendicular </w:t>
      </w:r>
      <w:r w:rsidR="00863158" w:rsidRPr="00410E4D">
        <w:rPr>
          <w:rFonts w:ascii="Verdana" w:hAnsi="Verdana" w:cs="Arial"/>
        </w:rPr>
        <w:t>L</w:t>
      </w:r>
      <w:r w:rsidR="00077687" w:rsidRPr="00410E4D">
        <w:rPr>
          <w:rFonts w:ascii="Verdana" w:hAnsi="Verdana" w:cs="Arial"/>
        </w:rPr>
        <w:t xml:space="preserve">ean </w:t>
      </w:r>
      <w:r w:rsidR="00863158" w:rsidRPr="00410E4D">
        <w:rPr>
          <w:rFonts w:ascii="Verdana" w:hAnsi="Verdana" w:cs="Arial"/>
        </w:rPr>
        <w:t>M</w:t>
      </w:r>
      <w:r w:rsidR="00077687" w:rsidRPr="00410E4D">
        <w:rPr>
          <w:rFonts w:ascii="Verdana" w:hAnsi="Verdana" w:cs="Arial"/>
        </w:rPr>
        <w:t>ass (ALM)</w:t>
      </w:r>
      <w:r w:rsidR="00863158" w:rsidRPr="00410E4D">
        <w:rPr>
          <w:rFonts w:ascii="Verdana" w:hAnsi="Verdana" w:cs="Arial"/>
        </w:rPr>
        <w:t xml:space="preserve"> divided by height squared. The difference in FNIH causes their criteria to identify patients who are older; have higher BMI; have higher lean mass and those who  have greater functional impairment (slower gait and more inability to rise from sitting)</w:t>
      </w:r>
      <w:r w:rsidR="00750443" w:rsidRPr="00410E4D">
        <w:rPr>
          <w:rFonts w:ascii="Verdana" w:hAnsi="Verdana" w:cs="Arial"/>
        </w:rPr>
        <w:t xml:space="preserve"> [30,31]</w:t>
      </w:r>
      <w:r w:rsidR="007454EF" w:rsidRPr="00410E4D">
        <w:rPr>
          <w:rFonts w:ascii="Verdana" w:hAnsi="Verdana" w:cs="Arial"/>
        </w:rPr>
        <w:t xml:space="preserve">. </w:t>
      </w:r>
      <w:r w:rsidR="000F375A" w:rsidRPr="00410E4D">
        <w:rPr>
          <w:rFonts w:ascii="Verdana" w:hAnsi="Verdana" w:cs="Arial"/>
          <w:shd w:val="clear" w:color="auto" w:fill="FFFFFF"/>
        </w:rPr>
        <w:t>In a cohort of British</w:t>
      </w:r>
      <w:r w:rsidR="00323431" w:rsidRPr="00410E4D">
        <w:rPr>
          <w:rFonts w:ascii="Verdana" w:hAnsi="Verdana" w:cs="Arial"/>
          <w:shd w:val="clear" w:color="auto" w:fill="FFFFFF"/>
        </w:rPr>
        <w:t xml:space="preserve"> community-dwelling</w:t>
      </w:r>
      <w:r w:rsidR="000F375A" w:rsidRPr="00410E4D">
        <w:rPr>
          <w:rFonts w:ascii="Verdana" w:hAnsi="Verdana" w:cs="Arial"/>
          <w:shd w:val="clear" w:color="auto" w:fill="FFFFFF"/>
        </w:rPr>
        <w:t xml:space="preserve"> men and</w:t>
      </w:r>
      <w:r w:rsidR="00863158" w:rsidRPr="00410E4D">
        <w:rPr>
          <w:rFonts w:ascii="Verdana" w:hAnsi="Verdana" w:cs="Arial"/>
          <w:shd w:val="clear" w:color="auto" w:fill="FFFFFF"/>
        </w:rPr>
        <w:t xml:space="preserve"> </w:t>
      </w:r>
      <w:r w:rsidR="000F375A" w:rsidRPr="00410E4D">
        <w:rPr>
          <w:rFonts w:ascii="Verdana" w:hAnsi="Verdana" w:cs="Arial"/>
          <w:shd w:val="clear" w:color="auto" w:fill="FFFFFF"/>
        </w:rPr>
        <w:t>women</w:t>
      </w:r>
      <w:r w:rsidR="00810B74" w:rsidRPr="00410E4D">
        <w:rPr>
          <w:rFonts w:ascii="Verdana" w:hAnsi="Verdana" w:cs="Arial"/>
          <w:shd w:val="clear" w:color="auto" w:fill="FFFFFF"/>
        </w:rPr>
        <w:t xml:space="preserve"> in early old age</w:t>
      </w:r>
      <w:r w:rsidR="00FB1D39" w:rsidRPr="00410E4D">
        <w:rPr>
          <w:rFonts w:ascii="Verdana" w:hAnsi="Verdana" w:cs="Arial"/>
          <w:shd w:val="clear" w:color="auto" w:fill="FFFFFF"/>
        </w:rPr>
        <w:t xml:space="preserve"> the</w:t>
      </w:r>
      <w:r w:rsidR="000F375A" w:rsidRPr="00410E4D">
        <w:rPr>
          <w:rFonts w:ascii="Verdana" w:hAnsi="Verdana" w:cs="Arial"/>
          <w:shd w:val="clear" w:color="auto" w:fill="FFFFFF"/>
        </w:rPr>
        <w:t xml:space="preserve"> prevalence of </w:t>
      </w:r>
      <w:r w:rsidR="000F375A" w:rsidRPr="00410E4D">
        <w:rPr>
          <w:rFonts w:ascii="Verdana" w:hAnsi="Verdana" w:cs="Arial"/>
          <w:shd w:val="clear" w:color="auto" w:fill="FFFFFF"/>
        </w:rPr>
        <w:lastRenderedPageBreak/>
        <w:t>sarcopenia was found to</w:t>
      </w:r>
      <w:r w:rsidR="00323431" w:rsidRPr="00410E4D">
        <w:rPr>
          <w:rFonts w:ascii="Verdana" w:hAnsi="Verdana" w:cs="Arial"/>
          <w:shd w:val="clear" w:color="auto" w:fill="FFFFFF"/>
        </w:rPr>
        <w:t xml:space="preserve"> </w:t>
      </w:r>
      <w:r w:rsidR="000F375A" w:rsidRPr="00410E4D">
        <w:rPr>
          <w:rFonts w:ascii="Verdana" w:hAnsi="Verdana" w:cs="Arial"/>
          <w:shd w:val="clear" w:color="auto" w:fill="FFFFFF"/>
        </w:rPr>
        <w:t xml:space="preserve">be </w:t>
      </w:r>
      <w:r w:rsidR="00810B74" w:rsidRPr="00410E4D">
        <w:rPr>
          <w:rFonts w:ascii="Verdana" w:hAnsi="Verdana" w:cs="Arial"/>
          <w:shd w:val="clear" w:color="auto" w:fill="FFFFFF"/>
        </w:rPr>
        <w:t xml:space="preserve">3.1% of men, 2.7% of women according the FNIH criteria, whereas </w:t>
      </w:r>
      <w:r w:rsidR="009B016D" w:rsidRPr="00410E4D">
        <w:rPr>
          <w:rFonts w:ascii="Verdana" w:hAnsi="Verdana" w:cs="Arial"/>
          <w:shd w:val="clear" w:color="auto" w:fill="FFFFFF"/>
        </w:rPr>
        <w:t>prevalence</w:t>
      </w:r>
      <w:r w:rsidR="00810B74" w:rsidRPr="00410E4D">
        <w:rPr>
          <w:rFonts w:ascii="Verdana" w:hAnsi="Verdana" w:cs="Arial"/>
          <w:shd w:val="clear" w:color="auto" w:fill="FFFFFF"/>
        </w:rPr>
        <w:t xml:space="preserve"> using</w:t>
      </w:r>
      <w:r w:rsidR="000F375A" w:rsidRPr="00410E4D">
        <w:rPr>
          <w:rFonts w:ascii="Verdana" w:hAnsi="Verdana" w:cs="Arial"/>
          <w:shd w:val="clear" w:color="auto" w:fill="FFFFFF"/>
        </w:rPr>
        <w:t xml:space="preserve"> EWGSOP</w:t>
      </w:r>
      <w:r w:rsidR="00810B74" w:rsidRPr="00410E4D">
        <w:rPr>
          <w:rFonts w:ascii="Verdana" w:hAnsi="Verdana" w:cs="Arial"/>
          <w:shd w:val="clear" w:color="auto" w:fill="FFFFFF"/>
        </w:rPr>
        <w:t xml:space="preserve"> criteria was</w:t>
      </w:r>
      <w:r w:rsidR="000F375A" w:rsidRPr="00410E4D">
        <w:rPr>
          <w:rFonts w:ascii="Verdana" w:hAnsi="Verdana" w:cs="Arial"/>
          <w:shd w:val="clear" w:color="auto" w:fill="FFFFFF"/>
        </w:rPr>
        <w:t xml:space="preserve">: 4.4% of men, 7.3% of women </w:t>
      </w:r>
      <w:r w:rsidR="00750443" w:rsidRPr="00410E4D">
        <w:rPr>
          <w:rFonts w:ascii="Verdana" w:hAnsi="Verdana" w:cs="Arial"/>
          <w:shd w:val="clear" w:color="auto" w:fill="FFFFFF"/>
        </w:rPr>
        <w:t>[23, 31]</w:t>
      </w:r>
      <w:r w:rsidR="00796BC9" w:rsidRPr="00410E4D">
        <w:rPr>
          <w:rFonts w:ascii="Verdana" w:hAnsi="Verdana" w:cs="Arial"/>
          <w:shd w:val="clear" w:color="auto" w:fill="FFFFFF"/>
        </w:rPr>
        <w:t xml:space="preserve"> demonstrating the impact of using different tools</w:t>
      </w:r>
      <w:r w:rsidR="00FE4765" w:rsidRPr="00410E4D">
        <w:rPr>
          <w:rFonts w:ascii="Verdana" w:hAnsi="Verdana" w:cs="Arial"/>
          <w:shd w:val="clear" w:color="auto" w:fill="FFFFFF"/>
        </w:rPr>
        <w:t xml:space="preserve">. </w:t>
      </w:r>
      <w:r w:rsidR="00535D95" w:rsidRPr="00410E4D">
        <w:rPr>
          <w:rFonts w:ascii="Verdana" w:hAnsi="Verdana" w:cs="Arial"/>
        </w:rPr>
        <w:t>There is a need for consensus definition to enable research to progress, as its validation in cohorts is required to enable recruitment to studies.</w:t>
      </w:r>
    </w:p>
    <w:p w:rsidR="00E51A80" w:rsidRPr="00410E4D" w:rsidRDefault="00E51A80" w:rsidP="00F810E2">
      <w:pPr>
        <w:spacing w:line="480" w:lineRule="auto"/>
        <w:jc w:val="both"/>
        <w:rPr>
          <w:rFonts w:ascii="Verdana" w:hAnsi="Verdana" w:cs="Arial"/>
        </w:rPr>
      </w:pPr>
      <w:r w:rsidRPr="00410E4D">
        <w:rPr>
          <w:rFonts w:ascii="Verdana" w:hAnsi="Verdana" w:cs="Arial"/>
        </w:rPr>
        <w:t xml:space="preserve">Physical exercise in middle age appears protective against sarcopenia in older age and effective in maintaining muscle strength and physical performance in older age [29]. Interventions in sarcopenia have trialled nutrition and physical exercise in concert. More research is required but findings for dual component interventions see to have a positive outcome [26]. Pharmacological therapies with potential in sarcopenia </w:t>
      </w:r>
      <w:r w:rsidR="00CE62FA" w:rsidRPr="00410E4D">
        <w:rPr>
          <w:rFonts w:ascii="Verdana" w:hAnsi="Verdana" w:cs="Arial"/>
        </w:rPr>
        <w:t>m</w:t>
      </w:r>
      <w:r w:rsidRPr="00410E4D">
        <w:rPr>
          <w:rFonts w:ascii="Verdana" w:hAnsi="Verdana" w:cs="Arial"/>
        </w:rPr>
        <w:t xml:space="preserve">ay include </w:t>
      </w:r>
      <w:proofErr w:type="spellStart"/>
      <w:r w:rsidRPr="00410E4D">
        <w:rPr>
          <w:rFonts w:ascii="Verdana" w:hAnsi="Verdana" w:cs="Arial"/>
        </w:rPr>
        <w:t>myostatin</w:t>
      </w:r>
      <w:proofErr w:type="spellEnd"/>
      <w:r w:rsidRPr="00410E4D">
        <w:rPr>
          <w:rFonts w:ascii="Verdana" w:hAnsi="Verdana" w:cs="Arial"/>
        </w:rPr>
        <w:t xml:space="preserve"> inhibitors and type II </w:t>
      </w:r>
      <w:proofErr w:type="spellStart"/>
      <w:r w:rsidRPr="00410E4D">
        <w:rPr>
          <w:rFonts w:ascii="Verdana" w:hAnsi="Verdana" w:cs="Arial"/>
        </w:rPr>
        <w:t>activin</w:t>
      </w:r>
      <w:proofErr w:type="spellEnd"/>
      <w:r w:rsidRPr="00410E4D">
        <w:rPr>
          <w:rFonts w:ascii="Verdana" w:hAnsi="Verdana" w:cs="Arial"/>
        </w:rPr>
        <w:t xml:space="preserve"> receptor inhibitors</w:t>
      </w:r>
      <w:r w:rsidR="00011018" w:rsidRPr="00410E4D">
        <w:rPr>
          <w:rFonts w:ascii="Verdana" w:hAnsi="Verdana" w:cs="Arial"/>
        </w:rPr>
        <w:t xml:space="preserve">; </w:t>
      </w:r>
      <w:proofErr w:type="spellStart"/>
      <w:r w:rsidR="00011018" w:rsidRPr="00410E4D">
        <w:rPr>
          <w:rFonts w:ascii="Verdana" w:hAnsi="Verdana" w:cs="Arial"/>
        </w:rPr>
        <w:t>follistatin</w:t>
      </w:r>
      <w:proofErr w:type="spellEnd"/>
      <w:r w:rsidR="00011018" w:rsidRPr="00410E4D">
        <w:rPr>
          <w:rFonts w:ascii="Verdana" w:hAnsi="Verdana" w:cs="Arial"/>
        </w:rPr>
        <w:t>; selective androgen receptor modulator (SARMs); angiotensin-</w:t>
      </w:r>
      <w:proofErr w:type="spellStart"/>
      <w:r w:rsidR="00011018" w:rsidRPr="00410E4D">
        <w:rPr>
          <w:rFonts w:ascii="Verdana" w:hAnsi="Verdana" w:cs="Arial"/>
        </w:rPr>
        <w:t>coverting</w:t>
      </w:r>
      <w:proofErr w:type="spellEnd"/>
      <w:r w:rsidR="00011018" w:rsidRPr="00410E4D">
        <w:rPr>
          <w:rFonts w:ascii="Verdana" w:hAnsi="Verdana" w:cs="Arial"/>
        </w:rPr>
        <w:t>-enzyme (ACE) inhibitors and ghrelin mimetics [30].</w:t>
      </w:r>
    </w:p>
    <w:p w:rsidR="00535D95" w:rsidRPr="00410E4D" w:rsidRDefault="00535D95" w:rsidP="00F810E2">
      <w:pPr>
        <w:spacing w:line="480" w:lineRule="auto"/>
        <w:jc w:val="both"/>
        <w:rPr>
          <w:rFonts w:ascii="Verdana" w:hAnsi="Verdana" w:cs="Arial"/>
        </w:rPr>
      </w:pPr>
    </w:p>
    <w:p w:rsidR="000B6B3E" w:rsidRPr="00410E4D" w:rsidRDefault="00593F5C" w:rsidP="00F810E2">
      <w:pPr>
        <w:spacing w:line="480" w:lineRule="auto"/>
        <w:jc w:val="both"/>
        <w:rPr>
          <w:rFonts w:ascii="Verdana" w:hAnsi="Verdana" w:cs="Arial"/>
          <w:u w:val="single"/>
        </w:rPr>
      </w:pPr>
      <w:r w:rsidRPr="00410E4D">
        <w:rPr>
          <w:rFonts w:ascii="Verdana" w:hAnsi="Verdana" w:cs="Arial"/>
          <w:u w:val="single"/>
        </w:rPr>
        <w:t>Conclusion</w:t>
      </w:r>
    </w:p>
    <w:p w:rsidR="00796BC9" w:rsidRPr="00410E4D" w:rsidRDefault="00535D95" w:rsidP="00F810E2">
      <w:pPr>
        <w:spacing w:line="480" w:lineRule="auto"/>
        <w:jc w:val="both"/>
        <w:rPr>
          <w:rFonts w:ascii="Verdana" w:hAnsi="Verdana" w:cs="Arial"/>
        </w:rPr>
      </w:pPr>
      <w:r w:rsidRPr="00410E4D">
        <w:rPr>
          <w:rFonts w:ascii="Verdana" w:hAnsi="Verdana" w:cs="Arial"/>
        </w:rPr>
        <w:t>The musculoskeletal aging phenotype comprise</w:t>
      </w:r>
      <w:r w:rsidR="00423861" w:rsidRPr="00410E4D">
        <w:rPr>
          <w:rFonts w:ascii="Verdana" w:hAnsi="Verdana" w:cs="Arial"/>
        </w:rPr>
        <w:t>s</w:t>
      </w:r>
      <w:r w:rsidRPr="00410E4D">
        <w:rPr>
          <w:rFonts w:ascii="Verdana" w:hAnsi="Verdana" w:cs="Arial"/>
        </w:rPr>
        <w:t xml:space="preserve"> four often interwoven key elements; osteoporosis, osteoarthritis, sarcopenia and frail</w:t>
      </w:r>
      <w:r w:rsidR="00423861" w:rsidRPr="00410E4D">
        <w:rPr>
          <w:rFonts w:ascii="Verdana" w:hAnsi="Verdana" w:cs="Arial"/>
        </w:rPr>
        <w:t>t</w:t>
      </w:r>
      <w:r w:rsidRPr="00410E4D">
        <w:rPr>
          <w:rFonts w:ascii="Verdana" w:hAnsi="Verdana" w:cs="Arial"/>
        </w:rPr>
        <w:t xml:space="preserve">y. Together they represent a very significant public health burden and impact on quality of life in later life. </w:t>
      </w:r>
      <w:r w:rsidR="00D32160" w:rsidRPr="00410E4D">
        <w:rPr>
          <w:rFonts w:ascii="Verdana" w:hAnsi="Verdana" w:cs="Arial"/>
        </w:rPr>
        <w:t>Within</w:t>
      </w:r>
      <w:r w:rsidR="00011018" w:rsidRPr="00410E4D">
        <w:rPr>
          <w:rFonts w:ascii="Verdana" w:hAnsi="Verdana" w:cs="Arial"/>
        </w:rPr>
        <w:t xml:space="preserve"> the muscu</w:t>
      </w:r>
      <w:r w:rsidR="00D32160" w:rsidRPr="00410E4D">
        <w:rPr>
          <w:rFonts w:ascii="Verdana" w:hAnsi="Verdana" w:cs="Arial"/>
        </w:rPr>
        <w:t>l</w:t>
      </w:r>
      <w:r w:rsidR="00011018" w:rsidRPr="00410E4D">
        <w:rPr>
          <w:rFonts w:ascii="Verdana" w:hAnsi="Verdana" w:cs="Arial"/>
        </w:rPr>
        <w:t xml:space="preserve">oskeletal phenotype there are agents able to retard progression of disease at different stages of development. There are currently </w:t>
      </w:r>
      <w:r w:rsidR="00D32160" w:rsidRPr="00410E4D">
        <w:rPr>
          <w:rFonts w:ascii="Verdana" w:hAnsi="Verdana" w:cs="Arial"/>
        </w:rPr>
        <w:t>more agents available for bone disorders such as osteoporosis</w:t>
      </w:r>
      <w:r w:rsidR="000817BD" w:rsidRPr="00410E4D">
        <w:rPr>
          <w:rFonts w:ascii="Verdana" w:hAnsi="Verdana" w:cs="Arial"/>
        </w:rPr>
        <w:t>, than those target</w:t>
      </w:r>
      <w:r w:rsidR="00D32160" w:rsidRPr="00410E4D">
        <w:rPr>
          <w:rFonts w:ascii="Verdana" w:hAnsi="Verdana" w:cs="Arial"/>
        </w:rPr>
        <w:t xml:space="preserve">ing muscle such as in sarcopenia. This reflects the challenge in the musculoskeletal phenotype: those with more agreed diagnostic </w:t>
      </w:r>
      <w:proofErr w:type="gramStart"/>
      <w:r w:rsidR="00D32160" w:rsidRPr="00410E4D">
        <w:rPr>
          <w:rFonts w:ascii="Verdana" w:hAnsi="Verdana" w:cs="Arial"/>
        </w:rPr>
        <w:t>framework are</w:t>
      </w:r>
      <w:proofErr w:type="gramEnd"/>
      <w:r w:rsidR="00D32160" w:rsidRPr="00410E4D">
        <w:rPr>
          <w:rFonts w:ascii="Verdana" w:hAnsi="Verdana" w:cs="Arial"/>
        </w:rPr>
        <w:t xml:space="preserve"> further along</w:t>
      </w:r>
      <w:r w:rsidR="000817BD" w:rsidRPr="00410E4D">
        <w:rPr>
          <w:rFonts w:ascii="Verdana" w:hAnsi="Verdana" w:cs="Arial"/>
        </w:rPr>
        <w:t xml:space="preserve"> an</w:t>
      </w:r>
      <w:r w:rsidR="00C75D4A" w:rsidRPr="00410E4D">
        <w:rPr>
          <w:rFonts w:ascii="Verdana" w:hAnsi="Verdana" w:cs="Arial"/>
        </w:rPr>
        <w:t xml:space="preserve"> </w:t>
      </w:r>
      <w:r w:rsidR="000817BD" w:rsidRPr="00410E4D">
        <w:rPr>
          <w:rFonts w:ascii="Verdana" w:hAnsi="Verdana" w:cs="Arial"/>
        </w:rPr>
        <w:t>intervention development</w:t>
      </w:r>
      <w:r w:rsidR="00D32160" w:rsidRPr="00410E4D">
        <w:rPr>
          <w:rFonts w:ascii="Verdana" w:hAnsi="Verdana" w:cs="Arial"/>
        </w:rPr>
        <w:t xml:space="preserve"> </w:t>
      </w:r>
      <w:r w:rsidR="000817BD" w:rsidRPr="00410E4D">
        <w:rPr>
          <w:rFonts w:ascii="Verdana" w:hAnsi="Verdana" w:cs="Arial"/>
        </w:rPr>
        <w:t xml:space="preserve">path. </w:t>
      </w:r>
      <w:r w:rsidRPr="00410E4D">
        <w:rPr>
          <w:rFonts w:ascii="Verdana" w:hAnsi="Verdana" w:cs="Arial"/>
        </w:rPr>
        <w:t xml:space="preserve">In order that we might identify those individuals at greatest risk of developing these conditions, </w:t>
      </w:r>
      <w:r w:rsidR="00D32160" w:rsidRPr="00410E4D">
        <w:rPr>
          <w:rFonts w:ascii="Verdana" w:hAnsi="Verdana" w:cs="Arial"/>
        </w:rPr>
        <w:t xml:space="preserve">agree </w:t>
      </w:r>
      <w:r w:rsidR="00D32160" w:rsidRPr="00410E4D">
        <w:rPr>
          <w:rFonts w:ascii="Verdana" w:hAnsi="Verdana" w:cs="Arial"/>
        </w:rPr>
        <w:lastRenderedPageBreak/>
        <w:t xml:space="preserve">framework around outcomes of interest </w:t>
      </w:r>
      <w:r w:rsidRPr="00410E4D">
        <w:rPr>
          <w:rFonts w:ascii="Verdana" w:hAnsi="Verdana" w:cs="Arial"/>
        </w:rPr>
        <w:t>and design trials of therapeutic agents that might impact that development, it is crucial that we are able to accurately measure each phenotype. In some areas described above, this work is more advanced (osteoporosis); in other areas (sarcopenia) the field is currently very rapidly evolving.</w:t>
      </w:r>
    </w:p>
    <w:p w:rsidR="009754CA" w:rsidRPr="00410E4D" w:rsidRDefault="009754CA" w:rsidP="009754CA">
      <w:pPr>
        <w:spacing w:after="0" w:line="360" w:lineRule="auto"/>
        <w:jc w:val="both"/>
        <w:rPr>
          <w:rFonts w:ascii="Verdana" w:hAnsi="Verdana" w:cs="Arial"/>
          <w:b/>
        </w:rPr>
      </w:pPr>
    </w:p>
    <w:p w:rsidR="009754CA" w:rsidRPr="00410E4D" w:rsidRDefault="009754CA" w:rsidP="007C1B73">
      <w:pPr>
        <w:spacing w:after="0" w:line="480" w:lineRule="auto"/>
        <w:jc w:val="both"/>
        <w:rPr>
          <w:rFonts w:ascii="Verdana" w:hAnsi="Verdana" w:cs="Arial"/>
          <w:b/>
        </w:rPr>
      </w:pPr>
      <w:r w:rsidRPr="00410E4D">
        <w:rPr>
          <w:rFonts w:ascii="Verdana" w:hAnsi="Verdana" w:cs="Arial"/>
          <w:b/>
        </w:rPr>
        <w:t>Acknowledgements</w:t>
      </w:r>
    </w:p>
    <w:p w:rsidR="00587F11" w:rsidRPr="00410E4D" w:rsidRDefault="009754CA" w:rsidP="007C1B73">
      <w:pPr>
        <w:spacing w:after="0" w:line="480" w:lineRule="auto"/>
        <w:jc w:val="both"/>
        <w:rPr>
          <w:rFonts w:ascii="Verdana" w:hAnsi="Verdana" w:cs="Arial"/>
        </w:rPr>
      </w:pPr>
      <w:r w:rsidRPr="00410E4D">
        <w:rPr>
          <w:rFonts w:ascii="Verdana" w:hAnsi="Verdana" w:cs="Arial"/>
        </w:rPr>
        <w:t xml:space="preserve">Alice Dawson was supported by the University </w:t>
      </w:r>
      <w:proofErr w:type="gramStart"/>
      <w:r w:rsidRPr="00410E4D">
        <w:rPr>
          <w:rFonts w:ascii="Verdana" w:hAnsi="Verdana" w:cs="Arial"/>
        </w:rPr>
        <w:t>of Southampton National Institute of</w:t>
      </w:r>
      <w:proofErr w:type="gramEnd"/>
      <w:r w:rsidRPr="00410E4D">
        <w:rPr>
          <w:rFonts w:ascii="Verdana" w:hAnsi="Verdana" w:cs="Arial"/>
        </w:rPr>
        <w:t xml:space="preserve"> Health Research Academic Foundation Programme</w:t>
      </w:r>
      <w:r w:rsidR="00587F11" w:rsidRPr="00410E4D">
        <w:rPr>
          <w:rFonts w:ascii="Verdana" w:hAnsi="Verdana" w:cs="Arial"/>
        </w:rPr>
        <w:br w:type="page"/>
      </w:r>
    </w:p>
    <w:p w:rsidR="004F75FC" w:rsidRPr="00410E4D" w:rsidRDefault="007B725D" w:rsidP="007C4070">
      <w:pPr>
        <w:tabs>
          <w:tab w:val="left" w:pos="7305"/>
        </w:tabs>
        <w:spacing w:line="360" w:lineRule="auto"/>
        <w:jc w:val="both"/>
        <w:rPr>
          <w:rFonts w:ascii="Verdana" w:hAnsi="Verdana" w:cs="Arial"/>
        </w:rPr>
      </w:pPr>
      <w:r w:rsidRPr="00410E4D">
        <w:rPr>
          <w:rFonts w:ascii="Verdana" w:hAnsi="Verdana" w:cs="Arial"/>
        </w:rPr>
        <w:lastRenderedPageBreak/>
        <w:t xml:space="preserve">TABLE 1: Comparison of measurements in musculoskeletal </w:t>
      </w:r>
      <w:r w:rsidR="002F6053" w:rsidRPr="00410E4D">
        <w:rPr>
          <w:rFonts w:ascii="Verdana" w:hAnsi="Verdana" w:cs="Arial"/>
        </w:rPr>
        <w:t>aging</w:t>
      </w:r>
      <w:r w:rsidR="00306F80" w:rsidRPr="00410E4D">
        <w:rPr>
          <w:rFonts w:ascii="Verdana" w:hAnsi="Verdana" w:cs="Arial"/>
        </w:rPr>
        <w:t xml:space="preserve"> [</w:t>
      </w:r>
      <w:r w:rsidR="002C08D5" w:rsidRPr="00410E4D">
        <w:rPr>
          <w:rFonts w:ascii="Verdana" w:hAnsi="Verdana" w:cs="Arial"/>
        </w:rPr>
        <w:t>8</w:t>
      </w:r>
      <w:r w:rsidR="00252D5F" w:rsidRPr="00410E4D">
        <w:rPr>
          <w:rFonts w:ascii="Verdana" w:hAnsi="Verdana" w:cs="Arial"/>
        </w:rPr>
        <w:t>, 27, 31</w:t>
      </w:r>
      <w:r w:rsidR="002C08D5" w:rsidRPr="00410E4D">
        <w:rPr>
          <w:rFonts w:ascii="Verdana" w:hAnsi="Verdana" w:cs="Arial"/>
        </w:rPr>
        <w:t>-36]</w:t>
      </w:r>
    </w:p>
    <w:p w:rsidR="007B725D" w:rsidRPr="00410E4D" w:rsidRDefault="007B725D" w:rsidP="00CE54B6">
      <w:pPr>
        <w:spacing w:line="360" w:lineRule="auto"/>
        <w:jc w:val="both"/>
        <w:rPr>
          <w:rFonts w:ascii="Verdana" w:hAnsi="Verdana" w:cs="Arial"/>
        </w:rPr>
      </w:pPr>
    </w:p>
    <w:tbl>
      <w:tblPr>
        <w:tblStyle w:val="TableGrid"/>
        <w:tblW w:w="0" w:type="auto"/>
        <w:tblLook w:val="04A0" w:firstRow="1" w:lastRow="0" w:firstColumn="1" w:lastColumn="0" w:noHBand="0" w:noVBand="1"/>
      </w:tblPr>
      <w:tblGrid>
        <w:gridCol w:w="2264"/>
        <w:gridCol w:w="1963"/>
        <w:gridCol w:w="1006"/>
        <w:gridCol w:w="1571"/>
        <w:gridCol w:w="1128"/>
        <w:gridCol w:w="1310"/>
      </w:tblGrid>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FRAILTY</w:t>
            </w: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 xml:space="preserve">Canadian Study of Health and </w:t>
            </w:r>
            <w:r w:rsidR="002F6053" w:rsidRPr="00410E4D">
              <w:rPr>
                <w:rFonts w:ascii="Verdana" w:hAnsi="Verdana"/>
              </w:rPr>
              <w:t>Aging</w:t>
            </w:r>
            <w:r w:rsidRPr="00410E4D">
              <w:rPr>
                <w:rFonts w:ascii="Verdana" w:hAnsi="Verdana"/>
              </w:rPr>
              <w:t xml:space="preserve"> (CSHA) Frailty Scale</w:t>
            </w:r>
          </w:p>
        </w:tc>
        <w:tc>
          <w:tcPr>
            <w:tcW w:w="2310" w:type="dxa"/>
          </w:tcPr>
          <w:p w:rsidR="007B725D" w:rsidRPr="00410E4D" w:rsidRDefault="007B725D" w:rsidP="00252D5F">
            <w:pPr>
              <w:rPr>
                <w:rFonts w:ascii="Verdana" w:hAnsi="Verdana"/>
              </w:rPr>
            </w:pPr>
            <w:r w:rsidRPr="00410E4D">
              <w:rPr>
                <w:rFonts w:ascii="Verdana" w:hAnsi="Verdana"/>
              </w:rPr>
              <w:t>7 point labelled scale</w:t>
            </w:r>
          </w:p>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r w:rsidRPr="00410E4D">
              <w:rPr>
                <w:rFonts w:ascii="Verdana" w:hAnsi="Verdana"/>
              </w:rPr>
              <w:t>‘Very fit’ – ‘severely frail’</w:t>
            </w: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Frailty Index</w:t>
            </w:r>
          </w:p>
        </w:tc>
        <w:tc>
          <w:tcPr>
            <w:tcW w:w="2310" w:type="dxa"/>
          </w:tcPr>
          <w:p w:rsidR="007B725D" w:rsidRPr="00410E4D" w:rsidRDefault="007B725D" w:rsidP="00252D5F">
            <w:pPr>
              <w:rPr>
                <w:rFonts w:ascii="Verdana" w:hAnsi="Verdana"/>
              </w:rPr>
            </w:pPr>
            <w:r w:rsidRPr="00410E4D">
              <w:rPr>
                <w:rFonts w:ascii="Verdana" w:hAnsi="Verdana"/>
              </w:rPr>
              <w:t>Cumulative deficit score. Index = sum of deficits over total score based on number of items used (e.g. 36)</w:t>
            </w:r>
          </w:p>
        </w:tc>
        <w:tc>
          <w:tcPr>
            <w:tcW w:w="2311" w:type="dxa"/>
            <w:gridSpan w:val="2"/>
          </w:tcPr>
          <w:p w:rsidR="007B725D" w:rsidRPr="00410E4D" w:rsidRDefault="007B725D" w:rsidP="00252D5F">
            <w:pPr>
              <w:rPr>
                <w:rFonts w:ascii="Verdana" w:hAnsi="Verdana"/>
              </w:rPr>
            </w:pPr>
            <w:r w:rsidRPr="00410E4D">
              <w:rPr>
                <w:rFonts w:ascii="Verdana" w:hAnsi="Verdana"/>
              </w:rPr>
              <w:t>0 - 0.2 no frailty</w:t>
            </w:r>
          </w:p>
          <w:p w:rsidR="007B725D" w:rsidRPr="00410E4D" w:rsidRDefault="007B725D" w:rsidP="00252D5F">
            <w:pPr>
              <w:rPr>
                <w:rFonts w:ascii="Verdana" w:hAnsi="Verdana"/>
              </w:rPr>
            </w:pPr>
            <w:r w:rsidRPr="00410E4D">
              <w:rPr>
                <w:rFonts w:ascii="Verdana" w:hAnsi="Verdana"/>
              </w:rPr>
              <w:t>0.2 – 0.4 mild frailty</w:t>
            </w:r>
          </w:p>
          <w:p w:rsidR="007B725D" w:rsidRPr="00410E4D" w:rsidRDefault="007B725D" w:rsidP="00252D5F">
            <w:pPr>
              <w:rPr>
                <w:rFonts w:ascii="Verdana" w:hAnsi="Verdana"/>
              </w:rPr>
            </w:pPr>
            <w:r w:rsidRPr="00410E4D">
              <w:rPr>
                <w:rFonts w:ascii="Verdana" w:hAnsi="Verdana"/>
              </w:rPr>
              <w:t>0.4 – 1.0 frailty</w:t>
            </w: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Phenotype model (Fried et al criteria)</w:t>
            </w:r>
          </w:p>
        </w:tc>
        <w:tc>
          <w:tcPr>
            <w:tcW w:w="2310" w:type="dxa"/>
          </w:tcPr>
          <w:p w:rsidR="007B725D" w:rsidRPr="00410E4D" w:rsidRDefault="007B725D" w:rsidP="00252D5F">
            <w:pPr>
              <w:rPr>
                <w:rFonts w:ascii="Verdana" w:hAnsi="Verdana"/>
              </w:rPr>
            </w:pPr>
            <w:r w:rsidRPr="00410E4D">
              <w:rPr>
                <w:rFonts w:ascii="Verdana" w:hAnsi="Verdana"/>
              </w:rPr>
              <w:t>5 criteria</w:t>
            </w:r>
          </w:p>
        </w:tc>
        <w:tc>
          <w:tcPr>
            <w:tcW w:w="2311" w:type="dxa"/>
            <w:gridSpan w:val="2"/>
          </w:tcPr>
          <w:p w:rsidR="007B725D" w:rsidRPr="00410E4D" w:rsidRDefault="007B725D" w:rsidP="00252D5F">
            <w:pPr>
              <w:rPr>
                <w:rFonts w:ascii="Verdana" w:hAnsi="Verdana"/>
              </w:rPr>
            </w:pPr>
            <w:r w:rsidRPr="00410E4D">
              <w:rPr>
                <w:rFonts w:ascii="Verdana" w:hAnsi="Verdana"/>
              </w:rPr>
              <w:t>1 – 2 pre-frail</w:t>
            </w:r>
          </w:p>
          <w:p w:rsidR="007B725D" w:rsidRPr="00410E4D" w:rsidRDefault="007B725D" w:rsidP="00252D5F">
            <w:pPr>
              <w:rPr>
                <w:rFonts w:ascii="Verdana" w:hAnsi="Verdana"/>
              </w:rPr>
            </w:pPr>
            <w:r w:rsidRPr="00410E4D">
              <w:rPr>
                <w:rFonts w:ascii="Verdana" w:hAnsi="Verdana"/>
              </w:rPr>
              <w:t>≥ 3 frail</w:t>
            </w: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SARCOPENIA</w:t>
            </w:r>
          </w:p>
        </w:tc>
        <w:tc>
          <w:tcPr>
            <w:tcW w:w="2310" w:type="dxa"/>
          </w:tcPr>
          <w:p w:rsidR="007B725D" w:rsidRPr="00410E4D" w:rsidRDefault="007B725D" w:rsidP="00252D5F">
            <w:pPr>
              <w:rPr>
                <w:rFonts w:ascii="Verdana" w:hAnsi="Verdana"/>
              </w:rPr>
            </w:pPr>
            <w:r w:rsidRPr="00410E4D">
              <w:rPr>
                <w:rFonts w:ascii="Verdana" w:hAnsi="Verdana"/>
              </w:rPr>
              <w:t>Low muscle mass:</w:t>
            </w:r>
          </w:p>
        </w:tc>
        <w:tc>
          <w:tcPr>
            <w:tcW w:w="2311" w:type="dxa"/>
            <w:gridSpan w:val="2"/>
          </w:tcPr>
          <w:p w:rsidR="007B725D" w:rsidRPr="00410E4D" w:rsidRDefault="007B725D" w:rsidP="00252D5F">
            <w:pPr>
              <w:rPr>
                <w:rFonts w:ascii="Verdana" w:hAnsi="Verdana"/>
              </w:rPr>
            </w:pPr>
            <w:r w:rsidRPr="00410E4D">
              <w:rPr>
                <w:rFonts w:ascii="Verdana" w:hAnsi="Verdana"/>
              </w:rPr>
              <w:t>Low muscle strength:</w:t>
            </w:r>
          </w:p>
        </w:tc>
        <w:tc>
          <w:tcPr>
            <w:tcW w:w="2311" w:type="dxa"/>
            <w:gridSpan w:val="2"/>
          </w:tcPr>
          <w:p w:rsidR="007B725D" w:rsidRPr="00410E4D" w:rsidRDefault="007B725D" w:rsidP="00252D5F">
            <w:pPr>
              <w:rPr>
                <w:rFonts w:ascii="Verdana" w:hAnsi="Verdana"/>
              </w:rPr>
            </w:pPr>
            <w:r w:rsidRPr="00410E4D">
              <w:rPr>
                <w:rFonts w:ascii="Verdana" w:hAnsi="Verdana"/>
              </w:rPr>
              <w:t>Low physical performance:</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IWG</w:t>
            </w:r>
          </w:p>
        </w:tc>
        <w:tc>
          <w:tcPr>
            <w:tcW w:w="2310" w:type="dxa"/>
          </w:tcPr>
          <w:p w:rsidR="007B725D" w:rsidRPr="00410E4D" w:rsidRDefault="007B725D" w:rsidP="00252D5F">
            <w:pPr>
              <w:rPr>
                <w:rFonts w:ascii="Verdana" w:hAnsi="Verdana"/>
              </w:rPr>
            </w:pPr>
            <w:r w:rsidRPr="00410E4D">
              <w:rPr>
                <w:rFonts w:ascii="Verdana" w:hAnsi="Verdana"/>
              </w:rPr>
              <w:t>ALM/ht²</w:t>
            </w:r>
          </w:p>
          <w:p w:rsidR="007B725D" w:rsidRPr="00410E4D" w:rsidRDefault="007B725D" w:rsidP="00252D5F">
            <w:pPr>
              <w:rPr>
                <w:rFonts w:ascii="Verdana" w:hAnsi="Verdana"/>
              </w:rPr>
            </w:pPr>
            <w:r w:rsidRPr="00410E4D">
              <w:rPr>
                <w:rFonts w:ascii="Verdana" w:hAnsi="Verdana"/>
              </w:rPr>
              <w:t>Men: &lt;7.23kg/ m²</w:t>
            </w:r>
          </w:p>
          <w:p w:rsidR="007B725D" w:rsidRPr="00410E4D" w:rsidRDefault="007B725D" w:rsidP="00252D5F">
            <w:pPr>
              <w:rPr>
                <w:rFonts w:ascii="Verdana" w:hAnsi="Verdana"/>
              </w:rPr>
            </w:pPr>
            <w:r w:rsidRPr="00410E4D">
              <w:rPr>
                <w:rFonts w:ascii="Verdana" w:hAnsi="Verdana"/>
              </w:rPr>
              <w:t>Women: &lt;5.67kg/m²</w:t>
            </w:r>
          </w:p>
        </w:tc>
        <w:tc>
          <w:tcPr>
            <w:tcW w:w="2311" w:type="dxa"/>
            <w:gridSpan w:val="2"/>
          </w:tcPr>
          <w:p w:rsidR="007B725D" w:rsidRPr="00410E4D" w:rsidRDefault="007B725D" w:rsidP="00252D5F">
            <w:pPr>
              <w:rPr>
                <w:rFonts w:ascii="Verdana" w:hAnsi="Verdana"/>
              </w:rPr>
            </w:pPr>
            <w:r w:rsidRPr="00410E4D">
              <w:rPr>
                <w:rFonts w:ascii="Verdana" w:hAnsi="Verdana"/>
              </w:rPr>
              <w:t>Low grip strength</w:t>
            </w:r>
          </w:p>
          <w:p w:rsidR="007B725D" w:rsidRPr="00410E4D" w:rsidRDefault="007B725D" w:rsidP="00252D5F">
            <w:pPr>
              <w:rPr>
                <w:rFonts w:ascii="Verdana" w:hAnsi="Verdana"/>
              </w:rPr>
            </w:pPr>
            <w:r w:rsidRPr="00410E4D">
              <w:rPr>
                <w:rFonts w:ascii="Verdana" w:hAnsi="Verdana"/>
              </w:rPr>
              <w:t>(undefined)</w:t>
            </w:r>
          </w:p>
        </w:tc>
        <w:tc>
          <w:tcPr>
            <w:tcW w:w="2311" w:type="dxa"/>
            <w:gridSpan w:val="2"/>
          </w:tcPr>
          <w:p w:rsidR="007B725D" w:rsidRPr="00410E4D" w:rsidRDefault="007B725D" w:rsidP="00252D5F">
            <w:pPr>
              <w:rPr>
                <w:rFonts w:ascii="Verdana" w:hAnsi="Verdana"/>
              </w:rPr>
            </w:pPr>
            <w:r w:rsidRPr="00410E4D">
              <w:rPr>
                <w:rFonts w:ascii="Verdana" w:hAnsi="Verdana"/>
              </w:rPr>
              <w:t>Gait speed &lt;1.0 m/s</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EWGSOP</w:t>
            </w:r>
          </w:p>
        </w:tc>
        <w:tc>
          <w:tcPr>
            <w:tcW w:w="2310" w:type="dxa"/>
          </w:tcPr>
          <w:p w:rsidR="007B725D" w:rsidRPr="00410E4D" w:rsidRDefault="007B725D" w:rsidP="00252D5F">
            <w:pPr>
              <w:rPr>
                <w:rFonts w:ascii="Verdana" w:hAnsi="Verdana"/>
              </w:rPr>
            </w:pPr>
            <w:r w:rsidRPr="00410E4D">
              <w:rPr>
                <w:rFonts w:ascii="Verdana" w:hAnsi="Verdana"/>
              </w:rPr>
              <w:t>ALM/ht²</w:t>
            </w:r>
          </w:p>
          <w:p w:rsidR="007B725D" w:rsidRPr="00410E4D" w:rsidRDefault="007B725D" w:rsidP="00252D5F">
            <w:pPr>
              <w:rPr>
                <w:rFonts w:ascii="Verdana" w:hAnsi="Verdana"/>
              </w:rPr>
            </w:pPr>
            <w:r w:rsidRPr="00410E4D">
              <w:rPr>
                <w:rFonts w:ascii="Verdana" w:hAnsi="Verdana"/>
              </w:rPr>
              <w:t>Men: &lt;7.23kg/ m²</w:t>
            </w:r>
          </w:p>
          <w:p w:rsidR="007B725D" w:rsidRPr="00410E4D" w:rsidRDefault="007B725D" w:rsidP="00252D5F">
            <w:pPr>
              <w:rPr>
                <w:rFonts w:ascii="Verdana" w:hAnsi="Verdana"/>
              </w:rPr>
            </w:pPr>
            <w:r w:rsidRPr="00410E4D">
              <w:rPr>
                <w:rFonts w:ascii="Verdana" w:hAnsi="Verdana"/>
              </w:rPr>
              <w:t>Women: &lt;5.67kg/m²</w:t>
            </w:r>
          </w:p>
        </w:tc>
        <w:tc>
          <w:tcPr>
            <w:tcW w:w="2311" w:type="dxa"/>
            <w:gridSpan w:val="2"/>
          </w:tcPr>
          <w:p w:rsidR="007B725D" w:rsidRPr="00410E4D" w:rsidRDefault="007B725D" w:rsidP="00252D5F">
            <w:pPr>
              <w:rPr>
                <w:rFonts w:ascii="Verdana" w:hAnsi="Verdana"/>
              </w:rPr>
            </w:pPr>
            <w:r w:rsidRPr="00410E4D">
              <w:rPr>
                <w:rFonts w:ascii="Verdana" w:hAnsi="Verdana"/>
              </w:rPr>
              <w:t>Low grip strength</w:t>
            </w:r>
          </w:p>
          <w:p w:rsidR="007B725D" w:rsidRPr="00410E4D" w:rsidRDefault="007B725D" w:rsidP="00252D5F">
            <w:pPr>
              <w:rPr>
                <w:rFonts w:ascii="Verdana" w:hAnsi="Verdana"/>
              </w:rPr>
            </w:pPr>
            <w:r w:rsidRPr="00410E4D">
              <w:rPr>
                <w:rFonts w:ascii="Verdana" w:hAnsi="Verdana"/>
              </w:rPr>
              <w:t>Men: &lt;30kg</w:t>
            </w:r>
          </w:p>
          <w:p w:rsidR="007B725D" w:rsidRPr="00410E4D" w:rsidRDefault="007B725D" w:rsidP="00252D5F">
            <w:pPr>
              <w:rPr>
                <w:rFonts w:ascii="Verdana" w:hAnsi="Verdana"/>
              </w:rPr>
            </w:pPr>
            <w:r w:rsidRPr="00410E4D">
              <w:rPr>
                <w:rFonts w:ascii="Verdana" w:hAnsi="Verdana"/>
              </w:rPr>
              <w:t>Women: &lt; 20kg</w:t>
            </w:r>
          </w:p>
        </w:tc>
        <w:tc>
          <w:tcPr>
            <w:tcW w:w="2311" w:type="dxa"/>
            <w:gridSpan w:val="2"/>
          </w:tcPr>
          <w:p w:rsidR="007B725D" w:rsidRPr="00410E4D" w:rsidRDefault="007B725D" w:rsidP="00252D5F">
            <w:pPr>
              <w:rPr>
                <w:rFonts w:ascii="Verdana" w:hAnsi="Verdana"/>
              </w:rPr>
            </w:pPr>
            <w:r w:rsidRPr="00410E4D">
              <w:rPr>
                <w:rFonts w:ascii="Verdana" w:hAnsi="Verdana"/>
              </w:rPr>
              <w:t>Gait speed &lt; 0.8m/s</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SCWD</w:t>
            </w:r>
          </w:p>
        </w:tc>
        <w:tc>
          <w:tcPr>
            <w:tcW w:w="2310" w:type="dxa"/>
          </w:tcPr>
          <w:p w:rsidR="007B725D" w:rsidRPr="00410E4D" w:rsidRDefault="007B725D" w:rsidP="00252D5F">
            <w:pPr>
              <w:rPr>
                <w:rFonts w:ascii="Verdana" w:hAnsi="Verdana"/>
              </w:rPr>
            </w:pPr>
            <w:r w:rsidRPr="00410E4D">
              <w:rPr>
                <w:rFonts w:ascii="Verdana" w:hAnsi="Verdana"/>
              </w:rPr>
              <w:t>Low ALM/ht² (undefined)</w:t>
            </w:r>
          </w:p>
        </w:tc>
        <w:tc>
          <w:tcPr>
            <w:tcW w:w="2311" w:type="dxa"/>
            <w:gridSpan w:val="2"/>
          </w:tcPr>
          <w:p w:rsidR="007B725D" w:rsidRPr="00410E4D" w:rsidRDefault="007B725D" w:rsidP="00252D5F">
            <w:pPr>
              <w:jc w:val="center"/>
              <w:rPr>
                <w:rFonts w:ascii="Verdana" w:hAnsi="Verdana"/>
              </w:rPr>
            </w:pPr>
            <w:r w:rsidRPr="00410E4D">
              <w:rPr>
                <w:rFonts w:ascii="Verdana" w:hAnsi="Verdana"/>
              </w:rPr>
              <w:t>_</w:t>
            </w:r>
          </w:p>
        </w:tc>
        <w:tc>
          <w:tcPr>
            <w:tcW w:w="2311" w:type="dxa"/>
            <w:gridSpan w:val="2"/>
          </w:tcPr>
          <w:p w:rsidR="007B725D" w:rsidRPr="00410E4D" w:rsidRDefault="007B725D" w:rsidP="00252D5F">
            <w:pPr>
              <w:rPr>
                <w:rFonts w:ascii="Verdana" w:hAnsi="Verdana"/>
              </w:rPr>
            </w:pPr>
            <w:r w:rsidRPr="00410E4D">
              <w:rPr>
                <w:rFonts w:ascii="Verdana" w:hAnsi="Verdana"/>
              </w:rPr>
              <w:t>Gait speed &lt; 1.0 m/s or 6min walk &lt; 400m</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FNIH</w:t>
            </w:r>
          </w:p>
        </w:tc>
        <w:tc>
          <w:tcPr>
            <w:tcW w:w="2310" w:type="dxa"/>
          </w:tcPr>
          <w:p w:rsidR="007B725D" w:rsidRPr="00410E4D" w:rsidRDefault="007B725D" w:rsidP="00252D5F">
            <w:pPr>
              <w:rPr>
                <w:rFonts w:ascii="Verdana" w:hAnsi="Verdana"/>
              </w:rPr>
            </w:pPr>
            <w:r w:rsidRPr="00410E4D">
              <w:rPr>
                <w:rFonts w:ascii="Verdana" w:hAnsi="Verdana"/>
              </w:rPr>
              <w:t>ALM:BMI ratio</w:t>
            </w:r>
          </w:p>
          <w:p w:rsidR="007B725D" w:rsidRPr="00410E4D" w:rsidRDefault="007B725D" w:rsidP="00252D5F">
            <w:pPr>
              <w:rPr>
                <w:rFonts w:ascii="Verdana" w:hAnsi="Verdana"/>
              </w:rPr>
            </w:pPr>
            <w:r w:rsidRPr="00410E4D">
              <w:rPr>
                <w:rFonts w:ascii="Verdana" w:hAnsi="Verdana"/>
              </w:rPr>
              <w:t>Men: &lt;0.789</w:t>
            </w:r>
          </w:p>
          <w:p w:rsidR="007B725D" w:rsidRPr="00410E4D" w:rsidRDefault="007B725D" w:rsidP="00252D5F">
            <w:pPr>
              <w:rPr>
                <w:rFonts w:ascii="Verdana" w:hAnsi="Verdana"/>
              </w:rPr>
            </w:pPr>
            <w:r w:rsidRPr="00410E4D">
              <w:rPr>
                <w:rFonts w:ascii="Verdana" w:hAnsi="Verdana"/>
              </w:rPr>
              <w:t>Women: &lt;0.512</w:t>
            </w:r>
          </w:p>
        </w:tc>
        <w:tc>
          <w:tcPr>
            <w:tcW w:w="2311" w:type="dxa"/>
            <w:gridSpan w:val="2"/>
          </w:tcPr>
          <w:p w:rsidR="007B725D" w:rsidRPr="00410E4D" w:rsidRDefault="007B725D" w:rsidP="00252D5F">
            <w:pPr>
              <w:rPr>
                <w:rFonts w:ascii="Verdana" w:hAnsi="Verdana"/>
              </w:rPr>
            </w:pPr>
            <w:r w:rsidRPr="00410E4D">
              <w:rPr>
                <w:rFonts w:ascii="Verdana" w:hAnsi="Verdana"/>
              </w:rPr>
              <w:t>Low grip strength</w:t>
            </w:r>
          </w:p>
          <w:p w:rsidR="007B725D" w:rsidRPr="00410E4D" w:rsidRDefault="007B725D" w:rsidP="00252D5F">
            <w:pPr>
              <w:rPr>
                <w:rFonts w:ascii="Verdana" w:hAnsi="Verdana"/>
              </w:rPr>
            </w:pPr>
            <w:r w:rsidRPr="00410E4D">
              <w:rPr>
                <w:rFonts w:ascii="Verdana" w:hAnsi="Verdana"/>
              </w:rPr>
              <w:t>Men: &lt;26kg</w:t>
            </w:r>
          </w:p>
          <w:p w:rsidR="007B725D" w:rsidRPr="00410E4D" w:rsidRDefault="007B725D" w:rsidP="00252D5F">
            <w:pPr>
              <w:rPr>
                <w:rFonts w:ascii="Verdana" w:hAnsi="Verdana"/>
              </w:rPr>
            </w:pPr>
            <w:r w:rsidRPr="00410E4D">
              <w:rPr>
                <w:rFonts w:ascii="Verdana" w:hAnsi="Verdana"/>
              </w:rPr>
              <w:t>Women: &lt;16kg</w:t>
            </w:r>
          </w:p>
        </w:tc>
        <w:tc>
          <w:tcPr>
            <w:tcW w:w="2311" w:type="dxa"/>
            <w:gridSpan w:val="2"/>
          </w:tcPr>
          <w:p w:rsidR="007B725D" w:rsidRPr="00410E4D" w:rsidRDefault="007B725D" w:rsidP="00252D5F">
            <w:pPr>
              <w:rPr>
                <w:rFonts w:ascii="Verdana" w:hAnsi="Verdana"/>
              </w:rPr>
            </w:pPr>
            <w:r w:rsidRPr="00410E4D">
              <w:rPr>
                <w:rFonts w:ascii="Verdana" w:hAnsi="Verdana"/>
              </w:rPr>
              <w:t>Gait speed &lt; 0.8 m/s</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ESPEN/SIG</w:t>
            </w:r>
          </w:p>
        </w:tc>
        <w:tc>
          <w:tcPr>
            <w:tcW w:w="2310" w:type="dxa"/>
          </w:tcPr>
          <w:p w:rsidR="007B725D" w:rsidRPr="00410E4D" w:rsidRDefault="007B725D" w:rsidP="00252D5F">
            <w:pPr>
              <w:rPr>
                <w:rFonts w:ascii="Verdana" w:hAnsi="Verdana"/>
              </w:rPr>
            </w:pPr>
            <w:r w:rsidRPr="00410E4D">
              <w:rPr>
                <w:rFonts w:ascii="Verdana" w:hAnsi="Verdana"/>
              </w:rPr>
              <w:t>≥ 2 standard deviations below the mean measured in young adults</w:t>
            </w:r>
          </w:p>
        </w:tc>
        <w:tc>
          <w:tcPr>
            <w:tcW w:w="2311" w:type="dxa"/>
            <w:gridSpan w:val="2"/>
          </w:tcPr>
          <w:p w:rsidR="007B725D" w:rsidRPr="00410E4D" w:rsidRDefault="007B725D" w:rsidP="00252D5F">
            <w:pPr>
              <w:jc w:val="center"/>
              <w:rPr>
                <w:rFonts w:ascii="Verdana" w:hAnsi="Verdana"/>
              </w:rPr>
            </w:pPr>
            <w:r w:rsidRPr="00410E4D">
              <w:rPr>
                <w:rFonts w:ascii="Verdana" w:hAnsi="Verdana"/>
              </w:rPr>
              <w:t>_</w:t>
            </w:r>
          </w:p>
        </w:tc>
        <w:tc>
          <w:tcPr>
            <w:tcW w:w="2311" w:type="dxa"/>
            <w:gridSpan w:val="2"/>
          </w:tcPr>
          <w:p w:rsidR="007B725D" w:rsidRPr="00410E4D" w:rsidRDefault="007B725D" w:rsidP="00252D5F">
            <w:pPr>
              <w:rPr>
                <w:rFonts w:ascii="Verdana" w:hAnsi="Verdana"/>
              </w:rPr>
            </w:pPr>
            <w:r w:rsidRPr="00410E4D">
              <w:rPr>
                <w:rFonts w:ascii="Verdana" w:hAnsi="Verdana"/>
              </w:rPr>
              <w:t>Gait speed &lt; 0.8 m/s</w:t>
            </w:r>
          </w:p>
        </w:tc>
      </w:tr>
      <w:tr w:rsidR="007B725D" w:rsidRPr="00410E4D" w:rsidTr="00252D5F">
        <w:tc>
          <w:tcPr>
            <w:tcW w:w="2310" w:type="dxa"/>
          </w:tcPr>
          <w:p w:rsidR="007B725D" w:rsidRPr="00410E4D" w:rsidRDefault="007B725D" w:rsidP="00252D5F">
            <w:pPr>
              <w:rPr>
                <w:rFonts w:ascii="Verdana" w:hAnsi="Verdana"/>
              </w:rPr>
            </w:pP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OSTEOARTHRITIS</w:t>
            </w: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 xml:space="preserve">Radiological: Kellgren and </w:t>
            </w:r>
            <w:r w:rsidRPr="00410E4D">
              <w:rPr>
                <w:rFonts w:ascii="Verdana" w:hAnsi="Verdana"/>
              </w:rPr>
              <w:lastRenderedPageBreak/>
              <w:t>Lawrence system</w:t>
            </w:r>
          </w:p>
        </w:tc>
        <w:tc>
          <w:tcPr>
            <w:tcW w:w="2310" w:type="dxa"/>
          </w:tcPr>
          <w:p w:rsidR="007B725D" w:rsidRPr="00410E4D" w:rsidRDefault="007B725D" w:rsidP="00252D5F">
            <w:pPr>
              <w:autoSpaceDE w:val="0"/>
              <w:autoSpaceDN w:val="0"/>
              <w:adjustRightInd w:val="0"/>
              <w:rPr>
                <w:rFonts w:ascii="Verdana" w:hAnsi="Verdana"/>
              </w:rPr>
            </w:pPr>
            <w:r w:rsidRPr="00410E4D">
              <w:rPr>
                <w:rFonts w:ascii="Verdana" w:hAnsi="Verdana"/>
              </w:rPr>
              <w:lastRenderedPageBreak/>
              <w:t>0-4 grades severity</w:t>
            </w: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lastRenderedPageBreak/>
              <w:t>Symptomatic: Western Ontario and McMaster Universities Arthritis Index (WOMAC)</w:t>
            </w:r>
          </w:p>
        </w:tc>
        <w:tc>
          <w:tcPr>
            <w:tcW w:w="2310" w:type="dxa"/>
          </w:tcPr>
          <w:p w:rsidR="007B725D" w:rsidRPr="00410E4D" w:rsidRDefault="007B725D" w:rsidP="00252D5F">
            <w:pPr>
              <w:rPr>
                <w:rFonts w:ascii="Verdana" w:hAnsi="Verdana"/>
              </w:rPr>
            </w:pPr>
            <w:r w:rsidRPr="00410E4D">
              <w:rPr>
                <w:rFonts w:ascii="Verdana" w:hAnsi="Verdana"/>
              </w:rPr>
              <w:t>Self-report questions:</w:t>
            </w:r>
          </w:p>
          <w:p w:rsidR="007B725D" w:rsidRPr="00410E4D" w:rsidRDefault="007B725D" w:rsidP="00252D5F">
            <w:pPr>
              <w:rPr>
                <w:rFonts w:ascii="Verdana" w:hAnsi="Verdana"/>
              </w:rPr>
            </w:pPr>
            <w:r w:rsidRPr="00410E4D">
              <w:rPr>
                <w:rFonts w:ascii="Verdana" w:hAnsi="Verdana"/>
              </w:rPr>
              <w:t xml:space="preserve">5 pain </w:t>
            </w:r>
          </w:p>
          <w:p w:rsidR="007B725D" w:rsidRPr="00410E4D" w:rsidRDefault="007B725D" w:rsidP="00252D5F">
            <w:pPr>
              <w:rPr>
                <w:rFonts w:ascii="Verdana" w:hAnsi="Verdana"/>
              </w:rPr>
            </w:pPr>
            <w:r w:rsidRPr="00410E4D">
              <w:rPr>
                <w:rFonts w:ascii="Verdana" w:hAnsi="Verdana"/>
              </w:rPr>
              <w:t xml:space="preserve">2 stiffness  </w:t>
            </w:r>
          </w:p>
          <w:p w:rsidR="007B725D" w:rsidRPr="00410E4D" w:rsidRDefault="007B725D" w:rsidP="00252D5F">
            <w:pPr>
              <w:rPr>
                <w:rFonts w:ascii="Verdana" w:hAnsi="Verdana"/>
              </w:rPr>
            </w:pPr>
            <w:r w:rsidRPr="00410E4D">
              <w:rPr>
                <w:rFonts w:ascii="Verdana" w:hAnsi="Verdana"/>
              </w:rPr>
              <w:t>17  functional limitation</w:t>
            </w:r>
          </w:p>
        </w:tc>
        <w:tc>
          <w:tcPr>
            <w:tcW w:w="2311" w:type="dxa"/>
            <w:gridSpan w:val="2"/>
          </w:tcPr>
          <w:p w:rsidR="007B725D" w:rsidRPr="00410E4D" w:rsidRDefault="007B725D" w:rsidP="00252D5F">
            <w:pPr>
              <w:rPr>
                <w:rFonts w:ascii="Verdana" w:hAnsi="Verdana"/>
              </w:rPr>
            </w:pPr>
            <w:r w:rsidRPr="00410E4D">
              <w:rPr>
                <w:rFonts w:ascii="Verdana" w:hAnsi="Verdana"/>
              </w:rPr>
              <w:t>Score out of 96:</w:t>
            </w:r>
          </w:p>
          <w:p w:rsidR="007B725D" w:rsidRPr="00410E4D" w:rsidRDefault="007B725D" w:rsidP="00252D5F">
            <w:pPr>
              <w:rPr>
                <w:rFonts w:ascii="Verdana" w:hAnsi="Verdana"/>
              </w:rPr>
            </w:pPr>
            <w:proofErr w:type="spellStart"/>
            <w:r w:rsidRPr="00410E4D">
              <w:rPr>
                <w:rFonts w:ascii="Verdana" w:hAnsi="Verdana"/>
              </w:rPr>
              <w:t>tertiles</w:t>
            </w:r>
            <w:proofErr w:type="spellEnd"/>
            <w:r w:rsidRPr="00410E4D">
              <w:rPr>
                <w:rFonts w:ascii="Verdana" w:hAnsi="Verdana"/>
              </w:rPr>
              <w:t xml:space="preserve"> can be used with the lowest, middle, and highest groups representing mild, moderate, and severe OA</w:t>
            </w: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Clinical: American College of Rheumatology (ACR) criteria</w:t>
            </w:r>
          </w:p>
        </w:tc>
        <w:tc>
          <w:tcPr>
            <w:tcW w:w="2310" w:type="dxa"/>
          </w:tcPr>
          <w:p w:rsidR="007B725D" w:rsidRPr="00410E4D" w:rsidRDefault="007B725D" w:rsidP="00252D5F">
            <w:pPr>
              <w:rPr>
                <w:rFonts w:ascii="Verdana" w:hAnsi="Verdana"/>
              </w:rPr>
            </w:pPr>
            <w:r w:rsidRPr="00410E4D">
              <w:rPr>
                <w:rFonts w:ascii="Verdana" w:hAnsi="Verdana"/>
              </w:rPr>
              <w:t>Variable signs and symptoms criteria dependent on joint</w:t>
            </w: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OSTEOPOROSIS</w:t>
            </w:r>
          </w:p>
        </w:tc>
        <w:tc>
          <w:tcPr>
            <w:tcW w:w="2310" w:type="dxa"/>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WHO</w:t>
            </w:r>
          </w:p>
        </w:tc>
        <w:tc>
          <w:tcPr>
            <w:tcW w:w="2310" w:type="dxa"/>
          </w:tcPr>
          <w:p w:rsidR="007B725D" w:rsidRPr="00410E4D" w:rsidRDefault="007B725D" w:rsidP="00252D5F">
            <w:pPr>
              <w:rPr>
                <w:rFonts w:ascii="Verdana" w:hAnsi="Verdana"/>
              </w:rPr>
            </w:pPr>
            <w:r w:rsidRPr="00410E4D">
              <w:rPr>
                <w:rFonts w:ascii="Verdana" w:hAnsi="Verdana"/>
              </w:rPr>
              <w:t>BMD ≤2.5 T score</w:t>
            </w:r>
          </w:p>
        </w:tc>
        <w:tc>
          <w:tcPr>
            <w:tcW w:w="2311" w:type="dxa"/>
            <w:gridSpan w:val="2"/>
          </w:tcPr>
          <w:p w:rsidR="007B725D" w:rsidRPr="00410E4D" w:rsidRDefault="007B725D" w:rsidP="00252D5F">
            <w:pPr>
              <w:rPr>
                <w:rFonts w:ascii="Verdana" w:hAnsi="Verdana"/>
              </w:rPr>
            </w:pPr>
          </w:p>
        </w:tc>
        <w:tc>
          <w:tcPr>
            <w:tcW w:w="2311" w:type="dxa"/>
            <w:gridSpan w:val="2"/>
          </w:tcPr>
          <w:p w:rsidR="007B725D" w:rsidRPr="00410E4D" w:rsidRDefault="007B725D" w:rsidP="00252D5F">
            <w:pPr>
              <w:rPr>
                <w:rFonts w:ascii="Verdana" w:hAnsi="Verdana"/>
              </w:rPr>
            </w:pP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Risk calculators:</w:t>
            </w:r>
          </w:p>
        </w:tc>
        <w:tc>
          <w:tcPr>
            <w:tcW w:w="2310" w:type="dxa"/>
          </w:tcPr>
          <w:p w:rsidR="007B725D" w:rsidRPr="00410E4D" w:rsidRDefault="007B725D" w:rsidP="00252D5F">
            <w:pPr>
              <w:rPr>
                <w:rFonts w:ascii="Verdana" w:hAnsi="Verdana"/>
              </w:rPr>
            </w:pPr>
            <w:r w:rsidRPr="00410E4D">
              <w:rPr>
                <w:rFonts w:ascii="Verdana" w:hAnsi="Verdana"/>
              </w:rPr>
              <w:t>Number of risk factors</w:t>
            </w:r>
          </w:p>
        </w:tc>
        <w:tc>
          <w:tcPr>
            <w:tcW w:w="1155" w:type="dxa"/>
          </w:tcPr>
          <w:p w:rsidR="007B725D" w:rsidRPr="00410E4D" w:rsidRDefault="007B725D" w:rsidP="00252D5F">
            <w:pPr>
              <w:rPr>
                <w:rFonts w:ascii="Verdana" w:hAnsi="Verdana"/>
              </w:rPr>
            </w:pPr>
            <w:r w:rsidRPr="00410E4D">
              <w:rPr>
                <w:rFonts w:ascii="Verdana" w:hAnsi="Verdana"/>
              </w:rPr>
              <w:t>Age range</w:t>
            </w:r>
          </w:p>
        </w:tc>
        <w:tc>
          <w:tcPr>
            <w:tcW w:w="1156" w:type="dxa"/>
          </w:tcPr>
          <w:p w:rsidR="007B725D" w:rsidRPr="00410E4D" w:rsidRDefault="007B725D" w:rsidP="00252D5F">
            <w:pPr>
              <w:rPr>
                <w:rFonts w:ascii="Verdana" w:hAnsi="Verdana"/>
              </w:rPr>
            </w:pPr>
            <w:r w:rsidRPr="00410E4D">
              <w:rPr>
                <w:rFonts w:ascii="Verdana" w:hAnsi="Verdana"/>
              </w:rPr>
              <w:t>Gender</w:t>
            </w:r>
          </w:p>
        </w:tc>
        <w:tc>
          <w:tcPr>
            <w:tcW w:w="1155" w:type="dxa"/>
          </w:tcPr>
          <w:p w:rsidR="007B725D" w:rsidRPr="00410E4D" w:rsidRDefault="007B725D" w:rsidP="00252D5F">
            <w:pPr>
              <w:rPr>
                <w:rFonts w:ascii="Verdana" w:hAnsi="Verdana"/>
              </w:rPr>
            </w:pPr>
            <w:r w:rsidRPr="00410E4D">
              <w:rPr>
                <w:rFonts w:ascii="Verdana" w:hAnsi="Verdana"/>
              </w:rPr>
              <w:t>BMD</w:t>
            </w:r>
          </w:p>
        </w:tc>
        <w:tc>
          <w:tcPr>
            <w:tcW w:w="1156" w:type="dxa"/>
          </w:tcPr>
          <w:p w:rsidR="007B725D" w:rsidRPr="00410E4D" w:rsidRDefault="007B725D" w:rsidP="00252D5F">
            <w:pPr>
              <w:rPr>
                <w:rFonts w:ascii="Verdana" w:hAnsi="Verdana"/>
              </w:rPr>
            </w:pPr>
            <w:r w:rsidRPr="00410E4D">
              <w:rPr>
                <w:rFonts w:ascii="Verdana" w:hAnsi="Verdana"/>
              </w:rPr>
              <w:t>Timescale</w:t>
            </w:r>
          </w:p>
        </w:tc>
      </w:tr>
      <w:tr w:rsidR="007B725D" w:rsidRPr="00410E4D" w:rsidTr="00252D5F">
        <w:tc>
          <w:tcPr>
            <w:tcW w:w="2310" w:type="dxa"/>
          </w:tcPr>
          <w:p w:rsidR="007B725D" w:rsidRPr="00410E4D" w:rsidRDefault="007B725D" w:rsidP="00252D5F">
            <w:pPr>
              <w:rPr>
                <w:rFonts w:ascii="Verdana" w:hAnsi="Verdana"/>
              </w:rPr>
            </w:pPr>
            <w:proofErr w:type="spellStart"/>
            <w:r w:rsidRPr="00410E4D">
              <w:rPr>
                <w:rFonts w:ascii="Verdana" w:hAnsi="Verdana"/>
              </w:rPr>
              <w:t>QFracture</w:t>
            </w:r>
            <w:proofErr w:type="spellEnd"/>
            <w:r w:rsidRPr="00410E4D">
              <w:rPr>
                <w:rFonts w:ascii="Verdana" w:hAnsi="Verdana"/>
              </w:rPr>
              <w:t xml:space="preserve"> 2012</w:t>
            </w:r>
          </w:p>
        </w:tc>
        <w:tc>
          <w:tcPr>
            <w:tcW w:w="2310" w:type="dxa"/>
          </w:tcPr>
          <w:p w:rsidR="007B725D" w:rsidRPr="00410E4D" w:rsidRDefault="007B725D" w:rsidP="00252D5F">
            <w:pPr>
              <w:rPr>
                <w:rFonts w:ascii="Verdana" w:hAnsi="Verdana"/>
              </w:rPr>
            </w:pPr>
            <w:r w:rsidRPr="00410E4D">
              <w:rPr>
                <w:rFonts w:ascii="Verdana" w:hAnsi="Verdana"/>
              </w:rPr>
              <w:t>31</w:t>
            </w:r>
          </w:p>
        </w:tc>
        <w:tc>
          <w:tcPr>
            <w:tcW w:w="1155" w:type="dxa"/>
          </w:tcPr>
          <w:p w:rsidR="007B725D" w:rsidRPr="00410E4D" w:rsidRDefault="007B725D" w:rsidP="00252D5F">
            <w:pPr>
              <w:rPr>
                <w:rFonts w:ascii="Verdana" w:hAnsi="Verdana"/>
              </w:rPr>
            </w:pPr>
            <w:r w:rsidRPr="00410E4D">
              <w:rPr>
                <w:rFonts w:ascii="Verdana" w:hAnsi="Verdana"/>
              </w:rPr>
              <w:t>30-99</w:t>
            </w:r>
          </w:p>
        </w:tc>
        <w:tc>
          <w:tcPr>
            <w:tcW w:w="1156" w:type="dxa"/>
          </w:tcPr>
          <w:p w:rsidR="007B725D" w:rsidRPr="00410E4D" w:rsidRDefault="007B725D" w:rsidP="00252D5F">
            <w:pPr>
              <w:rPr>
                <w:rFonts w:ascii="Verdana" w:hAnsi="Verdana"/>
              </w:rPr>
            </w:pPr>
            <w:r w:rsidRPr="00410E4D">
              <w:rPr>
                <w:rFonts w:ascii="Verdana" w:hAnsi="Verdana"/>
              </w:rPr>
              <w:t>Male/female</w:t>
            </w:r>
          </w:p>
        </w:tc>
        <w:tc>
          <w:tcPr>
            <w:tcW w:w="1155" w:type="dxa"/>
          </w:tcPr>
          <w:p w:rsidR="007B725D" w:rsidRPr="00410E4D" w:rsidRDefault="007B725D" w:rsidP="00252D5F">
            <w:pPr>
              <w:rPr>
                <w:rFonts w:ascii="Verdana" w:hAnsi="Verdana"/>
              </w:rPr>
            </w:pPr>
            <w:r w:rsidRPr="00410E4D">
              <w:rPr>
                <w:rFonts w:ascii="Verdana" w:hAnsi="Verdana"/>
              </w:rPr>
              <w:t>no</w:t>
            </w:r>
          </w:p>
        </w:tc>
        <w:tc>
          <w:tcPr>
            <w:tcW w:w="1156" w:type="dxa"/>
          </w:tcPr>
          <w:p w:rsidR="007B725D" w:rsidRPr="00410E4D" w:rsidRDefault="007B725D" w:rsidP="00252D5F">
            <w:pPr>
              <w:rPr>
                <w:rFonts w:ascii="Verdana" w:hAnsi="Verdana"/>
              </w:rPr>
            </w:pPr>
            <w:r w:rsidRPr="00410E4D">
              <w:rPr>
                <w:rFonts w:ascii="Verdana" w:hAnsi="Verdana"/>
              </w:rPr>
              <w:t>1-10 year time points of prediction</w:t>
            </w:r>
          </w:p>
        </w:tc>
      </w:tr>
      <w:tr w:rsidR="007B725D" w:rsidRPr="00410E4D" w:rsidTr="00252D5F">
        <w:tc>
          <w:tcPr>
            <w:tcW w:w="2310" w:type="dxa"/>
          </w:tcPr>
          <w:p w:rsidR="007B725D" w:rsidRPr="00410E4D" w:rsidRDefault="007B725D" w:rsidP="00252D5F">
            <w:pPr>
              <w:rPr>
                <w:rFonts w:ascii="Verdana" w:hAnsi="Verdana"/>
              </w:rPr>
            </w:pPr>
            <w:r w:rsidRPr="00410E4D">
              <w:rPr>
                <w:rFonts w:ascii="Verdana" w:hAnsi="Verdana"/>
              </w:rPr>
              <w:t>FRAX</w:t>
            </w:r>
          </w:p>
        </w:tc>
        <w:tc>
          <w:tcPr>
            <w:tcW w:w="2310" w:type="dxa"/>
          </w:tcPr>
          <w:p w:rsidR="007B725D" w:rsidRPr="00410E4D" w:rsidRDefault="007B725D" w:rsidP="00252D5F">
            <w:pPr>
              <w:rPr>
                <w:rFonts w:ascii="Verdana" w:hAnsi="Verdana"/>
              </w:rPr>
            </w:pPr>
            <w:r w:rsidRPr="00410E4D">
              <w:rPr>
                <w:rFonts w:ascii="Verdana" w:hAnsi="Verdana"/>
              </w:rPr>
              <w:t>11</w:t>
            </w:r>
          </w:p>
        </w:tc>
        <w:tc>
          <w:tcPr>
            <w:tcW w:w="1155" w:type="dxa"/>
          </w:tcPr>
          <w:p w:rsidR="007B725D" w:rsidRPr="00410E4D" w:rsidRDefault="007B725D" w:rsidP="00252D5F">
            <w:pPr>
              <w:rPr>
                <w:rFonts w:ascii="Verdana" w:hAnsi="Verdana"/>
              </w:rPr>
            </w:pPr>
            <w:r w:rsidRPr="00410E4D">
              <w:rPr>
                <w:rFonts w:ascii="Verdana" w:hAnsi="Verdana"/>
              </w:rPr>
              <w:t>40-90</w:t>
            </w:r>
          </w:p>
        </w:tc>
        <w:tc>
          <w:tcPr>
            <w:tcW w:w="1156" w:type="dxa"/>
          </w:tcPr>
          <w:p w:rsidR="007B725D" w:rsidRPr="00410E4D" w:rsidRDefault="007B725D" w:rsidP="00252D5F">
            <w:pPr>
              <w:rPr>
                <w:rFonts w:ascii="Verdana" w:hAnsi="Verdana"/>
              </w:rPr>
            </w:pPr>
            <w:r w:rsidRPr="00410E4D">
              <w:rPr>
                <w:rFonts w:ascii="Verdana" w:hAnsi="Verdana"/>
              </w:rPr>
              <w:t>Female</w:t>
            </w:r>
          </w:p>
        </w:tc>
        <w:tc>
          <w:tcPr>
            <w:tcW w:w="1155" w:type="dxa"/>
          </w:tcPr>
          <w:p w:rsidR="007B725D" w:rsidRPr="00410E4D" w:rsidRDefault="007B725D" w:rsidP="00252D5F">
            <w:pPr>
              <w:rPr>
                <w:rFonts w:ascii="Verdana" w:hAnsi="Verdana"/>
              </w:rPr>
            </w:pPr>
            <w:r w:rsidRPr="00410E4D">
              <w:rPr>
                <w:rFonts w:ascii="Verdana" w:hAnsi="Verdana"/>
              </w:rPr>
              <w:t>optional</w:t>
            </w:r>
          </w:p>
        </w:tc>
        <w:tc>
          <w:tcPr>
            <w:tcW w:w="1156" w:type="dxa"/>
          </w:tcPr>
          <w:p w:rsidR="007B725D" w:rsidRPr="00410E4D" w:rsidRDefault="007B725D" w:rsidP="00252D5F">
            <w:pPr>
              <w:rPr>
                <w:rFonts w:ascii="Verdana" w:hAnsi="Verdana"/>
              </w:rPr>
            </w:pPr>
            <w:r w:rsidRPr="00410E4D">
              <w:rPr>
                <w:rFonts w:ascii="Verdana" w:hAnsi="Verdana"/>
              </w:rPr>
              <w:t>10 year</w:t>
            </w:r>
          </w:p>
        </w:tc>
      </w:tr>
      <w:tr w:rsidR="007B725D" w:rsidRPr="00410E4D" w:rsidTr="00252D5F">
        <w:tc>
          <w:tcPr>
            <w:tcW w:w="2310" w:type="dxa"/>
          </w:tcPr>
          <w:p w:rsidR="007B725D" w:rsidRPr="00410E4D" w:rsidRDefault="007B725D" w:rsidP="00252D5F">
            <w:pPr>
              <w:rPr>
                <w:rFonts w:ascii="Verdana" w:hAnsi="Verdana"/>
              </w:rPr>
            </w:pPr>
            <w:proofErr w:type="spellStart"/>
            <w:r w:rsidRPr="00410E4D">
              <w:rPr>
                <w:rFonts w:ascii="Verdana" w:hAnsi="Verdana"/>
              </w:rPr>
              <w:t>Garvan</w:t>
            </w:r>
            <w:proofErr w:type="spellEnd"/>
          </w:p>
        </w:tc>
        <w:tc>
          <w:tcPr>
            <w:tcW w:w="2310" w:type="dxa"/>
          </w:tcPr>
          <w:p w:rsidR="007B725D" w:rsidRPr="00410E4D" w:rsidRDefault="007B725D" w:rsidP="00252D5F">
            <w:pPr>
              <w:rPr>
                <w:rFonts w:ascii="Verdana" w:hAnsi="Verdana"/>
              </w:rPr>
            </w:pPr>
            <w:r w:rsidRPr="00410E4D">
              <w:rPr>
                <w:rFonts w:ascii="Verdana" w:hAnsi="Verdana"/>
              </w:rPr>
              <w:t>5</w:t>
            </w:r>
          </w:p>
        </w:tc>
        <w:tc>
          <w:tcPr>
            <w:tcW w:w="1155" w:type="dxa"/>
          </w:tcPr>
          <w:p w:rsidR="007B725D" w:rsidRPr="00410E4D" w:rsidRDefault="007B725D" w:rsidP="00252D5F">
            <w:pPr>
              <w:rPr>
                <w:rFonts w:ascii="Verdana" w:hAnsi="Verdana"/>
              </w:rPr>
            </w:pPr>
            <w:r w:rsidRPr="00410E4D">
              <w:rPr>
                <w:rFonts w:ascii="Verdana" w:hAnsi="Verdana"/>
              </w:rPr>
              <w:t>60-96</w:t>
            </w:r>
          </w:p>
        </w:tc>
        <w:tc>
          <w:tcPr>
            <w:tcW w:w="1156" w:type="dxa"/>
          </w:tcPr>
          <w:p w:rsidR="007B725D" w:rsidRPr="00410E4D" w:rsidRDefault="007B725D" w:rsidP="00252D5F">
            <w:pPr>
              <w:rPr>
                <w:rFonts w:ascii="Verdana" w:hAnsi="Verdana"/>
              </w:rPr>
            </w:pPr>
            <w:r w:rsidRPr="00410E4D">
              <w:rPr>
                <w:rFonts w:ascii="Verdana" w:hAnsi="Verdana"/>
              </w:rPr>
              <w:t>Male/female</w:t>
            </w:r>
          </w:p>
        </w:tc>
        <w:tc>
          <w:tcPr>
            <w:tcW w:w="1155" w:type="dxa"/>
          </w:tcPr>
          <w:p w:rsidR="007B725D" w:rsidRPr="00410E4D" w:rsidRDefault="007B725D" w:rsidP="00252D5F">
            <w:pPr>
              <w:rPr>
                <w:rFonts w:ascii="Verdana" w:hAnsi="Verdana"/>
              </w:rPr>
            </w:pPr>
            <w:r w:rsidRPr="00410E4D">
              <w:rPr>
                <w:rFonts w:ascii="Verdana" w:hAnsi="Verdana"/>
              </w:rPr>
              <w:t>no</w:t>
            </w:r>
          </w:p>
        </w:tc>
        <w:tc>
          <w:tcPr>
            <w:tcW w:w="1156" w:type="dxa"/>
          </w:tcPr>
          <w:p w:rsidR="007B725D" w:rsidRPr="00410E4D" w:rsidRDefault="007B725D" w:rsidP="00252D5F">
            <w:pPr>
              <w:rPr>
                <w:rFonts w:ascii="Verdana" w:hAnsi="Verdana"/>
              </w:rPr>
            </w:pPr>
            <w:r w:rsidRPr="00410E4D">
              <w:rPr>
                <w:rFonts w:ascii="Verdana" w:hAnsi="Verdana"/>
              </w:rPr>
              <w:t>5 and 10 year</w:t>
            </w:r>
          </w:p>
        </w:tc>
      </w:tr>
    </w:tbl>
    <w:p w:rsidR="00587F11" w:rsidRPr="00410E4D" w:rsidRDefault="00587F11" w:rsidP="00CE54B6">
      <w:pPr>
        <w:spacing w:line="360" w:lineRule="auto"/>
        <w:jc w:val="both"/>
        <w:rPr>
          <w:rFonts w:ascii="Verdana" w:hAnsi="Verdana" w:cs="Arial"/>
        </w:rPr>
      </w:pPr>
    </w:p>
    <w:p w:rsidR="00587F11" w:rsidRPr="00410E4D" w:rsidRDefault="00587F11">
      <w:pPr>
        <w:rPr>
          <w:rFonts w:ascii="Verdana" w:hAnsi="Verdana" w:cs="Arial"/>
        </w:rPr>
      </w:pPr>
      <w:r w:rsidRPr="00410E4D">
        <w:rPr>
          <w:rFonts w:ascii="Verdana" w:hAnsi="Verdana" w:cs="Arial"/>
        </w:rPr>
        <w:br w:type="page"/>
      </w:r>
    </w:p>
    <w:p w:rsidR="005F33F7" w:rsidRPr="00410E4D" w:rsidRDefault="00D076CB" w:rsidP="007C4070">
      <w:pPr>
        <w:spacing w:line="480" w:lineRule="auto"/>
        <w:jc w:val="both"/>
        <w:rPr>
          <w:rFonts w:ascii="Verdana" w:hAnsi="Verdana" w:cs="Arial"/>
        </w:rPr>
      </w:pPr>
      <w:r w:rsidRPr="00410E4D">
        <w:rPr>
          <w:rFonts w:ascii="Verdana" w:hAnsi="Verdana" w:cs="Arial"/>
        </w:rPr>
        <w:lastRenderedPageBreak/>
        <w:t>REFERENCES</w:t>
      </w:r>
    </w:p>
    <w:p w:rsidR="00486885" w:rsidRPr="00410E4D" w:rsidRDefault="00486885" w:rsidP="007C4070">
      <w:pPr>
        <w:spacing w:line="480" w:lineRule="auto"/>
        <w:rPr>
          <w:rFonts w:ascii="Verdana" w:hAnsi="Verdana"/>
        </w:rPr>
      </w:pPr>
      <w:proofErr w:type="gramStart"/>
      <w:r w:rsidRPr="00410E4D">
        <w:rPr>
          <w:rFonts w:ascii="Verdana" w:hAnsi="Verdana" w:cs="Arial"/>
        </w:rPr>
        <w:t xml:space="preserve">[1] </w:t>
      </w:r>
      <w:r w:rsidRPr="00410E4D">
        <w:rPr>
          <w:rFonts w:ascii="Verdana" w:hAnsi="Verdana"/>
        </w:rPr>
        <w:t xml:space="preserve">MJ Prince, F Wu, Y </w:t>
      </w:r>
      <w:proofErr w:type="spellStart"/>
      <w:r w:rsidRPr="00410E4D">
        <w:rPr>
          <w:rFonts w:ascii="Verdana" w:hAnsi="Verdana"/>
        </w:rPr>
        <w:t>Guo</w:t>
      </w:r>
      <w:proofErr w:type="spellEnd"/>
      <w:r w:rsidRPr="00410E4D">
        <w:rPr>
          <w:rFonts w:ascii="Verdana" w:hAnsi="Verdana"/>
        </w:rPr>
        <w:t>, LM Gutierrez Robledo, M O'Donnell, R Sullivan, S Yusuf.</w:t>
      </w:r>
      <w:proofErr w:type="gramEnd"/>
      <w:r w:rsidRPr="00410E4D">
        <w:rPr>
          <w:rFonts w:ascii="Verdana" w:hAnsi="Verdana"/>
        </w:rPr>
        <w:t xml:space="preserve"> </w:t>
      </w:r>
      <w:proofErr w:type="gramStart"/>
      <w:r w:rsidRPr="00410E4D">
        <w:rPr>
          <w:rFonts w:ascii="Verdana" w:hAnsi="Verdana"/>
        </w:rPr>
        <w:t>The burden of disease in older people and implications for health policy and practice.</w:t>
      </w:r>
      <w:proofErr w:type="gramEnd"/>
      <w:r w:rsidRPr="00410E4D">
        <w:rPr>
          <w:rFonts w:ascii="Verdana" w:hAnsi="Verdana"/>
        </w:rPr>
        <w:t xml:space="preserve"> </w:t>
      </w:r>
      <w:r w:rsidRPr="00410E4D">
        <w:rPr>
          <w:rFonts w:ascii="Verdana" w:hAnsi="Verdana"/>
          <w:i/>
        </w:rPr>
        <w:t>The Lancet</w:t>
      </w:r>
      <w:r w:rsidRPr="00410E4D">
        <w:rPr>
          <w:rFonts w:ascii="Verdana" w:hAnsi="Verdana"/>
        </w:rPr>
        <w:t xml:space="preserve"> Vol 385 February 7, 2015 pp549- 562</w:t>
      </w:r>
    </w:p>
    <w:p w:rsidR="00486885" w:rsidRPr="00410E4D" w:rsidRDefault="00486885" w:rsidP="007C4070">
      <w:pPr>
        <w:spacing w:line="480" w:lineRule="auto"/>
        <w:jc w:val="both"/>
        <w:rPr>
          <w:rFonts w:ascii="Verdana" w:hAnsi="Verdana"/>
        </w:rPr>
      </w:pPr>
      <w:r w:rsidRPr="00410E4D">
        <w:rPr>
          <w:rFonts w:ascii="Verdana" w:hAnsi="Verdana"/>
        </w:rPr>
        <w:t>[2] S</w:t>
      </w:r>
      <w:r w:rsidR="007454EF" w:rsidRPr="00410E4D">
        <w:rPr>
          <w:rFonts w:ascii="Verdana" w:hAnsi="Verdana"/>
        </w:rPr>
        <w:t xml:space="preserve"> </w:t>
      </w:r>
      <w:proofErr w:type="spellStart"/>
      <w:r w:rsidRPr="00410E4D">
        <w:rPr>
          <w:rFonts w:ascii="Verdana" w:hAnsi="Verdana"/>
        </w:rPr>
        <w:t>Chatterji</w:t>
      </w:r>
      <w:proofErr w:type="spellEnd"/>
      <w:r w:rsidRPr="00410E4D">
        <w:rPr>
          <w:rFonts w:ascii="Verdana" w:hAnsi="Verdana"/>
        </w:rPr>
        <w:t xml:space="preserve">, J Byles, D Cutler, T </w:t>
      </w:r>
      <w:proofErr w:type="spellStart"/>
      <w:r w:rsidRPr="00410E4D">
        <w:rPr>
          <w:rFonts w:ascii="Verdana" w:hAnsi="Verdana"/>
        </w:rPr>
        <w:t>Seeman</w:t>
      </w:r>
      <w:proofErr w:type="spellEnd"/>
      <w:r w:rsidRPr="00410E4D">
        <w:rPr>
          <w:rFonts w:ascii="Verdana" w:hAnsi="Verdana"/>
        </w:rPr>
        <w:t xml:space="preserve">, E Verdes. Health, functioning, and disability in older adults- present status and future implications. </w:t>
      </w:r>
      <w:r w:rsidRPr="00410E4D">
        <w:rPr>
          <w:rFonts w:ascii="Verdana" w:hAnsi="Verdana"/>
          <w:i/>
        </w:rPr>
        <w:t>The Lancet</w:t>
      </w:r>
      <w:r w:rsidRPr="00410E4D">
        <w:rPr>
          <w:rFonts w:ascii="Verdana" w:hAnsi="Verdana"/>
        </w:rPr>
        <w:t xml:space="preserve"> Vol 385 February 7, 2015 pp563 - 575</w:t>
      </w:r>
    </w:p>
    <w:p w:rsidR="00C713A2" w:rsidRPr="00410E4D" w:rsidRDefault="00C713A2" w:rsidP="007C4070">
      <w:pPr>
        <w:spacing w:line="480" w:lineRule="auto"/>
        <w:jc w:val="both"/>
        <w:rPr>
          <w:rFonts w:ascii="Verdana" w:hAnsi="Verdana"/>
        </w:rPr>
      </w:pPr>
      <w:r w:rsidRPr="00410E4D">
        <w:rPr>
          <w:rFonts w:ascii="Verdana" w:hAnsi="Verdana"/>
        </w:rPr>
        <w:t>[3] R Rizzoli</w:t>
      </w:r>
      <w:r w:rsidRPr="00410E4D">
        <w:rPr>
          <w:rFonts w:ascii="Verdana" w:hAnsi="Verdana" w:cs="Calibri"/>
        </w:rPr>
        <w:t xml:space="preserve">, JC Stevenson, JM Bauer, LJC van </w:t>
      </w:r>
      <w:proofErr w:type="spellStart"/>
      <w:r w:rsidRPr="00410E4D">
        <w:rPr>
          <w:rFonts w:ascii="Verdana" w:hAnsi="Verdana" w:cs="Calibri"/>
        </w:rPr>
        <w:t>Loond</w:t>
      </w:r>
      <w:proofErr w:type="spellEnd"/>
      <w:r w:rsidRPr="00410E4D">
        <w:rPr>
          <w:rFonts w:ascii="Verdana" w:hAnsi="Verdana" w:cs="Calibri"/>
        </w:rPr>
        <w:t xml:space="preserve">, S </w:t>
      </w:r>
      <w:proofErr w:type="spellStart"/>
      <w:r w:rsidRPr="00410E4D">
        <w:rPr>
          <w:rFonts w:ascii="Verdana" w:hAnsi="Verdana" w:cs="Calibri"/>
        </w:rPr>
        <w:t>Walrande</w:t>
      </w:r>
      <w:proofErr w:type="spellEnd"/>
      <w:r w:rsidRPr="00410E4D">
        <w:rPr>
          <w:rFonts w:ascii="Verdana" w:hAnsi="Verdana" w:cs="Calibri"/>
        </w:rPr>
        <w:t>, JA Kanis, C Cooper,</w:t>
      </w:r>
      <w:r w:rsidRPr="00410E4D">
        <w:rPr>
          <w:rFonts w:ascii="Verdana" w:hAnsi="Verdana"/>
        </w:rPr>
        <w:t xml:space="preserve"> M Brandi, A </w:t>
      </w:r>
      <w:proofErr w:type="spellStart"/>
      <w:r w:rsidRPr="00410E4D">
        <w:rPr>
          <w:rFonts w:ascii="Verdana" w:hAnsi="Verdana"/>
        </w:rPr>
        <w:t>Diez</w:t>
      </w:r>
      <w:proofErr w:type="spellEnd"/>
      <w:r w:rsidRPr="00410E4D">
        <w:rPr>
          <w:rFonts w:ascii="Verdana" w:hAnsi="Verdana"/>
        </w:rPr>
        <w:t xml:space="preserve">-Perez, J Reginster, for the ESCEO  Task Force Division. The role of dietary protein and vitamin D in maintaining musculoskeletal health in postmenopausal women: A consensus statement from the European Society for Clinical and Economic Aspects of Osteoporosis and Osteoarthritis (ESCEO) </w:t>
      </w:r>
      <w:proofErr w:type="spellStart"/>
      <w:r w:rsidRPr="00410E4D">
        <w:rPr>
          <w:rFonts w:ascii="Verdana" w:hAnsi="Verdana"/>
          <w:i/>
        </w:rPr>
        <w:t>Maturitas</w:t>
      </w:r>
      <w:proofErr w:type="spellEnd"/>
      <w:r w:rsidRPr="00410E4D">
        <w:rPr>
          <w:rFonts w:ascii="Verdana" w:hAnsi="Verdana"/>
          <w:i/>
        </w:rPr>
        <w:t xml:space="preserve"> </w:t>
      </w:r>
      <w:r w:rsidRPr="00410E4D">
        <w:rPr>
          <w:rFonts w:ascii="Verdana" w:hAnsi="Verdana"/>
        </w:rPr>
        <w:t>79 (2014) 122-132</w:t>
      </w:r>
    </w:p>
    <w:p w:rsidR="000E4194" w:rsidRPr="00410E4D" w:rsidRDefault="000E4194" w:rsidP="007C4070">
      <w:pPr>
        <w:spacing w:line="480" w:lineRule="auto"/>
        <w:jc w:val="both"/>
        <w:rPr>
          <w:rFonts w:ascii="Verdana" w:hAnsi="Verdana"/>
        </w:rPr>
      </w:pPr>
      <w:r w:rsidRPr="00410E4D">
        <w:rPr>
          <w:rFonts w:ascii="Verdana" w:hAnsi="Verdana"/>
        </w:rPr>
        <w:t>[4] SD Anton,</w:t>
      </w:r>
      <w:r w:rsidRPr="00410E4D">
        <w:rPr>
          <w:rFonts w:ascii="Verdana" w:hAnsi="Verdana" w:cs="Calibri"/>
        </w:rPr>
        <w:t xml:space="preserve"> AJ Woods, T </w:t>
      </w:r>
      <w:proofErr w:type="spellStart"/>
      <w:r w:rsidRPr="00410E4D">
        <w:rPr>
          <w:rFonts w:ascii="Verdana" w:hAnsi="Verdana" w:cs="Calibri"/>
        </w:rPr>
        <w:t>Ashizawac</w:t>
      </w:r>
      <w:proofErr w:type="spellEnd"/>
      <w:r w:rsidRPr="00410E4D">
        <w:rPr>
          <w:rFonts w:ascii="Verdana" w:hAnsi="Verdana" w:cs="Calibri"/>
        </w:rPr>
        <w:t xml:space="preserve">, D Barb, TW Buford, CS Carter, DJ Clark, RA Cohen, DB Corbett, Y Cruz-Almeida, V Dotson, N </w:t>
      </w:r>
      <w:proofErr w:type="spellStart"/>
      <w:r w:rsidRPr="00410E4D">
        <w:rPr>
          <w:rFonts w:ascii="Verdana" w:hAnsi="Verdana" w:cs="Calibri"/>
        </w:rPr>
        <w:t>Ebner</w:t>
      </w:r>
      <w:proofErr w:type="spellEnd"/>
      <w:r w:rsidRPr="00410E4D">
        <w:rPr>
          <w:rFonts w:ascii="Verdana" w:hAnsi="Verdana" w:cs="Calibri"/>
        </w:rPr>
        <w:t xml:space="preserve">, PA </w:t>
      </w:r>
      <w:proofErr w:type="spellStart"/>
      <w:r w:rsidRPr="00410E4D">
        <w:rPr>
          <w:rFonts w:ascii="Verdana" w:hAnsi="Verdana" w:cs="Calibri"/>
        </w:rPr>
        <w:t>Efron</w:t>
      </w:r>
      <w:proofErr w:type="spellEnd"/>
      <w:r w:rsidRPr="00410E4D">
        <w:rPr>
          <w:rFonts w:ascii="Verdana" w:hAnsi="Verdana" w:cs="Calibri"/>
        </w:rPr>
        <w:t xml:space="preserve">, RB </w:t>
      </w:r>
      <w:proofErr w:type="spellStart"/>
      <w:r w:rsidRPr="00410E4D">
        <w:rPr>
          <w:rFonts w:ascii="Verdana" w:hAnsi="Verdana" w:cs="Calibri"/>
        </w:rPr>
        <w:t>Filling</w:t>
      </w:r>
      <w:r w:rsidRPr="00410E4D">
        <w:rPr>
          <w:rFonts w:ascii="Verdana" w:hAnsi="Verdana"/>
        </w:rPr>
        <w:t>im</w:t>
      </w:r>
      <w:proofErr w:type="spellEnd"/>
      <w:r w:rsidRPr="00410E4D">
        <w:rPr>
          <w:rFonts w:ascii="Verdana" w:hAnsi="Verdana"/>
        </w:rPr>
        <w:t xml:space="preserve">, TC Foster, DM </w:t>
      </w:r>
      <w:proofErr w:type="spellStart"/>
      <w:r w:rsidRPr="00410E4D">
        <w:rPr>
          <w:rFonts w:ascii="Verdana" w:hAnsi="Verdana"/>
        </w:rPr>
        <w:t>Gundermann</w:t>
      </w:r>
      <w:proofErr w:type="spellEnd"/>
      <w:r w:rsidRPr="00410E4D">
        <w:rPr>
          <w:rFonts w:ascii="Verdana" w:hAnsi="Verdana"/>
        </w:rPr>
        <w:t xml:space="preserve">, A Joseph, C </w:t>
      </w:r>
      <w:proofErr w:type="spellStart"/>
      <w:r w:rsidRPr="00410E4D">
        <w:rPr>
          <w:rFonts w:ascii="Verdana" w:hAnsi="Verdana"/>
        </w:rPr>
        <w:t>Karabetian</w:t>
      </w:r>
      <w:proofErr w:type="spellEnd"/>
      <w:r w:rsidRPr="00410E4D">
        <w:rPr>
          <w:rFonts w:ascii="Verdana" w:hAnsi="Verdana"/>
        </w:rPr>
        <w:t xml:space="preserve">, C </w:t>
      </w:r>
      <w:proofErr w:type="spellStart"/>
      <w:r w:rsidRPr="00410E4D">
        <w:rPr>
          <w:rFonts w:ascii="Verdana" w:hAnsi="Verdana"/>
        </w:rPr>
        <w:t>Leeuwenburgh</w:t>
      </w:r>
      <w:proofErr w:type="spellEnd"/>
      <w:r w:rsidRPr="00410E4D">
        <w:rPr>
          <w:rFonts w:ascii="Verdana" w:hAnsi="Verdana"/>
        </w:rPr>
        <w:t xml:space="preserve">, TM Manini, M </w:t>
      </w:r>
      <w:proofErr w:type="spellStart"/>
      <w:r w:rsidRPr="00410E4D">
        <w:rPr>
          <w:rFonts w:ascii="Verdana" w:hAnsi="Verdana"/>
        </w:rPr>
        <w:t>Marsiskei</w:t>
      </w:r>
      <w:proofErr w:type="spellEnd"/>
      <w:r w:rsidRPr="00410E4D">
        <w:rPr>
          <w:rFonts w:ascii="Verdana" w:hAnsi="Verdana"/>
        </w:rPr>
        <w:t xml:space="preserve"> , RT </w:t>
      </w:r>
      <w:proofErr w:type="spellStart"/>
      <w:r w:rsidRPr="00410E4D">
        <w:rPr>
          <w:rFonts w:ascii="Verdana" w:hAnsi="Verdana"/>
        </w:rPr>
        <w:t>Mankowski</w:t>
      </w:r>
      <w:proofErr w:type="spellEnd"/>
      <w:r w:rsidRPr="00410E4D">
        <w:rPr>
          <w:rFonts w:ascii="Verdana" w:hAnsi="Verdana"/>
        </w:rPr>
        <w:t xml:space="preserve">, HL </w:t>
      </w:r>
      <w:proofErr w:type="spellStart"/>
      <w:r w:rsidRPr="00410E4D">
        <w:rPr>
          <w:rFonts w:ascii="Verdana" w:hAnsi="Verdana"/>
        </w:rPr>
        <w:t>Mutchie</w:t>
      </w:r>
      <w:proofErr w:type="spellEnd"/>
      <w:r w:rsidRPr="00410E4D">
        <w:rPr>
          <w:rFonts w:ascii="Verdana" w:hAnsi="Verdana"/>
        </w:rPr>
        <w:t xml:space="preserve">, MG </w:t>
      </w:r>
      <w:proofErr w:type="spellStart"/>
      <w:r w:rsidRPr="00410E4D">
        <w:rPr>
          <w:rFonts w:ascii="Verdana" w:hAnsi="Verdana"/>
        </w:rPr>
        <w:t>Perri</w:t>
      </w:r>
      <w:proofErr w:type="spellEnd"/>
      <w:r w:rsidRPr="00410E4D">
        <w:rPr>
          <w:rFonts w:ascii="Verdana" w:hAnsi="Verdana"/>
        </w:rPr>
        <w:t xml:space="preserve"> , S </w:t>
      </w:r>
      <w:proofErr w:type="spellStart"/>
      <w:r w:rsidRPr="00410E4D">
        <w:rPr>
          <w:rFonts w:ascii="Verdana" w:hAnsi="Verdana"/>
        </w:rPr>
        <w:t>Ranka</w:t>
      </w:r>
      <w:proofErr w:type="spellEnd"/>
      <w:r w:rsidRPr="00410E4D">
        <w:rPr>
          <w:rFonts w:ascii="Verdana" w:hAnsi="Verdana"/>
        </w:rPr>
        <w:t xml:space="preserve"> , P </w:t>
      </w:r>
      <w:proofErr w:type="spellStart"/>
      <w:r w:rsidRPr="00410E4D">
        <w:rPr>
          <w:rFonts w:ascii="Verdana" w:hAnsi="Verdana"/>
        </w:rPr>
        <w:t>Rashidi</w:t>
      </w:r>
      <w:proofErr w:type="spellEnd"/>
      <w:r w:rsidRPr="00410E4D">
        <w:rPr>
          <w:rFonts w:ascii="Verdana" w:hAnsi="Verdana"/>
        </w:rPr>
        <w:t xml:space="preserve">, B </w:t>
      </w:r>
      <w:proofErr w:type="spellStart"/>
      <w:r w:rsidRPr="00410E4D">
        <w:rPr>
          <w:rFonts w:ascii="Verdana" w:hAnsi="Verdana"/>
        </w:rPr>
        <w:t>Sandesara</w:t>
      </w:r>
      <w:proofErr w:type="spellEnd"/>
      <w:r w:rsidRPr="00410E4D">
        <w:rPr>
          <w:rFonts w:ascii="Verdana" w:hAnsi="Verdana"/>
        </w:rPr>
        <w:t xml:space="preserve">, PJ </w:t>
      </w:r>
      <w:proofErr w:type="spellStart"/>
      <w:r w:rsidRPr="00410E4D">
        <w:rPr>
          <w:rFonts w:ascii="Verdana" w:hAnsi="Verdana"/>
        </w:rPr>
        <w:t>Scarpace</w:t>
      </w:r>
      <w:proofErr w:type="spellEnd"/>
      <w:r w:rsidRPr="00410E4D">
        <w:rPr>
          <w:rFonts w:ascii="Verdana" w:hAnsi="Verdana"/>
        </w:rPr>
        <w:t xml:space="preserve"> , KT </w:t>
      </w:r>
      <w:proofErr w:type="spellStart"/>
      <w:r w:rsidRPr="00410E4D">
        <w:rPr>
          <w:rFonts w:ascii="Verdana" w:hAnsi="Verdana"/>
        </w:rPr>
        <w:t>Sibille</w:t>
      </w:r>
      <w:proofErr w:type="spellEnd"/>
      <w:r w:rsidRPr="00410E4D">
        <w:rPr>
          <w:rFonts w:ascii="Verdana" w:hAnsi="Verdana"/>
        </w:rPr>
        <w:t xml:space="preserve">, LM Solberg, S </w:t>
      </w:r>
      <w:proofErr w:type="spellStart"/>
      <w:r w:rsidRPr="00410E4D">
        <w:rPr>
          <w:rFonts w:ascii="Verdana" w:hAnsi="Verdana"/>
        </w:rPr>
        <w:t>Someya</w:t>
      </w:r>
      <w:proofErr w:type="spellEnd"/>
      <w:r w:rsidRPr="00410E4D">
        <w:rPr>
          <w:rFonts w:ascii="Verdana" w:hAnsi="Verdana"/>
        </w:rPr>
        <w:t xml:space="preserve">, C Uphold, S </w:t>
      </w:r>
      <w:proofErr w:type="spellStart"/>
      <w:r w:rsidRPr="00410E4D">
        <w:rPr>
          <w:rFonts w:ascii="Verdana" w:hAnsi="Verdana"/>
        </w:rPr>
        <w:t>Wohlgemuth</w:t>
      </w:r>
      <w:proofErr w:type="spellEnd"/>
      <w:r w:rsidRPr="00410E4D">
        <w:rPr>
          <w:rFonts w:ascii="Verdana" w:hAnsi="Verdana"/>
        </w:rPr>
        <w:t xml:space="preserve">, S </w:t>
      </w:r>
      <w:proofErr w:type="spellStart"/>
      <w:r w:rsidRPr="00410E4D">
        <w:rPr>
          <w:rFonts w:ascii="Verdana" w:hAnsi="Verdana"/>
        </w:rPr>
        <w:t>Shangwu</w:t>
      </w:r>
      <w:proofErr w:type="spellEnd"/>
      <w:r w:rsidRPr="00410E4D">
        <w:rPr>
          <w:rFonts w:ascii="Verdana" w:hAnsi="Verdana"/>
        </w:rPr>
        <w:t xml:space="preserve"> Wu, M </w:t>
      </w:r>
      <w:proofErr w:type="spellStart"/>
      <w:r w:rsidRPr="00410E4D">
        <w:rPr>
          <w:rFonts w:ascii="Verdana" w:hAnsi="Verdana"/>
        </w:rPr>
        <w:t>Pahor</w:t>
      </w:r>
      <w:proofErr w:type="spellEnd"/>
      <w:r w:rsidRPr="00410E4D">
        <w:rPr>
          <w:rFonts w:ascii="Verdana" w:hAnsi="Verdana"/>
        </w:rPr>
        <w:t xml:space="preserve">  Successful aging: Advancing the science of physical independence in older adults  </w:t>
      </w:r>
      <w:r w:rsidRPr="00410E4D">
        <w:rPr>
          <w:rFonts w:ascii="Verdana" w:hAnsi="Verdana"/>
          <w:i/>
        </w:rPr>
        <w:t xml:space="preserve">Ageing Research Reviews </w:t>
      </w:r>
      <w:r w:rsidRPr="00410E4D">
        <w:rPr>
          <w:rFonts w:ascii="Verdana" w:hAnsi="Verdana"/>
        </w:rPr>
        <w:t>24 92015) 304-327</w:t>
      </w:r>
    </w:p>
    <w:p w:rsidR="00213ACC" w:rsidRPr="00410E4D" w:rsidRDefault="00213ACC" w:rsidP="007C4070">
      <w:pPr>
        <w:spacing w:line="480" w:lineRule="auto"/>
        <w:jc w:val="both"/>
        <w:rPr>
          <w:rFonts w:ascii="Verdana" w:hAnsi="Verdana"/>
        </w:rPr>
      </w:pPr>
      <w:r w:rsidRPr="00410E4D">
        <w:rPr>
          <w:rFonts w:ascii="Verdana" w:hAnsi="Verdana"/>
        </w:rPr>
        <w:t xml:space="preserve">[5] SL </w:t>
      </w:r>
      <w:proofErr w:type="spellStart"/>
      <w:r w:rsidRPr="00410E4D">
        <w:rPr>
          <w:rFonts w:ascii="Verdana" w:hAnsi="Verdana"/>
        </w:rPr>
        <w:t>Budui</w:t>
      </w:r>
      <w:proofErr w:type="spellEnd"/>
      <w:r w:rsidRPr="00410E4D">
        <w:rPr>
          <w:rFonts w:ascii="Verdana" w:hAnsi="Verdana"/>
        </w:rPr>
        <w:t xml:space="preserve">, AP Rossi, M Zamboni The </w:t>
      </w:r>
      <w:proofErr w:type="spellStart"/>
      <w:r w:rsidRPr="00410E4D">
        <w:rPr>
          <w:rFonts w:ascii="Verdana" w:hAnsi="Verdana"/>
        </w:rPr>
        <w:t>Pathogenetic</w:t>
      </w:r>
      <w:proofErr w:type="spellEnd"/>
      <w:r w:rsidRPr="00410E4D">
        <w:rPr>
          <w:rFonts w:ascii="Verdana" w:hAnsi="Verdana"/>
        </w:rPr>
        <w:t xml:space="preserve"> bases of sarcopenia </w:t>
      </w:r>
      <w:r w:rsidRPr="00410E4D">
        <w:rPr>
          <w:rFonts w:ascii="Verdana" w:hAnsi="Verdana"/>
          <w:i/>
        </w:rPr>
        <w:t xml:space="preserve">Clinical Cases in Mineral and Bone Metabolism </w:t>
      </w:r>
      <w:r w:rsidRPr="00410E4D">
        <w:rPr>
          <w:rFonts w:ascii="Verdana" w:hAnsi="Verdana"/>
        </w:rPr>
        <w:t>2015; 12 91): 22-26</w:t>
      </w:r>
    </w:p>
    <w:p w:rsidR="00A6166D" w:rsidRPr="00410E4D" w:rsidRDefault="00A6166D" w:rsidP="007C4070">
      <w:pPr>
        <w:spacing w:line="480" w:lineRule="auto"/>
        <w:jc w:val="both"/>
        <w:rPr>
          <w:rFonts w:ascii="Verdana" w:hAnsi="Verdana"/>
        </w:rPr>
      </w:pPr>
      <w:r w:rsidRPr="00410E4D">
        <w:rPr>
          <w:rFonts w:ascii="Verdana" w:hAnsi="Verdana"/>
        </w:rPr>
        <w:lastRenderedPageBreak/>
        <w:t xml:space="preserve">[6] EM Dennison AA Sayer C Cooper Epidemiology of sarcopenia and insight into possible therapeutic targets </w:t>
      </w:r>
    </w:p>
    <w:p w:rsidR="0027284A" w:rsidRPr="00410E4D" w:rsidRDefault="0027284A" w:rsidP="007C4070">
      <w:pPr>
        <w:spacing w:line="480" w:lineRule="auto"/>
        <w:jc w:val="both"/>
        <w:rPr>
          <w:rFonts w:ascii="Verdana" w:hAnsi="Verdana"/>
        </w:rPr>
      </w:pPr>
      <w:r w:rsidRPr="00410E4D">
        <w:rPr>
          <w:rFonts w:ascii="Verdana" w:hAnsi="Verdana"/>
        </w:rPr>
        <w:t xml:space="preserve">[7] E Curtis, A </w:t>
      </w:r>
      <w:proofErr w:type="spellStart"/>
      <w:r w:rsidRPr="00410E4D">
        <w:rPr>
          <w:rFonts w:ascii="Verdana" w:hAnsi="Verdana"/>
        </w:rPr>
        <w:t>Litwic</w:t>
      </w:r>
      <w:proofErr w:type="spellEnd"/>
      <w:r w:rsidRPr="00410E4D">
        <w:rPr>
          <w:rFonts w:ascii="Verdana" w:hAnsi="Verdana"/>
        </w:rPr>
        <w:t>, C Cooper, E</w:t>
      </w:r>
      <w:r w:rsidR="000B4086" w:rsidRPr="00410E4D">
        <w:rPr>
          <w:rFonts w:ascii="Verdana" w:hAnsi="Verdana"/>
        </w:rPr>
        <w:t>M</w:t>
      </w:r>
      <w:r w:rsidRPr="00410E4D">
        <w:rPr>
          <w:rFonts w:ascii="Verdana" w:hAnsi="Verdana"/>
        </w:rPr>
        <w:t xml:space="preserve"> Dennison; Determinants of muscle and bone aging </w:t>
      </w:r>
      <w:r w:rsidRPr="00410E4D">
        <w:rPr>
          <w:rFonts w:ascii="Verdana" w:hAnsi="Verdana"/>
          <w:i/>
        </w:rPr>
        <w:t>J Cell Physiol</w:t>
      </w:r>
      <w:r w:rsidRPr="00410E4D">
        <w:rPr>
          <w:rFonts w:ascii="Verdana" w:hAnsi="Verdana"/>
        </w:rPr>
        <w:t xml:space="preserve">. 2015 Nov; 230(11):2618-25;  </w:t>
      </w:r>
    </w:p>
    <w:p w:rsidR="009D20F4" w:rsidRPr="00410E4D" w:rsidRDefault="009D20F4" w:rsidP="007C4070">
      <w:pPr>
        <w:spacing w:line="480" w:lineRule="auto"/>
        <w:jc w:val="both"/>
        <w:rPr>
          <w:rFonts w:ascii="Verdana" w:hAnsi="Verdana"/>
        </w:rPr>
      </w:pPr>
      <w:r w:rsidRPr="00410E4D">
        <w:rPr>
          <w:rFonts w:ascii="Verdana" w:hAnsi="Verdana"/>
        </w:rPr>
        <w:t xml:space="preserve">[8] A Marques, RJO Ferreira, E Santos, E </w:t>
      </w:r>
      <w:proofErr w:type="spellStart"/>
      <w:r w:rsidRPr="00410E4D">
        <w:rPr>
          <w:rFonts w:ascii="Verdana" w:hAnsi="Verdana"/>
        </w:rPr>
        <w:t>Loza</w:t>
      </w:r>
      <w:proofErr w:type="spellEnd"/>
      <w:r w:rsidRPr="00410E4D">
        <w:rPr>
          <w:rFonts w:ascii="Verdana" w:hAnsi="Verdana"/>
        </w:rPr>
        <w:t xml:space="preserve">, L Carmona, JA Pereira da Silva The accuracy of osteoporotic fracture risk prediction tools: a systematic review and meta-analysis </w:t>
      </w:r>
      <w:r w:rsidRPr="00410E4D">
        <w:rPr>
          <w:rFonts w:ascii="Verdana" w:hAnsi="Verdana"/>
          <w:i/>
        </w:rPr>
        <w:t xml:space="preserve">Ann Rheum Dis </w:t>
      </w:r>
      <w:r w:rsidRPr="00410E4D">
        <w:rPr>
          <w:rFonts w:ascii="Verdana" w:hAnsi="Verdana"/>
        </w:rPr>
        <w:t>2015 74: 1958 – 1967</w:t>
      </w:r>
    </w:p>
    <w:p w:rsidR="001B314B" w:rsidRPr="00410E4D" w:rsidRDefault="001B314B" w:rsidP="007C4070">
      <w:pPr>
        <w:spacing w:line="480" w:lineRule="auto"/>
        <w:jc w:val="both"/>
        <w:rPr>
          <w:rFonts w:ascii="Verdana" w:hAnsi="Verdana"/>
        </w:rPr>
      </w:pPr>
      <w:r w:rsidRPr="00410E4D">
        <w:rPr>
          <w:rFonts w:ascii="Verdana" w:hAnsi="Verdana"/>
        </w:rPr>
        <w:t xml:space="preserve">[9] MT Drake, BL Clarke, EM Lewiecki The </w:t>
      </w:r>
      <w:proofErr w:type="spellStart"/>
      <w:r w:rsidRPr="00410E4D">
        <w:rPr>
          <w:rFonts w:ascii="Verdana" w:hAnsi="Verdana"/>
        </w:rPr>
        <w:t>pathohysiology</w:t>
      </w:r>
      <w:proofErr w:type="spellEnd"/>
      <w:r w:rsidRPr="00410E4D">
        <w:rPr>
          <w:rFonts w:ascii="Verdana" w:hAnsi="Verdana"/>
        </w:rPr>
        <w:t xml:space="preserve"> and treatment of osteoporosis </w:t>
      </w:r>
      <w:r w:rsidRPr="00410E4D">
        <w:rPr>
          <w:rFonts w:ascii="Verdana" w:hAnsi="Verdana"/>
          <w:i/>
        </w:rPr>
        <w:t xml:space="preserve">Clinical Therapeutics </w:t>
      </w:r>
      <w:r w:rsidRPr="00410E4D">
        <w:rPr>
          <w:rFonts w:ascii="Verdana" w:hAnsi="Verdana"/>
        </w:rPr>
        <w:t>2015 Volume 37, Number 8, ; 1837- 1850</w:t>
      </w:r>
    </w:p>
    <w:p w:rsidR="0073400D" w:rsidRPr="00410E4D" w:rsidRDefault="0073400D" w:rsidP="007C4070">
      <w:pPr>
        <w:spacing w:line="480" w:lineRule="auto"/>
        <w:jc w:val="both"/>
        <w:rPr>
          <w:rFonts w:ascii="Verdana" w:hAnsi="Verdana"/>
        </w:rPr>
      </w:pPr>
      <w:r w:rsidRPr="00410E4D">
        <w:rPr>
          <w:rFonts w:ascii="Verdana" w:hAnsi="Verdana"/>
        </w:rPr>
        <w:t xml:space="preserve">[10] SK Sandhu, ND Nguyen, JR </w:t>
      </w:r>
      <w:proofErr w:type="spellStart"/>
      <w:r w:rsidRPr="00410E4D">
        <w:rPr>
          <w:rFonts w:ascii="Verdana" w:hAnsi="Verdana"/>
        </w:rPr>
        <w:t>Center</w:t>
      </w:r>
      <w:proofErr w:type="spellEnd"/>
      <w:r w:rsidRPr="00410E4D">
        <w:rPr>
          <w:rFonts w:ascii="Verdana" w:hAnsi="Verdana"/>
        </w:rPr>
        <w:t xml:space="preserve"> N A </w:t>
      </w:r>
      <w:proofErr w:type="spellStart"/>
      <w:r w:rsidRPr="00410E4D">
        <w:rPr>
          <w:rFonts w:ascii="Verdana" w:hAnsi="Verdana"/>
        </w:rPr>
        <w:t>Pocock</w:t>
      </w:r>
      <w:proofErr w:type="spellEnd"/>
      <w:r w:rsidRPr="00410E4D">
        <w:rPr>
          <w:rFonts w:ascii="Verdana" w:hAnsi="Verdana"/>
        </w:rPr>
        <w:t xml:space="preserve">, JA </w:t>
      </w:r>
      <w:proofErr w:type="spellStart"/>
      <w:r w:rsidRPr="00410E4D">
        <w:rPr>
          <w:rFonts w:ascii="Verdana" w:hAnsi="Verdana"/>
        </w:rPr>
        <w:t>Eisman</w:t>
      </w:r>
      <w:proofErr w:type="spellEnd"/>
      <w:r w:rsidRPr="00410E4D">
        <w:rPr>
          <w:rFonts w:ascii="Verdana" w:hAnsi="Verdana"/>
        </w:rPr>
        <w:t xml:space="preserve">, TV Nguyen Prognosis of fracture: evaluation of predictive accuracy of the FRAX™ algorithm and </w:t>
      </w:r>
      <w:proofErr w:type="spellStart"/>
      <w:r w:rsidRPr="00410E4D">
        <w:rPr>
          <w:rFonts w:ascii="Verdana" w:hAnsi="Verdana"/>
        </w:rPr>
        <w:t>Garvan</w:t>
      </w:r>
      <w:proofErr w:type="spellEnd"/>
      <w:r w:rsidRPr="00410E4D">
        <w:rPr>
          <w:rFonts w:ascii="Verdana" w:hAnsi="Verdana"/>
        </w:rPr>
        <w:t xml:space="preserve"> nomogram, </w:t>
      </w:r>
      <w:r w:rsidRPr="00410E4D">
        <w:rPr>
          <w:rFonts w:ascii="Verdana" w:hAnsi="Verdana"/>
          <w:i/>
        </w:rPr>
        <w:t>Osteoporos Int</w:t>
      </w:r>
      <w:r w:rsidRPr="00410E4D">
        <w:rPr>
          <w:rFonts w:ascii="Verdana" w:hAnsi="Verdana"/>
        </w:rPr>
        <w:t>. 2010 May;21(5):863-71.</w:t>
      </w:r>
    </w:p>
    <w:p w:rsidR="00A01088" w:rsidRPr="00410E4D" w:rsidRDefault="00A01088" w:rsidP="007C4070">
      <w:pPr>
        <w:spacing w:line="480" w:lineRule="auto"/>
        <w:jc w:val="both"/>
        <w:rPr>
          <w:rFonts w:ascii="Verdana" w:hAnsi="Verdana"/>
        </w:rPr>
      </w:pPr>
      <w:r w:rsidRPr="00410E4D">
        <w:rPr>
          <w:rFonts w:ascii="Verdana" w:hAnsi="Verdana"/>
        </w:rPr>
        <w:t xml:space="preserve">[11] J Compston FRAX—Where are we now? </w:t>
      </w:r>
      <w:proofErr w:type="spellStart"/>
      <w:r w:rsidRPr="00410E4D">
        <w:rPr>
          <w:rFonts w:ascii="Verdana" w:hAnsi="Verdana"/>
          <w:i/>
        </w:rPr>
        <w:t>Maturitas</w:t>
      </w:r>
      <w:proofErr w:type="spellEnd"/>
      <w:r w:rsidRPr="00410E4D">
        <w:rPr>
          <w:rFonts w:ascii="Verdana" w:hAnsi="Verdana"/>
          <w:i/>
        </w:rPr>
        <w:t xml:space="preserve"> </w:t>
      </w:r>
      <w:r w:rsidRPr="00410E4D">
        <w:rPr>
          <w:rFonts w:ascii="Verdana" w:hAnsi="Verdana"/>
        </w:rPr>
        <w:t>82(2015) 284-287</w:t>
      </w:r>
    </w:p>
    <w:p w:rsidR="00A83317" w:rsidRPr="00410E4D" w:rsidRDefault="00A83317" w:rsidP="007C4070">
      <w:pPr>
        <w:spacing w:line="480" w:lineRule="auto"/>
        <w:jc w:val="both"/>
        <w:rPr>
          <w:rFonts w:ascii="Verdana" w:hAnsi="Verdana"/>
        </w:rPr>
      </w:pPr>
      <w:r w:rsidRPr="00410E4D">
        <w:rPr>
          <w:rFonts w:ascii="Verdana" w:hAnsi="Verdana"/>
        </w:rPr>
        <w:t xml:space="preserve">[12] TACM van </w:t>
      </w:r>
      <w:proofErr w:type="spellStart"/>
      <w:r w:rsidRPr="00410E4D">
        <w:rPr>
          <w:rFonts w:ascii="Verdana" w:hAnsi="Verdana"/>
        </w:rPr>
        <w:t>Geel</w:t>
      </w:r>
      <w:proofErr w:type="spellEnd"/>
      <w:r w:rsidRPr="00410E4D">
        <w:rPr>
          <w:rFonts w:ascii="Verdana" w:hAnsi="Verdana"/>
        </w:rPr>
        <w:t>,</w:t>
      </w:r>
      <w:r w:rsidRPr="00410E4D">
        <w:rPr>
          <w:rFonts w:ascii="Verdana" w:hAnsi="Verdana" w:cs="Calibri"/>
        </w:rPr>
        <w:t xml:space="preserve"> JA </w:t>
      </w:r>
      <w:proofErr w:type="spellStart"/>
      <w:r w:rsidRPr="00410E4D">
        <w:rPr>
          <w:rFonts w:ascii="Verdana" w:hAnsi="Verdana" w:cs="Calibri"/>
        </w:rPr>
        <w:t>Eisman</w:t>
      </w:r>
      <w:proofErr w:type="spellEnd"/>
      <w:r w:rsidRPr="00410E4D">
        <w:rPr>
          <w:rFonts w:ascii="Verdana" w:hAnsi="Verdana" w:cs="Calibri"/>
        </w:rPr>
        <w:t>,</w:t>
      </w:r>
      <w:r w:rsidRPr="00410E4D">
        <w:rPr>
          <w:rFonts w:ascii="Verdana" w:hAnsi="Verdana"/>
        </w:rPr>
        <w:t xml:space="preserve"> PP </w:t>
      </w:r>
      <w:proofErr w:type="spellStart"/>
      <w:r w:rsidRPr="00410E4D">
        <w:rPr>
          <w:rFonts w:ascii="Verdana" w:hAnsi="Verdana"/>
        </w:rPr>
        <w:t>Geusens</w:t>
      </w:r>
      <w:proofErr w:type="spellEnd"/>
      <w:r w:rsidRPr="00410E4D">
        <w:rPr>
          <w:rFonts w:ascii="Verdana" w:hAnsi="Verdana"/>
        </w:rPr>
        <w:t xml:space="preserve">, JPW van den Bergh, JR </w:t>
      </w:r>
      <w:proofErr w:type="spellStart"/>
      <w:r w:rsidRPr="00410E4D">
        <w:rPr>
          <w:rFonts w:ascii="Verdana" w:hAnsi="Verdana"/>
        </w:rPr>
        <w:t>Center</w:t>
      </w:r>
      <w:proofErr w:type="spellEnd"/>
      <w:r w:rsidRPr="00410E4D">
        <w:rPr>
          <w:rFonts w:ascii="Verdana" w:hAnsi="Verdana"/>
        </w:rPr>
        <w:t xml:space="preserve">, G </w:t>
      </w:r>
      <w:proofErr w:type="spellStart"/>
      <w:r w:rsidRPr="00410E4D">
        <w:rPr>
          <w:rFonts w:ascii="Verdana" w:hAnsi="Verdana"/>
        </w:rPr>
        <w:t>Dinanti</w:t>
      </w:r>
      <w:proofErr w:type="spellEnd"/>
      <w:r w:rsidRPr="00410E4D">
        <w:rPr>
          <w:rFonts w:ascii="Verdana" w:hAnsi="Verdana"/>
        </w:rPr>
        <w:t xml:space="preserve"> The utility of absolute risk prediction using FRAX® and </w:t>
      </w:r>
      <w:proofErr w:type="spellStart"/>
      <w:r w:rsidRPr="00410E4D">
        <w:rPr>
          <w:rFonts w:ascii="Verdana" w:hAnsi="Verdana"/>
        </w:rPr>
        <w:t>Garvan</w:t>
      </w:r>
      <w:proofErr w:type="spellEnd"/>
      <w:r w:rsidRPr="00410E4D">
        <w:rPr>
          <w:rFonts w:ascii="Verdana" w:hAnsi="Verdana"/>
        </w:rPr>
        <w:t xml:space="preserve"> Fracture Risk Calculator in daily practice  </w:t>
      </w:r>
      <w:proofErr w:type="spellStart"/>
      <w:r w:rsidRPr="00410E4D">
        <w:rPr>
          <w:rFonts w:ascii="Verdana" w:hAnsi="Verdana"/>
          <w:i/>
        </w:rPr>
        <w:t>Maturitas</w:t>
      </w:r>
      <w:proofErr w:type="spellEnd"/>
      <w:r w:rsidRPr="00410E4D">
        <w:rPr>
          <w:rFonts w:ascii="Verdana" w:hAnsi="Verdana"/>
          <w:i/>
        </w:rPr>
        <w:t>.</w:t>
      </w:r>
      <w:r w:rsidRPr="00410E4D">
        <w:rPr>
          <w:rFonts w:ascii="Verdana" w:hAnsi="Verdana"/>
        </w:rPr>
        <w:t xml:space="preserve"> 2014 Feb</w:t>
      </w:r>
      <w:proofErr w:type="gramStart"/>
      <w:r w:rsidRPr="00410E4D">
        <w:rPr>
          <w:rFonts w:ascii="Verdana" w:hAnsi="Verdana"/>
        </w:rPr>
        <w:t>;77</w:t>
      </w:r>
      <w:proofErr w:type="gramEnd"/>
      <w:r w:rsidRPr="00410E4D">
        <w:rPr>
          <w:rFonts w:ascii="Verdana" w:hAnsi="Verdana"/>
        </w:rPr>
        <w:t>(2):174-9.</w:t>
      </w:r>
    </w:p>
    <w:p w:rsidR="007E239B" w:rsidRPr="00410E4D" w:rsidRDefault="007E239B" w:rsidP="007C4070">
      <w:pPr>
        <w:spacing w:line="480" w:lineRule="auto"/>
        <w:jc w:val="both"/>
        <w:rPr>
          <w:rFonts w:ascii="Verdana" w:hAnsi="Verdana"/>
        </w:rPr>
      </w:pPr>
      <w:r w:rsidRPr="00410E4D">
        <w:rPr>
          <w:rFonts w:ascii="Verdana" w:hAnsi="Verdana"/>
        </w:rPr>
        <w:t xml:space="preserve">[13] D Aw J </w:t>
      </w:r>
      <w:proofErr w:type="spellStart"/>
      <w:r w:rsidRPr="00410E4D">
        <w:rPr>
          <w:rFonts w:ascii="Verdana" w:hAnsi="Verdana"/>
        </w:rPr>
        <w:t>Thain</w:t>
      </w:r>
      <w:proofErr w:type="spellEnd"/>
      <w:r w:rsidRPr="00410E4D">
        <w:rPr>
          <w:rFonts w:ascii="Verdana" w:hAnsi="Verdana"/>
        </w:rPr>
        <w:t xml:space="preserve"> A Ali T Aung WM Chua O Sahota N </w:t>
      </w:r>
      <w:proofErr w:type="spellStart"/>
      <w:r w:rsidRPr="00410E4D">
        <w:rPr>
          <w:rFonts w:ascii="Verdana" w:hAnsi="Verdana"/>
        </w:rPr>
        <w:t>Weerasuriya</w:t>
      </w:r>
      <w:proofErr w:type="spellEnd"/>
      <w:r w:rsidRPr="00410E4D">
        <w:rPr>
          <w:rFonts w:ascii="Verdana" w:hAnsi="Verdana"/>
        </w:rPr>
        <w:t xml:space="preserve"> L Marshall F Kearney T </w:t>
      </w:r>
      <w:proofErr w:type="spellStart"/>
      <w:r w:rsidRPr="00410E4D">
        <w:rPr>
          <w:rFonts w:ascii="Verdana" w:hAnsi="Verdana"/>
        </w:rPr>
        <w:t>Masud</w:t>
      </w:r>
      <w:proofErr w:type="spellEnd"/>
      <w:r w:rsidRPr="00410E4D">
        <w:rPr>
          <w:rFonts w:ascii="Verdana" w:hAnsi="Verdana"/>
        </w:rPr>
        <w:t xml:space="preserve"> Predicting fracture risk in osteoporosis: the use of fracture prediction tools in an osteoporosis clinic population </w:t>
      </w:r>
      <w:r w:rsidRPr="00410E4D">
        <w:rPr>
          <w:rFonts w:ascii="Verdana" w:hAnsi="Verdana"/>
          <w:i/>
        </w:rPr>
        <w:t>Postgrad Med J</w:t>
      </w:r>
      <w:r w:rsidRPr="00410E4D">
        <w:rPr>
          <w:rFonts w:ascii="Verdana" w:hAnsi="Verdana"/>
        </w:rPr>
        <w:t xml:space="preserve"> published online January 20 2016.</w:t>
      </w:r>
    </w:p>
    <w:p w:rsidR="003779AB" w:rsidRPr="00410E4D" w:rsidRDefault="003779AB" w:rsidP="007C4070">
      <w:pPr>
        <w:spacing w:line="480" w:lineRule="auto"/>
        <w:jc w:val="both"/>
        <w:rPr>
          <w:rFonts w:ascii="Verdana" w:hAnsi="Verdana"/>
        </w:rPr>
      </w:pPr>
      <w:r w:rsidRPr="00410E4D">
        <w:rPr>
          <w:rFonts w:ascii="Verdana" w:hAnsi="Verdana"/>
        </w:rPr>
        <w:t xml:space="preserve">[14] A Chen, C </w:t>
      </w:r>
      <w:proofErr w:type="spellStart"/>
      <w:r w:rsidRPr="00410E4D">
        <w:rPr>
          <w:rFonts w:ascii="Verdana" w:hAnsi="Verdana"/>
        </w:rPr>
        <w:t>Gupte</w:t>
      </w:r>
      <w:proofErr w:type="spellEnd"/>
      <w:r w:rsidRPr="00410E4D">
        <w:rPr>
          <w:rFonts w:ascii="Verdana" w:hAnsi="Verdana"/>
        </w:rPr>
        <w:t xml:space="preserve">, K Akhtar, P Smith, J Cobb The Global Economic Cost of Osteoarthritis: How the UK Compares </w:t>
      </w:r>
      <w:r w:rsidRPr="00410E4D">
        <w:rPr>
          <w:rFonts w:ascii="Verdana" w:hAnsi="Verdana"/>
          <w:i/>
        </w:rPr>
        <w:t>Arthritis</w:t>
      </w:r>
      <w:r w:rsidRPr="00410E4D">
        <w:rPr>
          <w:rFonts w:ascii="Verdana" w:hAnsi="Verdana"/>
        </w:rPr>
        <w:t xml:space="preserve"> Volume 2012, Article ID 698709</w:t>
      </w:r>
      <w:r w:rsidR="00BC6050" w:rsidRPr="00410E4D">
        <w:rPr>
          <w:rFonts w:ascii="Verdana" w:hAnsi="Verdana"/>
        </w:rPr>
        <w:t xml:space="preserve"> 6 pages, 2012. doi:10.1155/2012/698709</w:t>
      </w:r>
    </w:p>
    <w:p w:rsidR="003E06EC" w:rsidRPr="00410E4D" w:rsidRDefault="003E06EC" w:rsidP="007C4070">
      <w:pPr>
        <w:spacing w:line="480" w:lineRule="auto"/>
        <w:jc w:val="both"/>
        <w:rPr>
          <w:rFonts w:ascii="Verdana" w:hAnsi="Verdana"/>
        </w:rPr>
      </w:pPr>
      <w:r w:rsidRPr="00410E4D">
        <w:rPr>
          <w:rFonts w:ascii="Verdana" w:hAnsi="Verdana"/>
        </w:rPr>
        <w:lastRenderedPageBreak/>
        <w:t xml:space="preserve">[15] G </w:t>
      </w:r>
      <w:proofErr w:type="spellStart"/>
      <w:r w:rsidRPr="00410E4D">
        <w:rPr>
          <w:rFonts w:ascii="Verdana" w:hAnsi="Verdana"/>
        </w:rPr>
        <w:t>Musumeci</w:t>
      </w:r>
      <w:proofErr w:type="spellEnd"/>
      <w:r w:rsidRPr="00410E4D">
        <w:rPr>
          <w:rFonts w:ascii="Verdana" w:hAnsi="Verdana"/>
        </w:rPr>
        <w:t xml:space="preserve">, FC Aiello, MA </w:t>
      </w:r>
      <w:proofErr w:type="spellStart"/>
      <w:r w:rsidRPr="00410E4D">
        <w:rPr>
          <w:rFonts w:ascii="Verdana" w:hAnsi="Verdana"/>
        </w:rPr>
        <w:t>Szychlinska</w:t>
      </w:r>
      <w:proofErr w:type="spellEnd"/>
      <w:r w:rsidRPr="00410E4D">
        <w:rPr>
          <w:rFonts w:ascii="Verdana" w:hAnsi="Verdana"/>
        </w:rPr>
        <w:t xml:space="preserve">, M Di Rosa, P </w:t>
      </w:r>
      <w:proofErr w:type="spellStart"/>
      <w:r w:rsidRPr="00410E4D">
        <w:rPr>
          <w:rFonts w:ascii="Verdana" w:hAnsi="Verdana"/>
        </w:rPr>
        <w:t>Castrogiovanni</w:t>
      </w:r>
      <w:proofErr w:type="spellEnd"/>
      <w:r w:rsidRPr="00410E4D">
        <w:rPr>
          <w:rFonts w:ascii="Verdana" w:hAnsi="Verdana"/>
        </w:rPr>
        <w:t xml:space="preserve">, A </w:t>
      </w:r>
      <w:proofErr w:type="spellStart"/>
      <w:r w:rsidRPr="00410E4D">
        <w:rPr>
          <w:rFonts w:ascii="Verdana" w:hAnsi="Verdana"/>
        </w:rPr>
        <w:t>Mobasheri</w:t>
      </w:r>
      <w:proofErr w:type="spellEnd"/>
      <w:r w:rsidRPr="00410E4D">
        <w:rPr>
          <w:rFonts w:ascii="Verdana" w:hAnsi="Verdana"/>
        </w:rPr>
        <w:t xml:space="preserve"> Osteoarthritis in the </w:t>
      </w:r>
      <w:proofErr w:type="spellStart"/>
      <w:r w:rsidRPr="00410E4D">
        <w:rPr>
          <w:rFonts w:ascii="Verdana" w:hAnsi="Verdana"/>
        </w:rPr>
        <w:t>XXIst</w:t>
      </w:r>
      <w:proofErr w:type="spellEnd"/>
      <w:r w:rsidRPr="00410E4D">
        <w:rPr>
          <w:rFonts w:ascii="Verdana" w:hAnsi="Verdana"/>
        </w:rPr>
        <w:t xml:space="preserve"> Century: Risk Factors and Behaviours that Influence Disease Onset and Progression  </w:t>
      </w:r>
      <w:r w:rsidRPr="00410E4D">
        <w:rPr>
          <w:rFonts w:ascii="Verdana" w:hAnsi="Verdana"/>
          <w:i/>
        </w:rPr>
        <w:t xml:space="preserve">International Journal of Molecular Sciences 2015, 16, </w:t>
      </w:r>
      <w:r w:rsidRPr="00410E4D">
        <w:rPr>
          <w:rFonts w:ascii="Verdana" w:hAnsi="Verdana"/>
        </w:rPr>
        <w:t>6093-6112</w:t>
      </w:r>
    </w:p>
    <w:p w:rsidR="00C57CE8" w:rsidRPr="00410E4D" w:rsidRDefault="00C57CE8" w:rsidP="007C4070">
      <w:pPr>
        <w:spacing w:line="480" w:lineRule="auto"/>
        <w:jc w:val="both"/>
        <w:rPr>
          <w:rFonts w:ascii="Verdana" w:hAnsi="Verdana"/>
        </w:rPr>
      </w:pPr>
      <w:r w:rsidRPr="00410E4D">
        <w:rPr>
          <w:rFonts w:ascii="Verdana" w:hAnsi="Verdana"/>
        </w:rPr>
        <w:t xml:space="preserve">[16] L Sharma. Osteoarthritis year in review 2015: clinical. </w:t>
      </w:r>
      <w:r w:rsidRPr="00410E4D">
        <w:rPr>
          <w:rFonts w:ascii="Verdana" w:hAnsi="Verdana"/>
          <w:i/>
        </w:rPr>
        <w:t xml:space="preserve">Osteoarthritis and Cartilage </w:t>
      </w:r>
      <w:r w:rsidRPr="00410E4D">
        <w:rPr>
          <w:rFonts w:ascii="Verdana" w:hAnsi="Verdana"/>
        </w:rPr>
        <w:t>24 (2016) 36-48</w:t>
      </w:r>
    </w:p>
    <w:p w:rsidR="00CA5B27" w:rsidRPr="00410E4D" w:rsidRDefault="00CA5B27" w:rsidP="007C4070">
      <w:pPr>
        <w:spacing w:line="480" w:lineRule="auto"/>
        <w:jc w:val="both"/>
        <w:rPr>
          <w:rFonts w:ascii="Verdana" w:hAnsi="Verdana"/>
        </w:rPr>
      </w:pPr>
      <w:r w:rsidRPr="00410E4D">
        <w:rPr>
          <w:rFonts w:ascii="Verdana" w:hAnsi="Verdana"/>
        </w:rPr>
        <w:t xml:space="preserve">[17] A </w:t>
      </w:r>
      <w:proofErr w:type="spellStart"/>
      <w:r w:rsidRPr="00410E4D">
        <w:rPr>
          <w:rFonts w:ascii="Verdana" w:hAnsi="Verdana"/>
        </w:rPr>
        <w:t>Litwic</w:t>
      </w:r>
      <w:proofErr w:type="spellEnd"/>
      <w:r w:rsidRPr="00410E4D">
        <w:rPr>
          <w:rFonts w:ascii="Verdana" w:hAnsi="Verdana"/>
        </w:rPr>
        <w:t xml:space="preserve"> M Edwards EM Dennison C Cooper Epidemiology and Burden of Osteoarthritis </w:t>
      </w:r>
      <w:r w:rsidRPr="00410E4D">
        <w:rPr>
          <w:rFonts w:ascii="Verdana" w:hAnsi="Verdana"/>
          <w:i/>
        </w:rPr>
        <w:t>Br Med Bull</w:t>
      </w:r>
      <w:r w:rsidRPr="00410E4D">
        <w:rPr>
          <w:rFonts w:ascii="Verdana" w:hAnsi="Verdana"/>
        </w:rPr>
        <w:t>. 2013</w:t>
      </w:r>
      <w:proofErr w:type="gramStart"/>
      <w:r w:rsidRPr="00410E4D">
        <w:rPr>
          <w:rFonts w:ascii="Verdana" w:hAnsi="Verdana"/>
        </w:rPr>
        <w:t>;105:185</w:t>
      </w:r>
      <w:proofErr w:type="gramEnd"/>
      <w:r w:rsidRPr="00410E4D">
        <w:rPr>
          <w:rFonts w:ascii="Verdana" w:hAnsi="Verdana"/>
        </w:rPr>
        <w:t>-99.</w:t>
      </w:r>
    </w:p>
    <w:p w:rsidR="00554BD1" w:rsidRPr="00410E4D" w:rsidRDefault="004C152C" w:rsidP="007C4070">
      <w:pPr>
        <w:spacing w:line="480" w:lineRule="auto"/>
        <w:jc w:val="both"/>
        <w:rPr>
          <w:rFonts w:ascii="Verdana" w:hAnsi="Verdana"/>
        </w:rPr>
      </w:pPr>
      <w:r w:rsidRPr="00410E4D">
        <w:rPr>
          <w:rFonts w:ascii="Verdana" w:hAnsi="Verdana"/>
        </w:rPr>
        <w:t xml:space="preserve">[18] J Kellgren, J Lawrence Atlas of standard radiographs. </w:t>
      </w:r>
      <w:proofErr w:type="gramStart"/>
      <w:r w:rsidRPr="00410E4D">
        <w:rPr>
          <w:rFonts w:ascii="Verdana" w:hAnsi="Verdana"/>
        </w:rPr>
        <w:t>The epidemiology of chronic rheumatism.</w:t>
      </w:r>
      <w:proofErr w:type="gramEnd"/>
      <w:r w:rsidRPr="00410E4D">
        <w:rPr>
          <w:rFonts w:ascii="Verdana" w:hAnsi="Verdana"/>
        </w:rPr>
        <w:t xml:space="preserve"> </w:t>
      </w:r>
      <w:proofErr w:type="gramStart"/>
      <w:r w:rsidRPr="00410E4D">
        <w:rPr>
          <w:rFonts w:ascii="Verdana" w:hAnsi="Verdana"/>
        </w:rPr>
        <w:t>Vol. 2.</w:t>
      </w:r>
      <w:proofErr w:type="gramEnd"/>
      <w:r w:rsidRPr="00410E4D">
        <w:rPr>
          <w:rFonts w:ascii="Verdana" w:hAnsi="Verdana"/>
        </w:rPr>
        <w:t xml:space="preserve"> Oxford: Blackwell Scientific Publications; 1963.</w:t>
      </w:r>
    </w:p>
    <w:p w:rsidR="00486885" w:rsidRPr="00410E4D" w:rsidRDefault="000D61E4" w:rsidP="007C4070">
      <w:pPr>
        <w:spacing w:line="480" w:lineRule="auto"/>
        <w:rPr>
          <w:rFonts w:ascii="Verdana" w:hAnsi="Verdana"/>
        </w:rPr>
      </w:pPr>
      <w:r w:rsidRPr="00410E4D">
        <w:rPr>
          <w:rFonts w:ascii="Verdana" w:hAnsi="Verdana"/>
        </w:rPr>
        <w:t xml:space="preserve">[19] D Pereira, B </w:t>
      </w:r>
      <w:proofErr w:type="spellStart"/>
      <w:r w:rsidRPr="00410E4D">
        <w:rPr>
          <w:rFonts w:ascii="Verdana" w:hAnsi="Verdana"/>
        </w:rPr>
        <w:t>Peleteiro</w:t>
      </w:r>
      <w:proofErr w:type="spellEnd"/>
      <w:r w:rsidRPr="00410E4D">
        <w:rPr>
          <w:rFonts w:ascii="Verdana" w:hAnsi="Verdana"/>
        </w:rPr>
        <w:t xml:space="preserve">, J Araujo, J </w:t>
      </w:r>
      <w:proofErr w:type="spellStart"/>
      <w:r w:rsidRPr="00410E4D">
        <w:rPr>
          <w:rFonts w:ascii="Verdana" w:hAnsi="Verdana"/>
        </w:rPr>
        <w:t>Branco</w:t>
      </w:r>
      <w:proofErr w:type="spellEnd"/>
      <w:r w:rsidRPr="00410E4D">
        <w:rPr>
          <w:rFonts w:ascii="Verdana" w:hAnsi="Verdana"/>
        </w:rPr>
        <w:t xml:space="preserve">, RA Santos, </w:t>
      </w:r>
      <w:proofErr w:type="gramStart"/>
      <w:r w:rsidRPr="00410E4D">
        <w:rPr>
          <w:rFonts w:ascii="Verdana" w:hAnsi="Verdana"/>
        </w:rPr>
        <w:t>E</w:t>
      </w:r>
      <w:proofErr w:type="gramEnd"/>
      <w:r w:rsidRPr="00410E4D">
        <w:rPr>
          <w:rFonts w:ascii="Verdana" w:hAnsi="Verdana"/>
        </w:rPr>
        <w:t xml:space="preserve"> Ramos The effect of osteoarthritis definition on prevalence and incidence estimates: a systematic review. </w:t>
      </w:r>
      <w:proofErr w:type="spellStart"/>
      <w:r w:rsidRPr="00410E4D">
        <w:rPr>
          <w:rFonts w:ascii="Verdana" w:hAnsi="Verdana"/>
        </w:rPr>
        <w:t>Osteoarthr</w:t>
      </w:r>
      <w:proofErr w:type="spellEnd"/>
      <w:r w:rsidRPr="00410E4D">
        <w:rPr>
          <w:rFonts w:ascii="Verdana" w:hAnsi="Verdana"/>
        </w:rPr>
        <w:t xml:space="preserve"> Cartilage. 2011</w:t>
      </w:r>
      <w:proofErr w:type="gramStart"/>
      <w:r w:rsidRPr="00410E4D">
        <w:rPr>
          <w:rFonts w:ascii="Verdana" w:hAnsi="Verdana"/>
        </w:rPr>
        <w:t>;19:1270</w:t>
      </w:r>
      <w:proofErr w:type="gramEnd"/>
      <w:r w:rsidRPr="00410E4D">
        <w:rPr>
          <w:rFonts w:ascii="Verdana" w:hAnsi="Verdana"/>
        </w:rPr>
        <w:t>-1285.</w:t>
      </w:r>
    </w:p>
    <w:p w:rsidR="000C0445" w:rsidRPr="00410E4D" w:rsidRDefault="000C0445" w:rsidP="007C4070">
      <w:pPr>
        <w:spacing w:line="480" w:lineRule="auto"/>
        <w:jc w:val="both"/>
        <w:rPr>
          <w:rFonts w:ascii="Verdana" w:hAnsi="Verdana"/>
        </w:rPr>
      </w:pPr>
      <w:r w:rsidRPr="00410E4D">
        <w:rPr>
          <w:rFonts w:ascii="Verdana" w:hAnsi="Verdana" w:cs="Arial"/>
        </w:rPr>
        <w:t xml:space="preserve">[20] </w:t>
      </w:r>
      <w:r w:rsidRPr="00410E4D">
        <w:rPr>
          <w:rFonts w:ascii="Verdana" w:hAnsi="Verdana"/>
        </w:rPr>
        <w:t xml:space="preserve">CR Gale, C Coper, AA Sayer Prevalence of frailty and disability: findings from the English Longitudinal Study of Ageing </w:t>
      </w:r>
      <w:r w:rsidRPr="00410E4D">
        <w:rPr>
          <w:rFonts w:ascii="Verdana" w:hAnsi="Verdana"/>
          <w:i/>
        </w:rPr>
        <w:t>Age and Ageing</w:t>
      </w:r>
      <w:r w:rsidRPr="00410E4D">
        <w:rPr>
          <w:rFonts w:ascii="Verdana" w:hAnsi="Verdana"/>
        </w:rPr>
        <w:t xml:space="preserve"> 2014; 0: 1–4</w:t>
      </w:r>
    </w:p>
    <w:p w:rsidR="000851B1" w:rsidRPr="00410E4D" w:rsidRDefault="000851B1" w:rsidP="007C4070">
      <w:pPr>
        <w:spacing w:line="480" w:lineRule="auto"/>
        <w:rPr>
          <w:rFonts w:ascii="Verdana" w:hAnsi="Verdana"/>
        </w:rPr>
      </w:pPr>
      <w:r w:rsidRPr="00410E4D">
        <w:rPr>
          <w:rFonts w:ascii="Verdana" w:hAnsi="Verdana" w:cs="Arial"/>
        </w:rPr>
        <w:t xml:space="preserve">[21] </w:t>
      </w:r>
      <w:r w:rsidRPr="00410E4D">
        <w:rPr>
          <w:rFonts w:ascii="Verdana" w:hAnsi="Verdana"/>
        </w:rPr>
        <w:t xml:space="preserve">K Rockwood, SE </w:t>
      </w:r>
      <w:proofErr w:type="spellStart"/>
      <w:r w:rsidRPr="00410E4D">
        <w:rPr>
          <w:rFonts w:ascii="Verdana" w:hAnsi="Verdana"/>
        </w:rPr>
        <w:t>Howlett</w:t>
      </w:r>
      <w:proofErr w:type="spellEnd"/>
      <w:r w:rsidRPr="00410E4D">
        <w:rPr>
          <w:rFonts w:ascii="Verdana" w:hAnsi="Verdana"/>
        </w:rPr>
        <w:t xml:space="preserve">, C </w:t>
      </w:r>
      <w:proofErr w:type="spellStart"/>
      <w:r w:rsidRPr="00410E4D">
        <w:rPr>
          <w:rFonts w:ascii="Verdana" w:hAnsi="Verdana"/>
        </w:rPr>
        <w:t>MacKnight</w:t>
      </w:r>
      <w:proofErr w:type="spellEnd"/>
      <w:r w:rsidRPr="00410E4D">
        <w:rPr>
          <w:rFonts w:ascii="Verdana" w:hAnsi="Verdana"/>
        </w:rPr>
        <w:t xml:space="preserve">, BL Beattie, H Bergman, R Hebert Prevalence, attributes, and outcomes of fitness and frailty in community-dwelling older adults: report from the Canadian Study of Health and Aging. </w:t>
      </w:r>
      <w:r w:rsidRPr="00410E4D">
        <w:rPr>
          <w:rFonts w:ascii="Verdana" w:hAnsi="Verdana"/>
          <w:i/>
        </w:rPr>
        <w:t xml:space="preserve">J </w:t>
      </w:r>
      <w:proofErr w:type="spellStart"/>
      <w:r w:rsidRPr="00410E4D">
        <w:rPr>
          <w:rFonts w:ascii="Verdana" w:hAnsi="Verdana"/>
          <w:i/>
        </w:rPr>
        <w:t>Gerontol</w:t>
      </w:r>
      <w:proofErr w:type="spellEnd"/>
      <w:r w:rsidRPr="00410E4D">
        <w:rPr>
          <w:rFonts w:ascii="Verdana" w:hAnsi="Verdana"/>
          <w:i/>
        </w:rPr>
        <w:t xml:space="preserve"> A </w:t>
      </w:r>
      <w:proofErr w:type="spellStart"/>
      <w:r w:rsidRPr="00410E4D">
        <w:rPr>
          <w:rFonts w:ascii="Verdana" w:hAnsi="Verdana"/>
          <w:i/>
        </w:rPr>
        <w:t>Biol</w:t>
      </w:r>
      <w:proofErr w:type="spellEnd"/>
      <w:r w:rsidRPr="00410E4D">
        <w:rPr>
          <w:rFonts w:ascii="Verdana" w:hAnsi="Verdana"/>
          <w:i/>
        </w:rPr>
        <w:t xml:space="preserve"> </w:t>
      </w:r>
      <w:proofErr w:type="spellStart"/>
      <w:r w:rsidRPr="00410E4D">
        <w:rPr>
          <w:rFonts w:ascii="Verdana" w:hAnsi="Verdana"/>
          <w:i/>
        </w:rPr>
        <w:t>Sci</w:t>
      </w:r>
      <w:proofErr w:type="spellEnd"/>
      <w:r w:rsidRPr="00410E4D">
        <w:rPr>
          <w:rFonts w:ascii="Verdana" w:hAnsi="Verdana"/>
          <w:i/>
        </w:rPr>
        <w:t xml:space="preserve"> Med </w:t>
      </w:r>
      <w:proofErr w:type="spellStart"/>
      <w:r w:rsidRPr="00410E4D">
        <w:rPr>
          <w:rFonts w:ascii="Verdana" w:hAnsi="Verdana"/>
          <w:i/>
        </w:rPr>
        <w:t>Sci</w:t>
      </w:r>
      <w:proofErr w:type="spellEnd"/>
      <w:r w:rsidRPr="00410E4D">
        <w:rPr>
          <w:rFonts w:ascii="Verdana" w:hAnsi="Verdana"/>
        </w:rPr>
        <w:t xml:space="preserve"> 2004</w:t>
      </w:r>
      <w:proofErr w:type="gramStart"/>
      <w:r w:rsidRPr="00410E4D">
        <w:rPr>
          <w:rFonts w:ascii="Verdana" w:hAnsi="Verdana"/>
        </w:rPr>
        <w:t>;59:1310</w:t>
      </w:r>
      <w:proofErr w:type="gramEnd"/>
      <w:r w:rsidRPr="00410E4D">
        <w:rPr>
          <w:rFonts w:ascii="Verdana" w:hAnsi="Verdana"/>
        </w:rPr>
        <w:t>-7</w:t>
      </w:r>
    </w:p>
    <w:p w:rsidR="009C18E1" w:rsidRPr="00410E4D" w:rsidRDefault="009C18E1" w:rsidP="007C4070">
      <w:pPr>
        <w:spacing w:line="480" w:lineRule="auto"/>
        <w:jc w:val="both"/>
        <w:rPr>
          <w:rFonts w:ascii="Verdana" w:hAnsi="Verdana"/>
        </w:rPr>
      </w:pPr>
      <w:r w:rsidRPr="00410E4D">
        <w:rPr>
          <w:rFonts w:ascii="Verdana" w:hAnsi="Verdana" w:cs="Arial"/>
        </w:rPr>
        <w:t xml:space="preserve">[22] </w:t>
      </w:r>
      <w:r w:rsidRPr="00410E4D">
        <w:rPr>
          <w:rFonts w:ascii="Verdana" w:hAnsi="Verdana"/>
        </w:rPr>
        <w:t xml:space="preserve">T Gorman Frailty </w:t>
      </w:r>
      <w:proofErr w:type="spellStart"/>
      <w:r w:rsidRPr="00410E4D">
        <w:rPr>
          <w:rFonts w:ascii="Verdana" w:hAnsi="Verdana"/>
          <w:i/>
        </w:rPr>
        <w:t>InnovAit</w:t>
      </w:r>
      <w:proofErr w:type="spellEnd"/>
      <w:r w:rsidRPr="00410E4D">
        <w:rPr>
          <w:rFonts w:ascii="Verdana" w:hAnsi="Verdana"/>
        </w:rPr>
        <w:t>, 8 (9) 547-554</w:t>
      </w:r>
    </w:p>
    <w:p w:rsidR="001F2E6B" w:rsidRPr="00410E4D" w:rsidRDefault="001F2E6B" w:rsidP="007C4070">
      <w:pPr>
        <w:spacing w:line="480" w:lineRule="auto"/>
        <w:jc w:val="both"/>
        <w:rPr>
          <w:rFonts w:ascii="Verdana" w:hAnsi="Verdana"/>
        </w:rPr>
      </w:pPr>
      <w:r w:rsidRPr="00410E4D">
        <w:rPr>
          <w:rFonts w:ascii="Verdana" w:hAnsi="Verdana" w:cs="Arial"/>
        </w:rPr>
        <w:t xml:space="preserve">[23] </w:t>
      </w:r>
      <w:r w:rsidRPr="00410E4D">
        <w:rPr>
          <w:rFonts w:ascii="Verdana" w:hAnsi="Verdana"/>
        </w:rPr>
        <w:t>AJ Cruz-</w:t>
      </w:r>
      <w:proofErr w:type="spellStart"/>
      <w:r w:rsidRPr="00410E4D">
        <w:rPr>
          <w:rFonts w:ascii="Verdana" w:hAnsi="Verdana"/>
        </w:rPr>
        <w:t>Jentoft</w:t>
      </w:r>
      <w:proofErr w:type="spellEnd"/>
      <w:r w:rsidRPr="00410E4D">
        <w:rPr>
          <w:rFonts w:ascii="Verdana" w:hAnsi="Verdana"/>
        </w:rPr>
        <w:t xml:space="preserve">, JP </w:t>
      </w:r>
      <w:proofErr w:type="spellStart"/>
      <w:r w:rsidRPr="00410E4D">
        <w:rPr>
          <w:rFonts w:ascii="Verdana" w:hAnsi="Verdana"/>
        </w:rPr>
        <w:t>Baeyens</w:t>
      </w:r>
      <w:proofErr w:type="spellEnd"/>
      <w:r w:rsidRPr="00410E4D">
        <w:rPr>
          <w:rFonts w:ascii="Verdana" w:hAnsi="Verdana"/>
        </w:rPr>
        <w:t xml:space="preserve">, JM Bauer, Y </w:t>
      </w:r>
      <w:proofErr w:type="spellStart"/>
      <w:r w:rsidRPr="00410E4D">
        <w:rPr>
          <w:rFonts w:ascii="Verdana" w:hAnsi="Verdana"/>
        </w:rPr>
        <w:t>Boirie</w:t>
      </w:r>
      <w:proofErr w:type="spellEnd"/>
      <w:r w:rsidRPr="00410E4D">
        <w:rPr>
          <w:rFonts w:ascii="Verdana" w:hAnsi="Verdana"/>
        </w:rPr>
        <w:t xml:space="preserve">, T </w:t>
      </w:r>
      <w:proofErr w:type="spellStart"/>
      <w:r w:rsidRPr="00410E4D">
        <w:rPr>
          <w:rFonts w:ascii="Verdana" w:hAnsi="Verdana"/>
        </w:rPr>
        <w:t>Cederholm</w:t>
      </w:r>
      <w:proofErr w:type="spellEnd"/>
      <w:r w:rsidRPr="00410E4D">
        <w:rPr>
          <w:rFonts w:ascii="Verdana" w:hAnsi="Verdana"/>
        </w:rPr>
        <w:t xml:space="preserve">, F </w:t>
      </w:r>
      <w:proofErr w:type="spellStart"/>
      <w:r w:rsidRPr="00410E4D">
        <w:rPr>
          <w:rFonts w:ascii="Verdana" w:hAnsi="Verdana"/>
        </w:rPr>
        <w:t>Landi</w:t>
      </w:r>
      <w:proofErr w:type="spellEnd"/>
      <w:r w:rsidRPr="00410E4D">
        <w:rPr>
          <w:rFonts w:ascii="Verdana" w:hAnsi="Verdana"/>
        </w:rPr>
        <w:t xml:space="preserve">, FC Martin, JP Michel, Ys Rolland, S M Schneider, E </w:t>
      </w:r>
      <w:proofErr w:type="spellStart"/>
      <w:r w:rsidRPr="00410E4D">
        <w:rPr>
          <w:rFonts w:ascii="Verdana" w:hAnsi="Verdana"/>
        </w:rPr>
        <w:t>Topinková</w:t>
      </w:r>
      <w:proofErr w:type="spellEnd"/>
      <w:r w:rsidRPr="00410E4D">
        <w:rPr>
          <w:rFonts w:ascii="Verdana" w:hAnsi="Verdana"/>
        </w:rPr>
        <w:t xml:space="preserve">, M </w:t>
      </w:r>
      <w:proofErr w:type="spellStart"/>
      <w:r w:rsidRPr="00410E4D">
        <w:rPr>
          <w:rFonts w:ascii="Verdana" w:hAnsi="Verdana"/>
        </w:rPr>
        <w:t>Vandewoude</w:t>
      </w:r>
      <w:proofErr w:type="spellEnd"/>
      <w:r w:rsidRPr="00410E4D">
        <w:rPr>
          <w:rFonts w:ascii="Verdana" w:hAnsi="Verdana"/>
        </w:rPr>
        <w:t xml:space="preserve">, M Zamboni Sarcopenia: European consensus on definition and diagnosis: Report of </w:t>
      </w:r>
      <w:r w:rsidRPr="00410E4D">
        <w:rPr>
          <w:rFonts w:ascii="Verdana" w:hAnsi="Verdana"/>
        </w:rPr>
        <w:lastRenderedPageBreak/>
        <w:t xml:space="preserve">the European Working Group on Sarcopenia in Older People </w:t>
      </w:r>
      <w:r w:rsidRPr="00410E4D">
        <w:rPr>
          <w:rFonts w:ascii="Verdana" w:hAnsi="Verdana"/>
          <w:i/>
        </w:rPr>
        <w:t xml:space="preserve">Age and Ageing </w:t>
      </w:r>
      <w:r w:rsidRPr="00410E4D">
        <w:rPr>
          <w:rFonts w:ascii="Verdana" w:hAnsi="Verdana"/>
        </w:rPr>
        <w:t>2010; 39: 412-423</w:t>
      </w:r>
    </w:p>
    <w:p w:rsidR="004B4429" w:rsidRPr="00410E4D" w:rsidRDefault="004B4429" w:rsidP="007C4070">
      <w:pPr>
        <w:spacing w:line="480" w:lineRule="auto"/>
        <w:jc w:val="both"/>
        <w:rPr>
          <w:rFonts w:ascii="Verdana" w:hAnsi="Verdana"/>
        </w:rPr>
      </w:pPr>
      <w:r w:rsidRPr="00410E4D">
        <w:rPr>
          <w:rFonts w:ascii="Verdana" w:hAnsi="Verdana" w:cs="Arial"/>
        </w:rPr>
        <w:t xml:space="preserve">[24] </w:t>
      </w:r>
      <w:r w:rsidRPr="00410E4D">
        <w:rPr>
          <w:rFonts w:ascii="Verdana" w:hAnsi="Verdana"/>
        </w:rPr>
        <w:t xml:space="preserve">LP Fried, CM </w:t>
      </w:r>
      <w:proofErr w:type="spellStart"/>
      <w:r w:rsidRPr="00410E4D">
        <w:rPr>
          <w:rFonts w:ascii="Verdana" w:hAnsi="Verdana"/>
        </w:rPr>
        <w:t>Tangen</w:t>
      </w:r>
      <w:proofErr w:type="spellEnd"/>
      <w:r w:rsidRPr="00410E4D">
        <w:rPr>
          <w:rFonts w:ascii="Verdana" w:hAnsi="Verdana"/>
        </w:rPr>
        <w:t xml:space="preserve">, J </w:t>
      </w:r>
      <w:proofErr w:type="spellStart"/>
      <w:r w:rsidRPr="00410E4D">
        <w:rPr>
          <w:rFonts w:ascii="Verdana" w:hAnsi="Verdana"/>
        </w:rPr>
        <w:t>Walston</w:t>
      </w:r>
      <w:proofErr w:type="spellEnd"/>
      <w:r w:rsidRPr="00410E4D">
        <w:rPr>
          <w:rFonts w:ascii="Verdana" w:hAnsi="Verdana"/>
        </w:rPr>
        <w:t xml:space="preserve"> Frailty in older adults: evidence for a phenotype. </w:t>
      </w:r>
      <w:r w:rsidRPr="00410E4D">
        <w:rPr>
          <w:rFonts w:ascii="Verdana" w:hAnsi="Verdana"/>
          <w:i/>
        </w:rPr>
        <w:t xml:space="preserve">J </w:t>
      </w:r>
      <w:proofErr w:type="spellStart"/>
      <w:r w:rsidRPr="00410E4D">
        <w:rPr>
          <w:rFonts w:ascii="Verdana" w:hAnsi="Verdana"/>
          <w:i/>
        </w:rPr>
        <w:t>Gerontol</w:t>
      </w:r>
      <w:proofErr w:type="spellEnd"/>
      <w:r w:rsidRPr="00410E4D">
        <w:rPr>
          <w:rFonts w:ascii="Verdana" w:hAnsi="Verdana"/>
          <w:i/>
        </w:rPr>
        <w:t xml:space="preserve"> A </w:t>
      </w:r>
      <w:proofErr w:type="spellStart"/>
      <w:r w:rsidRPr="00410E4D">
        <w:rPr>
          <w:rFonts w:ascii="Verdana" w:hAnsi="Verdana"/>
          <w:i/>
        </w:rPr>
        <w:t>Biol</w:t>
      </w:r>
      <w:proofErr w:type="spellEnd"/>
      <w:r w:rsidRPr="00410E4D">
        <w:rPr>
          <w:rFonts w:ascii="Verdana" w:hAnsi="Verdana"/>
          <w:i/>
        </w:rPr>
        <w:t xml:space="preserve"> </w:t>
      </w:r>
      <w:proofErr w:type="spellStart"/>
      <w:r w:rsidRPr="00410E4D">
        <w:rPr>
          <w:rFonts w:ascii="Verdana" w:hAnsi="Verdana"/>
          <w:i/>
        </w:rPr>
        <w:t>Sci</w:t>
      </w:r>
      <w:proofErr w:type="spellEnd"/>
      <w:r w:rsidRPr="00410E4D">
        <w:rPr>
          <w:rFonts w:ascii="Verdana" w:hAnsi="Verdana"/>
          <w:i/>
        </w:rPr>
        <w:t xml:space="preserve"> Med </w:t>
      </w:r>
      <w:proofErr w:type="spellStart"/>
      <w:r w:rsidRPr="00410E4D">
        <w:rPr>
          <w:rFonts w:ascii="Verdana" w:hAnsi="Verdana"/>
          <w:i/>
        </w:rPr>
        <w:t>Sci</w:t>
      </w:r>
      <w:proofErr w:type="spellEnd"/>
      <w:r w:rsidRPr="00410E4D">
        <w:rPr>
          <w:rFonts w:ascii="Verdana" w:hAnsi="Verdana"/>
        </w:rPr>
        <w:t xml:space="preserve"> 2001; 56: M146–56.</w:t>
      </w:r>
    </w:p>
    <w:p w:rsidR="00486885" w:rsidRPr="00410E4D" w:rsidRDefault="006B4F07" w:rsidP="007C4070">
      <w:pPr>
        <w:spacing w:line="480" w:lineRule="auto"/>
        <w:jc w:val="both"/>
        <w:rPr>
          <w:rFonts w:ascii="Verdana" w:hAnsi="Verdana" w:cs="Arial"/>
        </w:rPr>
      </w:pPr>
      <w:r w:rsidRPr="00410E4D">
        <w:rPr>
          <w:rFonts w:ascii="Verdana" w:hAnsi="Verdana" w:cs="Arial"/>
        </w:rPr>
        <w:t>[25]</w:t>
      </w:r>
      <w:r w:rsidRPr="00410E4D">
        <w:rPr>
          <w:rFonts w:ascii="Verdana" w:hAnsi="Verdana"/>
        </w:rPr>
        <w:t xml:space="preserve"> </w:t>
      </w:r>
      <w:r w:rsidRPr="00410E4D">
        <w:rPr>
          <w:rFonts w:ascii="Verdana" w:hAnsi="Verdana" w:cs="Arial"/>
        </w:rPr>
        <w:t xml:space="preserve">A Clegg, J Young, S </w:t>
      </w:r>
      <w:proofErr w:type="spellStart"/>
      <w:r w:rsidRPr="00410E4D">
        <w:rPr>
          <w:rFonts w:ascii="Verdana" w:hAnsi="Verdana" w:cs="Arial"/>
        </w:rPr>
        <w:t>Iliffe</w:t>
      </w:r>
      <w:proofErr w:type="spellEnd"/>
      <w:r w:rsidRPr="00410E4D">
        <w:rPr>
          <w:rFonts w:ascii="Verdana" w:hAnsi="Verdana" w:cs="Arial"/>
        </w:rPr>
        <w:t xml:space="preserve">, MO </w:t>
      </w:r>
      <w:proofErr w:type="spellStart"/>
      <w:r w:rsidRPr="00410E4D">
        <w:rPr>
          <w:rFonts w:ascii="Verdana" w:hAnsi="Verdana" w:cs="Arial"/>
        </w:rPr>
        <w:t>Rikkert</w:t>
      </w:r>
      <w:proofErr w:type="spellEnd"/>
      <w:r w:rsidRPr="00410E4D">
        <w:rPr>
          <w:rFonts w:ascii="Verdana" w:hAnsi="Verdana" w:cs="Arial"/>
        </w:rPr>
        <w:t>, K Rockwood Frailty in elderly people Lancet Volume 381, No. 9868, p752–762, 2 March 2013</w:t>
      </w:r>
    </w:p>
    <w:p w:rsidR="0020770F" w:rsidRPr="00410E4D" w:rsidRDefault="0020770F" w:rsidP="007C4070">
      <w:pPr>
        <w:spacing w:line="480" w:lineRule="auto"/>
        <w:jc w:val="both"/>
        <w:rPr>
          <w:rFonts w:ascii="Verdana" w:hAnsi="Verdana"/>
        </w:rPr>
      </w:pPr>
      <w:r w:rsidRPr="00410E4D">
        <w:rPr>
          <w:rFonts w:ascii="Verdana" w:hAnsi="Verdana" w:cs="Arial"/>
        </w:rPr>
        <w:t xml:space="preserve">[26] </w:t>
      </w:r>
      <w:r w:rsidRPr="00410E4D">
        <w:rPr>
          <w:rFonts w:ascii="Verdana" w:hAnsi="Verdana"/>
        </w:rPr>
        <w:t xml:space="preserve">HJ Denison, C Cooper, AA Sayer, SM Robinson Prevention and Optimal management of sarcopenia: a review of combined exercise and nutrition interventions to improve muscle outcome in older people. </w:t>
      </w:r>
      <w:r w:rsidRPr="00410E4D">
        <w:rPr>
          <w:rFonts w:ascii="Verdana" w:hAnsi="Verdana"/>
          <w:i/>
        </w:rPr>
        <w:t xml:space="preserve">Clinical Interventions in Aging </w:t>
      </w:r>
      <w:r w:rsidRPr="00410E4D">
        <w:rPr>
          <w:rFonts w:ascii="Verdana" w:hAnsi="Verdana"/>
        </w:rPr>
        <w:t>2015: 10 859-869</w:t>
      </w:r>
    </w:p>
    <w:p w:rsidR="0020770F" w:rsidRPr="00410E4D" w:rsidRDefault="00250F65" w:rsidP="007C4070">
      <w:pPr>
        <w:spacing w:line="480" w:lineRule="auto"/>
        <w:jc w:val="both"/>
        <w:rPr>
          <w:rFonts w:ascii="Verdana" w:hAnsi="Verdana" w:cs="Arial"/>
        </w:rPr>
      </w:pPr>
      <w:r w:rsidRPr="00410E4D">
        <w:rPr>
          <w:rFonts w:ascii="Verdana" w:hAnsi="Verdana" w:cs="Arial"/>
        </w:rPr>
        <w:t xml:space="preserve">[27] TT Dam, KW Peters, M </w:t>
      </w:r>
      <w:proofErr w:type="spellStart"/>
      <w:r w:rsidRPr="00410E4D">
        <w:rPr>
          <w:rFonts w:ascii="Verdana" w:hAnsi="Verdana" w:cs="Arial"/>
        </w:rPr>
        <w:t>Fragala</w:t>
      </w:r>
      <w:proofErr w:type="spellEnd"/>
      <w:r w:rsidRPr="00410E4D">
        <w:rPr>
          <w:rFonts w:ascii="Verdana" w:hAnsi="Verdana" w:cs="Arial"/>
        </w:rPr>
        <w:t xml:space="preserve">, PM. Cawthon, TB Harris, R McLean, M </w:t>
      </w:r>
      <w:proofErr w:type="spellStart"/>
      <w:r w:rsidRPr="00410E4D">
        <w:rPr>
          <w:rFonts w:ascii="Verdana" w:hAnsi="Verdana" w:cs="Arial"/>
        </w:rPr>
        <w:t>Shardell</w:t>
      </w:r>
      <w:proofErr w:type="spellEnd"/>
      <w:r w:rsidRPr="00410E4D">
        <w:rPr>
          <w:rFonts w:ascii="Verdana" w:hAnsi="Verdana" w:cs="Arial"/>
        </w:rPr>
        <w:t xml:space="preserve">, DE Alley, A Kenny, L </w:t>
      </w:r>
      <w:proofErr w:type="spellStart"/>
      <w:r w:rsidRPr="00410E4D">
        <w:rPr>
          <w:rFonts w:ascii="Verdana" w:hAnsi="Verdana" w:cs="Arial"/>
        </w:rPr>
        <w:t>Ferrucci</w:t>
      </w:r>
      <w:proofErr w:type="spellEnd"/>
      <w:r w:rsidRPr="00410E4D">
        <w:rPr>
          <w:rFonts w:ascii="Verdana" w:hAnsi="Verdana" w:cs="Arial"/>
        </w:rPr>
        <w:t xml:space="preserve">, J </w:t>
      </w:r>
      <w:proofErr w:type="spellStart"/>
      <w:r w:rsidRPr="00410E4D">
        <w:rPr>
          <w:rFonts w:ascii="Verdana" w:hAnsi="Verdana" w:cs="Arial"/>
        </w:rPr>
        <w:t>Guralnik</w:t>
      </w:r>
      <w:proofErr w:type="spellEnd"/>
      <w:r w:rsidRPr="00410E4D">
        <w:rPr>
          <w:rFonts w:ascii="Verdana" w:hAnsi="Verdana" w:cs="Arial"/>
        </w:rPr>
        <w:t xml:space="preserve">, DP Kiel, S </w:t>
      </w:r>
      <w:proofErr w:type="spellStart"/>
      <w:r w:rsidRPr="00410E4D">
        <w:rPr>
          <w:rFonts w:ascii="Verdana" w:hAnsi="Verdana" w:cs="Arial"/>
        </w:rPr>
        <w:t>Kritchevsky</w:t>
      </w:r>
      <w:proofErr w:type="spellEnd"/>
      <w:r w:rsidRPr="00410E4D">
        <w:rPr>
          <w:rFonts w:ascii="Verdana" w:hAnsi="Verdana" w:cs="Arial"/>
        </w:rPr>
        <w:t xml:space="preserve">, MT </w:t>
      </w:r>
      <w:proofErr w:type="spellStart"/>
      <w:r w:rsidRPr="00410E4D">
        <w:rPr>
          <w:rFonts w:ascii="Verdana" w:hAnsi="Verdana" w:cs="Arial"/>
        </w:rPr>
        <w:t>Vassileva</w:t>
      </w:r>
      <w:proofErr w:type="spellEnd"/>
      <w:r w:rsidRPr="00410E4D">
        <w:rPr>
          <w:rFonts w:ascii="Verdana" w:hAnsi="Verdana" w:cs="Arial"/>
        </w:rPr>
        <w:t xml:space="preserve"> and S </w:t>
      </w:r>
      <w:proofErr w:type="spellStart"/>
      <w:r w:rsidRPr="00410E4D">
        <w:rPr>
          <w:rFonts w:ascii="Verdana" w:hAnsi="Verdana" w:cs="Arial"/>
        </w:rPr>
        <w:t>Studenski</w:t>
      </w:r>
      <w:proofErr w:type="spellEnd"/>
      <w:r w:rsidRPr="00410E4D">
        <w:rPr>
          <w:rFonts w:ascii="Verdana" w:hAnsi="Verdana" w:cs="Arial"/>
        </w:rPr>
        <w:t xml:space="preserve">. </w:t>
      </w:r>
      <w:proofErr w:type="gramStart"/>
      <w:r w:rsidRPr="00410E4D">
        <w:rPr>
          <w:rFonts w:ascii="Verdana" w:hAnsi="Verdana" w:cs="Arial"/>
        </w:rPr>
        <w:t>An Evidence-Based Comparison of Operational Criteria for the Presence of Sarcopenia.</w:t>
      </w:r>
      <w:proofErr w:type="gramEnd"/>
      <w:r w:rsidRPr="00410E4D">
        <w:rPr>
          <w:rFonts w:ascii="Verdana" w:hAnsi="Verdana" w:cs="Arial"/>
        </w:rPr>
        <w:t xml:space="preserve"> J </w:t>
      </w:r>
      <w:proofErr w:type="spellStart"/>
      <w:r w:rsidRPr="00410E4D">
        <w:rPr>
          <w:rFonts w:ascii="Verdana" w:hAnsi="Verdana" w:cs="Arial"/>
        </w:rPr>
        <w:t>Gerontol</w:t>
      </w:r>
      <w:proofErr w:type="spellEnd"/>
      <w:r w:rsidRPr="00410E4D">
        <w:rPr>
          <w:rFonts w:ascii="Verdana" w:hAnsi="Verdana" w:cs="Arial"/>
        </w:rPr>
        <w:t xml:space="preserve"> A </w:t>
      </w:r>
      <w:proofErr w:type="spellStart"/>
      <w:r w:rsidRPr="00410E4D">
        <w:rPr>
          <w:rFonts w:ascii="Verdana" w:hAnsi="Verdana" w:cs="Arial"/>
        </w:rPr>
        <w:t>Biol</w:t>
      </w:r>
      <w:proofErr w:type="spellEnd"/>
      <w:r w:rsidRPr="00410E4D">
        <w:rPr>
          <w:rFonts w:ascii="Verdana" w:hAnsi="Verdana" w:cs="Arial"/>
        </w:rPr>
        <w:t xml:space="preserve"> </w:t>
      </w:r>
      <w:proofErr w:type="spellStart"/>
      <w:r w:rsidRPr="00410E4D">
        <w:rPr>
          <w:rFonts w:ascii="Verdana" w:hAnsi="Verdana" w:cs="Arial"/>
        </w:rPr>
        <w:t>Sci</w:t>
      </w:r>
      <w:proofErr w:type="spellEnd"/>
      <w:r w:rsidRPr="00410E4D">
        <w:rPr>
          <w:rFonts w:ascii="Verdana" w:hAnsi="Verdana" w:cs="Arial"/>
        </w:rPr>
        <w:t xml:space="preserve"> Med Sci. 2014 May; 69(5): 584–590</w:t>
      </w:r>
    </w:p>
    <w:p w:rsidR="00CF3D83" w:rsidRPr="00410E4D" w:rsidRDefault="00CF3D83" w:rsidP="007C4070">
      <w:pPr>
        <w:spacing w:line="480" w:lineRule="auto"/>
        <w:jc w:val="both"/>
        <w:rPr>
          <w:rFonts w:ascii="Verdana" w:hAnsi="Verdana"/>
        </w:rPr>
      </w:pPr>
      <w:r w:rsidRPr="00410E4D">
        <w:rPr>
          <w:rFonts w:ascii="Verdana" w:hAnsi="Verdana" w:cs="Arial"/>
        </w:rPr>
        <w:t xml:space="preserve">[28] </w:t>
      </w:r>
      <w:r w:rsidRPr="00410E4D">
        <w:rPr>
          <w:rFonts w:ascii="Verdana" w:hAnsi="Verdana"/>
        </w:rPr>
        <w:t xml:space="preserve">L Bianchi, L </w:t>
      </w:r>
      <w:proofErr w:type="spellStart"/>
      <w:r w:rsidRPr="00410E4D">
        <w:rPr>
          <w:rFonts w:ascii="Verdana" w:hAnsi="Verdana"/>
        </w:rPr>
        <w:t>Ferrucci</w:t>
      </w:r>
      <w:proofErr w:type="spellEnd"/>
      <w:r w:rsidRPr="00410E4D">
        <w:rPr>
          <w:rFonts w:ascii="Verdana" w:hAnsi="Verdana"/>
        </w:rPr>
        <w:t xml:space="preserve">, A Cherubini, M Maggio, S </w:t>
      </w:r>
      <w:proofErr w:type="spellStart"/>
      <w:r w:rsidRPr="00410E4D">
        <w:rPr>
          <w:rFonts w:ascii="Verdana" w:hAnsi="Verdana"/>
        </w:rPr>
        <w:t>Bandinelli</w:t>
      </w:r>
      <w:proofErr w:type="spellEnd"/>
      <w:r w:rsidRPr="00410E4D">
        <w:rPr>
          <w:rFonts w:ascii="Verdana" w:hAnsi="Verdana"/>
        </w:rPr>
        <w:t xml:space="preserve">, E </w:t>
      </w:r>
      <w:proofErr w:type="spellStart"/>
      <w:r w:rsidRPr="00410E4D">
        <w:rPr>
          <w:rFonts w:ascii="Verdana" w:hAnsi="Verdana"/>
        </w:rPr>
        <w:t>Savino</w:t>
      </w:r>
      <w:proofErr w:type="spellEnd"/>
      <w:r w:rsidRPr="00410E4D">
        <w:rPr>
          <w:rFonts w:ascii="Verdana" w:hAnsi="Verdana"/>
        </w:rPr>
        <w:t xml:space="preserve">, G </w:t>
      </w:r>
      <w:proofErr w:type="spellStart"/>
      <w:r w:rsidRPr="00410E4D">
        <w:rPr>
          <w:rFonts w:ascii="Verdana" w:hAnsi="Verdana"/>
        </w:rPr>
        <w:t>Brombo</w:t>
      </w:r>
      <w:proofErr w:type="spellEnd"/>
      <w:r w:rsidRPr="00410E4D">
        <w:rPr>
          <w:rFonts w:ascii="Verdana" w:hAnsi="Verdana"/>
        </w:rPr>
        <w:t xml:space="preserve">, G </w:t>
      </w:r>
      <w:proofErr w:type="spellStart"/>
      <w:r w:rsidRPr="00410E4D">
        <w:rPr>
          <w:rFonts w:ascii="Verdana" w:hAnsi="Verdana"/>
        </w:rPr>
        <w:t>Zuliani</w:t>
      </w:r>
      <w:proofErr w:type="spellEnd"/>
      <w:r w:rsidRPr="00410E4D">
        <w:rPr>
          <w:rFonts w:ascii="Verdana" w:hAnsi="Verdana"/>
        </w:rPr>
        <w:t xml:space="preserve">, JM </w:t>
      </w:r>
      <w:proofErr w:type="spellStart"/>
      <w:r w:rsidRPr="00410E4D">
        <w:rPr>
          <w:rFonts w:ascii="Verdana" w:hAnsi="Verdana"/>
        </w:rPr>
        <w:t>Guralnik</w:t>
      </w:r>
      <w:proofErr w:type="spellEnd"/>
      <w:r w:rsidRPr="00410E4D">
        <w:rPr>
          <w:rFonts w:ascii="Verdana" w:hAnsi="Verdana"/>
        </w:rPr>
        <w:t xml:space="preserve">, F </w:t>
      </w:r>
      <w:proofErr w:type="spellStart"/>
      <w:r w:rsidRPr="00410E4D">
        <w:rPr>
          <w:rFonts w:ascii="Verdana" w:hAnsi="Verdana"/>
        </w:rPr>
        <w:t>Landi</w:t>
      </w:r>
      <w:proofErr w:type="spellEnd"/>
      <w:r w:rsidRPr="00410E4D">
        <w:rPr>
          <w:rFonts w:ascii="Verdana" w:hAnsi="Verdana"/>
        </w:rPr>
        <w:t xml:space="preserve">, and S </w:t>
      </w:r>
      <w:proofErr w:type="spellStart"/>
      <w:r w:rsidRPr="00410E4D">
        <w:rPr>
          <w:rFonts w:ascii="Verdana" w:hAnsi="Verdana"/>
        </w:rPr>
        <w:t>Volpato</w:t>
      </w:r>
      <w:proofErr w:type="spellEnd"/>
      <w:r w:rsidRPr="00410E4D">
        <w:rPr>
          <w:rFonts w:ascii="Verdana" w:hAnsi="Verdana"/>
        </w:rPr>
        <w:t xml:space="preserve">. The Predictive Value of the EWGSOP Definition of Sarcopenia: Results From the </w:t>
      </w:r>
      <w:proofErr w:type="spellStart"/>
      <w:r w:rsidRPr="00410E4D">
        <w:rPr>
          <w:rFonts w:ascii="Verdana" w:hAnsi="Verdana"/>
        </w:rPr>
        <w:t>InCHIANTI</w:t>
      </w:r>
      <w:proofErr w:type="spellEnd"/>
      <w:r w:rsidRPr="00410E4D">
        <w:rPr>
          <w:rFonts w:ascii="Verdana" w:hAnsi="Verdana"/>
        </w:rPr>
        <w:t xml:space="preserve"> Study </w:t>
      </w:r>
      <w:r w:rsidRPr="00410E4D">
        <w:rPr>
          <w:rFonts w:ascii="Verdana" w:hAnsi="Verdana"/>
          <w:i/>
        </w:rPr>
        <w:t xml:space="preserve">J </w:t>
      </w:r>
      <w:proofErr w:type="spellStart"/>
      <w:r w:rsidRPr="00410E4D">
        <w:rPr>
          <w:rFonts w:ascii="Verdana" w:hAnsi="Verdana"/>
          <w:i/>
        </w:rPr>
        <w:t>Gerontol</w:t>
      </w:r>
      <w:proofErr w:type="spellEnd"/>
      <w:r w:rsidRPr="00410E4D">
        <w:rPr>
          <w:rFonts w:ascii="Verdana" w:hAnsi="Verdana"/>
          <w:i/>
        </w:rPr>
        <w:t xml:space="preserve"> </w:t>
      </w:r>
      <w:proofErr w:type="gramStart"/>
      <w:r w:rsidRPr="00410E4D">
        <w:rPr>
          <w:rFonts w:ascii="Verdana" w:hAnsi="Verdana"/>
          <w:i/>
        </w:rPr>
        <w:t>A</w:t>
      </w:r>
      <w:proofErr w:type="gramEnd"/>
      <w:r w:rsidRPr="00410E4D">
        <w:rPr>
          <w:rFonts w:ascii="Verdana" w:hAnsi="Verdana"/>
          <w:i/>
        </w:rPr>
        <w:t xml:space="preserve"> </w:t>
      </w:r>
      <w:proofErr w:type="spellStart"/>
      <w:r w:rsidRPr="00410E4D">
        <w:rPr>
          <w:rFonts w:ascii="Verdana" w:hAnsi="Verdana"/>
          <w:i/>
        </w:rPr>
        <w:t>Biol</w:t>
      </w:r>
      <w:proofErr w:type="spellEnd"/>
      <w:r w:rsidRPr="00410E4D">
        <w:rPr>
          <w:rFonts w:ascii="Verdana" w:hAnsi="Verdana"/>
          <w:i/>
        </w:rPr>
        <w:t xml:space="preserve"> </w:t>
      </w:r>
      <w:proofErr w:type="spellStart"/>
      <w:r w:rsidRPr="00410E4D">
        <w:rPr>
          <w:rFonts w:ascii="Verdana" w:hAnsi="Verdana"/>
          <w:i/>
        </w:rPr>
        <w:t>Sci</w:t>
      </w:r>
      <w:proofErr w:type="spellEnd"/>
      <w:r w:rsidRPr="00410E4D">
        <w:rPr>
          <w:rFonts w:ascii="Verdana" w:hAnsi="Verdana"/>
          <w:i/>
        </w:rPr>
        <w:t xml:space="preserve"> Med </w:t>
      </w:r>
      <w:proofErr w:type="spellStart"/>
      <w:r w:rsidRPr="00410E4D">
        <w:rPr>
          <w:rFonts w:ascii="Verdana" w:hAnsi="Verdana"/>
          <w:i/>
        </w:rPr>
        <w:t>Sci</w:t>
      </w:r>
      <w:proofErr w:type="spellEnd"/>
      <w:r w:rsidRPr="00410E4D">
        <w:rPr>
          <w:rFonts w:ascii="Verdana" w:hAnsi="Verdana"/>
          <w:i/>
        </w:rPr>
        <w:t xml:space="preserve">, </w:t>
      </w:r>
      <w:r w:rsidRPr="00410E4D">
        <w:rPr>
          <w:rFonts w:ascii="Verdana" w:hAnsi="Verdana"/>
        </w:rPr>
        <w:t>2016, Vol 71, No. 2, 259 – 264</w:t>
      </w:r>
    </w:p>
    <w:p w:rsidR="005C3EC3" w:rsidRPr="00410E4D" w:rsidRDefault="005C3EC3" w:rsidP="007C4070">
      <w:pPr>
        <w:spacing w:line="480" w:lineRule="auto"/>
        <w:jc w:val="both"/>
        <w:rPr>
          <w:rFonts w:ascii="Verdana" w:hAnsi="Verdana"/>
        </w:rPr>
      </w:pPr>
      <w:r w:rsidRPr="00410E4D">
        <w:rPr>
          <w:rFonts w:ascii="Verdana" w:hAnsi="Verdana" w:cs="Arial"/>
        </w:rPr>
        <w:t xml:space="preserve">[29] </w:t>
      </w:r>
      <w:r w:rsidRPr="00410E4D">
        <w:rPr>
          <w:rFonts w:ascii="Verdana" w:hAnsi="Verdana"/>
        </w:rPr>
        <w:t xml:space="preserve">T </w:t>
      </w:r>
      <w:proofErr w:type="spellStart"/>
      <w:r w:rsidRPr="00410E4D">
        <w:rPr>
          <w:rFonts w:ascii="Verdana" w:hAnsi="Verdana"/>
        </w:rPr>
        <w:t>Akune</w:t>
      </w:r>
      <w:proofErr w:type="spellEnd"/>
      <w:r w:rsidRPr="00410E4D">
        <w:rPr>
          <w:rFonts w:ascii="Verdana" w:hAnsi="Verdana"/>
        </w:rPr>
        <w:t xml:space="preserve">, S </w:t>
      </w:r>
      <w:proofErr w:type="spellStart"/>
      <w:r w:rsidRPr="00410E4D">
        <w:rPr>
          <w:rFonts w:ascii="Verdana" w:hAnsi="Verdana"/>
        </w:rPr>
        <w:t>Muraki</w:t>
      </w:r>
      <w:proofErr w:type="spellEnd"/>
      <w:r w:rsidRPr="00410E4D">
        <w:rPr>
          <w:rFonts w:ascii="Verdana" w:hAnsi="Verdana"/>
        </w:rPr>
        <w:t xml:space="preserve">, H Oka, S Tanaka, H Kawaguchi, K Nakamura, N Yoshimura. Exercise habits during middle age are associated with lower prevalence of </w:t>
      </w:r>
      <w:proofErr w:type="gramStart"/>
      <w:r w:rsidRPr="00410E4D">
        <w:rPr>
          <w:rFonts w:ascii="Verdana" w:hAnsi="Verdana"/>
        </w:rPr>
        <w:t>sarcopenia :</w:t>
      </w:r>
      <w:proofErr w:type="gramEnd"/>
      <w:r w:rsidRPr="00410E4D">
        <w:rPr>
          <w:rFonts w:ascii="Verdana" w:hAnsi="Verdana"/>
        </w:rPr>
        <w:t xml:space="preserve"> the ROAD study. Osteoporos </w:t>
      </w:r>
      <w:proofErr w:type="spellStart"/>
      <w:r w:rsidRPr="00410E4D">
        <w:rPr>
          <w:rFonts w:ascii="Verdana" w:hAnsi="Verdana"/>
          <w:i/>
        </w:rPr>
        <w:t>Int</w:t>
      </w:r>
      <w:proofErr w:type="spellEnd"/>
      <w:r w:rsidRPr="00410E4D">
        <w:rPr>
          <w:rFonts w:ascii="Verdana" w:hAnsi="Verdana"/>
          <w:i/>
        </w:rPr>
        <w:t xml:space="preserve"> </w:t>
      </w:r>
      <w:r w:rsidRPr="00410E4D">
        <w:rPr>
          <w:rFonts w:ascii="Verdana" w:hAnsi="Verdana"/>
        </w:rPr>
        <w:t>(2014) 25: 1081-1088</w:t>
      </w:r>
    </w:p>
    <w:p w:rsidR="00984AA9" w:rsidRPr="00410E4D" w:rsidRDefault="00984AA9" w:rsidP="007C4070">
      <w:pPr>
        <w:spacing w:line="480" w:lineRule="auto"/>
        <w:jc w:val="both"/>
        <w:rPr>
          <w:rFonts w:ascii="Verdana" w:hAnsi="Verdana"/>
        </w:rPr>
      </w:pPr>
      <w:r w:rsidRPr="00410E4D">
        <w:rPr>
          <w:rFonts w:ascii="Verdana" w:hAnsi="Verdana" w:cs="Arial"/>
        </w:rPr>
        <w:lastRenderedPageBreak/>
        <w:t xml:space="preserve">[30] </w:t>
      </w:r>
      <w:r w:rsidRPr="00410E4D">
        <w:rPr>
          <w:rFonts w:ascii="Verdana" w:hAnsi="Verdana"/>
        </w:rPr>
        <w:t xml:space="preserve">RR McLean and DP Kiel Developing Consensus Criteria for Sarcopenia: An Update </w:t>
      </w:r>
      <w:r w:rsidRPr="00410E4D">
        <w:rPr>
          <w:rFonts w:ascii="Verdana" w:hAnsi="Verdana"/>
          <w:i/>
        </w:rPr>
        <w:t xml:space="preserve">Journal of Bone and Mineral Research, </w:t>
      </w:r>
      <w:r w:rsidRPr="00410E4D">
        <w:rPr>
          <w:rFonts w:ascii="Verdana" w:hAnsi="Verdana"/>
        </w:rPr>
        <w:t>Vol. 30, No. 4, Aril 2015, pp 588-592</w:t>
      </w:r>
    </w:p>
    <w:p w:rsidR="00750443" w:rsidRPr="00410E4D" w:rsidRDefault="00750443" w:rsidP="007C4070">
      <w:pPr>
        <w:spacing w:line="480" w:lineRule="auto"/>
        <w:jc w:val="both"/>
        <w:rPr>
          <w:rFonts w:ascii="Verdana" w:hAnsi="Verdana"/>
        </w:rPr>
      </w:pPr>
      <w:r w:rsidRPr="00410E4D">
        <w:rPr>
          <w:rFonts w:ascii="Verdana" w:hAnsi="Verdana" w:cs="Arial"/>
        </w:rPr>
        <w:t xml:space="preserve">[31] </w:t>
      </w:r>
      <w:r w:rsidRPr="00410E4D">
        <w:rPr>
          <w:rFonts w:ascii="Verdana" w:hAnsi="Verdana"/>
        </w:rPr>
        <w:t xml:space="preserve">R Cooper, D Bann, EG </w:t>
      </w:r>
      <w:proofErr w:type="spellStart"/>
      <w:r w:rsidRPr="00410E4D">
        <w:rPr>
          <w:rFonts w:ascii="Verdana" w:hAnsi="Verdana"/>
        </w:rPr>
        <w:t>Wloch</w:t>
      </w:r>
      <w:proofErr w:type="spellEnd"/>
      <w:r w:rsidRPr="00410E4D">
        <w:rPr>
          <w:rFonts w:ascii="Verdana" w:hAnsi="Verdana"/>
        </w:rPr>
        <w:t xml:space="preserve">, JE Adams and D Kuh “Skeletal Muscle Function Deficit” in </w:t>
      </w:r>
      <w:proofErr w:type="gramStart"/>
      <w:r w:rsidRPr="00410E4D">
        <w:rPr>
          <w:rFonts w:ascii="Verdana" w:hAnsi="Verdana"/>
        </w:rPr>
        <w:t>A</w:t>
      </w:r>
      <w:proofErr w:type="gramEnd"/>
      <w:r w:rsidRPr="00410E4D">
        <w:rPr>
          <w:rFonts w:ascii="Verdana" w:hAnsi="Verdana"/>
        </w:rPr>
        <w:t xml:space="preserve"> Nationally Representative British Birth Cohort in Early Old Age </w:t>
      </w:r>
      <w:r w:rsidRPr="00410E4D">
        <w:rPr>
          <w:rFonts w:ascii="Verdana" w:hAnsi="Verdana"/>
          <w:i/>
        </w:rPr>
        <w:t xml:space="preserve">Journals of Gerontology: MEDICAL SCIENCES, </w:t>
      </w:r>
      <w:r w:rsidRPr="00410E4D">
        <w:rPr>
          <w:rFonts w:ascii="Verdana" w:hAnsi="Verdana"/>
        </w:rPr>
        <w:t>2015, 604-607</w:t>
      </w:r>
    </w:p>
    <w:p w:rsidR="00CF3D83" w:rsidRPr="00410E4D" w:rsidRDefault="00306F80" w:rsidP="007C4070">
      <w:pPr>
        <w:spacing w:line="480" w:lineRule="auto"/>
        <w:jc w:val="both"/>
        <w:rPr>
          <w:rFonts w:ascii="Verdana" w:hAnsi="Verdana" w:cs="Arial"/>
        </w:rPr>
      </w:pPr>
      <w:r w:rsidRPr="00410E4D">
        <w:rPr>
          <w:rFonts w:ascii="Verdana" w:hAnsi="Verdana" w:cs="Arial"/>
        </w:rPr>
        <w:t xml:space="preserve">[32] M </w:t>
      </w:r>
      <w:proofErr w:type="spellStart"/>
      <w:r w:rsidRPr="00410E4D">
        <w:rPr>
          <w:rFonts w:ascii="Verdana" w:hAnsi="Verdana" w:cs="Arial"/>
        </w:rPr>
        <w:t>Muscaritoli</w:t>
      </w:r>
      <w:proofErr w:type="spellEnd"/>
      <w:r w:rsidRPr="00410E4D">
        <w:rPr>
          <w:rFonts w:ascii="Verdana" w:hAnsi="Verdana" w:cs="Arial"/>
        </w:rPr>
        <w:t xml:space="preserve">, SD </w:t>
      </w:r>
      <w:proofErr w:type="spellStart"/>
      <w:r w:rsidRPr="00410E4D">
        <w:rPr>
          <w:rFonts w:ascii="Verdana" w:hAnsi="Verdana" w:cs="Arial"/>
        </w:rPr>
        <w:t>Anke</w:t>
      </w:r>
      <w:proofErr w:type="spellEnd"/>
      <w:r w:rsidRPr="00410E4D">
        <w:rPr>
          <w:rFonts w:ascii="Verdana" w:hAnsi="Verdana" w:cs="Arial"/>
        </w:rPr>
        <w:t xml:space="preserve">,  J </w:t>
      </w:r>
      <w:proofErr w:type="spellStart"/>
      <w:r w:rsidRPr="00410E4D">
        <w:rPr>
          <w:rFonts w:ascii="Verdana" w:hAnsi="Verdana" w:cs="Arial"/>
        </w:rPr>
        <w:t>Argilés</w:t>
      </w:r>
      <w:proofErr w:type="spellEnd"/>
      <w:r w:rsidRPr="00410E4D">
        <w:rPr>
          <w:rFonts w:ascii="Verdana" w:hAnsi="Verdana" w:cs="Arial"/>
        </w:rPr>
        <w:t xml:space="preserve">, Z. Aversa, JM Bauer, G </w:t>
      </w:r>
      <w:proofErr w:type="spellStart"/>
      <w:r w:rsidRPr="00410E4D">
        <w:rPr>
          <w:rFonts w:ascii="Verdana" w:hAnsi="Verdana" w:cs="Arial"/>
        </w:rPr>
        <w:t>Biolo</w:t>
      </w:r>
      <w:proofErr w:type="spellEnd"/>
      <w:r w:rsidRPr="00410E4D">
        <w:rPr>
          <w:rFonts w:ascii="Verdana" w:hAnsi="Verdana" w:cs="Arial"/>
        </w:rPr>
        <w:t xml:space="preserve">, Y </w:t>
      </w:r>
      <w:proofErr w:type="spellStart"/>
      <w:r w:rsidRPr="00410E4D">
        <w:rPr>
          <w:rFonts w:ascii="Verdana" w:hAnsi="Verdana" w:cs="Arial"/>
        </w:rPr>
        <w:t>Boirie</w:t>
      </w:r>
      <w:proofErr w:type="spellEnd"/>
      <w:r w:rsidRPr="00410E4D">
        <w:rPr>
          <w:rFonts w:ascii="Verdana" w:hAnsi="Verdana" w:cs="Arial"/>
        </w:rPr>
        <w:t xml:space="preserve">, I </w:t>
      </w:r>
      <w:proofErr w:type="spellStart"/>
      <w:r w:rsidRPr="00410E4D">
        <w:rPr>
          <w:rFonts w:ascii="Verdana" w:hAnsi="Verdana" w:cs="Arial"/>
        </w:rPr>
        <w:t>Bosaeus</w:t>
      </w:r>
      <w:proofErr w:type="spellEnd"/>
      <w:r w:rsidRPr="00410E4D">
        <w:rPr>
          <w:rFonts w:ascii="Verdana" w:hAnsi="Verdana" w:cs="Arial"/>
        </w:rPr>
        <w:t xml:space="preserve">, T </w:t>
      </w:r>
      <w:proofErr w:type="spellStart"/>
      <w:r w:rsidRPr="00410E4D">
        <w:rPr>
          <w:rFonts w:ascii="Verdana" w:hAnsi="Verdana" w:cs="Arial"/>
        </w:rPr>
        <w:t>Cederholm</w:t>
      </w:r>
      <w:proofErr w:type="spellEnd"/>
      <w:r w:rsidRPr="00410E4D">
        <w:rPr>
          <w:rFonts w:ascii="Verdana" w:hAnsi="Verdana" w:cs="Arial"/>
        </w:rPr>
        <w:t xml:space="preserve">, P </w:t>
      </w:r>
      <w:proofErr w:type="spellStart"/>
      <w:r w:rsidRPr="00410E4D">
        <w:rPr>
          <w:rFonts w:ascii="Verdana" w:hAnsi="Verdana" w:cs="Arial"/>
        </w:rPr>
        <w:t>Costelli</w:t>
      </w:r>
      <w:proofErr w:type="spellEnd"/>
      <w:r w:rsidRPr="00410E4D">
        <w:rPr>
          <w:rFonts w:ascii="Verdana" w:hAnsi="Verdana" w:cs="Arial"/>
        </w:rPr>
        <w:t xml:space="preserve">, KC </w:t>
      </w:r>
      <w:proofErr w:type="spellStart"/>
      <w:r w:rsidRPr="00410E4D">
        <w:rPr>
          <w:rFonts w:ascii="Verdana" w:hAnsi="Verdana" w:cs="Arial"/>
        </w:rPr>
        <w:t>Fearon</w:t>
      </w:r>
      <w:proofErr w:type="spellEnd"/>
      <w:r w:rsidRPr="00410E4D">
        <w:rPr>
          <w:rFonts w:ascii="Verdana" w:hAnsi="Verdana" w:cs="Arial"/>
        </w:rPr>
        <w:t xml:space="preserve">, A </w:t>
      </w:r>
      <w:proofErr w:type="spellStart"/>
      <w:r w:rsidRPr="00410E4D">
        <w:rPr>
          <w:rFonts w:ascii="Verdana" w:hAnsi="Verdana" w:cs="Arial"/>
        </w:rPr>
        <w:t>Laviano</w:t>
      </w:r>
      <w:proofErr w:type="spellEnd"/>
      <w:r w:rsidRPr="00410E4D">
        <w:rPr>
          <w:rFonts w:ascii="Verdana" w:hAnsi="Verdana" w:cs="Arial"/>
        </w:rPr>
        <w:t xml:space="preserve">, M Maggio, FR </w:t>
      </w:r>
      <w:proofErr w:type="spellStart"/>
      <w:r w:rsidRPr="00410E4D">
        <w:rPr>
          <w:rFonts w:ascii="Verdana" w:hAnsi="Verdana" w:cs="Arial"/>
        </w:rPr>
        <w:t>Fanelli</w:t>
      </w:r>
      <w:proofErr w:type="spellEnd"/>
      <w:r w:rsidRPr="00410E4D">
        <w:rPr>
          <w:rFonts w:ascii="Verdana" w:hAnsi="Verdana" w:cs="Arial"/>
        </w:rPr>
        <w:t xml:space="preserve">, SM Schneider, A </w:t>
      </w:r>
      <w:proofErr w:type="spellStart"/>
      <w:r w:rsidRPr="00410E4D">
        <w:rPr>
          <w:rFonts w:ascii="Verdana" w:hAnsi="Verdana" w:cs="Arial"/>
        </w:rPr>
        <w:t>Schols</w:t>
      </w:r>
      <w:proofErr w:type="spellEnd"/>
      <w:r w:rsidRPr="00410E4D">
        <w:rPr>
          <w:rFonts w:ascii="Verdana" w:hAnsi="Verdana" w:cs="Arial"/>
        </w:rPr>
        <w:t xml:space="preserve">, C.C. </w:t>
      </w:r>
      <w:proofErr w:type="spellStart"/>
      <w:r w:rsidRPr="00410E4D">
        <w:rPr>
          <w:rFonts w:ascii="Verdana" w:hAnsi="Verdana" w:cs="Arial"/>
        </w:rPr>
        <w:t>Sieber</w:t>
      </w:r>
      <w:proofErr w:type="spellEnd"/>
      <w:r w:rsidRPr="00410E4D">
        <w:rPr>
          <w:rFonts w:ascii="Verdana" w:hAnsi="Verdana" w:cs="Arial"/>
        </w:rPr>
        <w:t>. Consensus definition of sarcopenia, cachexia and pre-cachexia: Joint document elaborated by Special Interest Groups (SIG) “cachexia-anorexia in chronic wasting diseases” and “nutrition in geriatrics</w:t>
      </w:r>
      <w:proofErr w:type="gramStart"/>
      <w:r w:rsidRPr="00410E4D">
        <w:rPr>
          <w:rFonts w:ascii="Verdana" w:hAnsi="Verdana" w:cs="Arial"/>
        </w:rPr>
        <w:t>”  Clinical</w:t>
      </w:r>
      <w:proofErr w:type="gramEnd"/>
      <w:r w:rsidRPr="00410E4D">
        <w:rPr>
          <w:rFonts w:ascii="Verdana" w:hAnsi="Verdana" w:cs="Arial"/>
        </w:rPr>
        <w:t xml:space="preserve"> Nutrition Volume 29, Issue 2, April 2010, Pages 154–159</w:t>
      </w:r>
    </w:p>
    <w:p w:rsidR="00E41918" w:rsidRPr="00410E4D" w:rsidRDefault="00E41918" w:rsidP="007C4070">
      <w:pPr>
        <w:spacing w:line="480" w:lineRule="auto"/>
        <w:rPr>
          <w:rFonts w:ascii="Verdana" w:hAnsi="Verdana"/>
        </w:rPr>
      </w:pPr>
      <w:r w:rsidRPr="00410E4D">
        <w:rPr>
          <w:rFonts w:ascii="Verdana" w:hAnsi="Verdana" w:cs="Arial"/>
        </w:rPr>
        <w:t xml:space="preserve">[33] </w:t>
      </w:r>
      <w:r w:rsidRPr="00410E4D">
        <w:rPr>
          <w:rFonts w:ascii="Verdana" w:hAnsi="Verdana"/>
        </w:rPr>
        <w:t xml:space="preserve">M </w:t>
      </w:r>
      <w:proofErr w:type="spellStart"/>
      <w:r w:rsidRPr="00410E4D">
        <w:rPr>
          <w:rFonts w:ascii="Verdana" w:hAnsi="Verdana"/>
        </w:rPr>
        <w:t>Muscaritoli</w:t>
      </w:r>
      <w:proofErr w:type="spellEnd"/>
      <w:r w:rsidRPr="00410E4D">
        <w:rPr>
          <w:rFonts w:ascii="Verdana" w:hAnsi="Verdana"/>
        </w:rPr>
        <w:t xml:space="preserve">, SD </w:t>
      </w:r>
      <w:proofErr w:type="spellStart"/>
      <w:r w:rsidRPr="00410E4D">
        <w:rPr>
          <w:rFonts w:ascii="Verdana" w:hAnsi="Verdana"/>
        </w:rPr>
        <w:t>Anke</w:t>
      </w:r>
      <w:proofErr w:type="spellEnd"/>
      <w:r w:rsidRPr="00410E4D">
        <w:rPr>
          <w:rFonts w:ascii="Verdana" w:hAnsi="Verdana"/>
        </w:rPr>
        <w:t xml:space="preserve">,  J </w:t>
      </w:r>
      <w:proofErr w:type="spellStart"/>
      <w:r w:rsidRPr="00410E4D">
        <w:rPr>
          <w:rFonts w:ascii="Verdana" w:hAnsi="Verdana"/>
        </w:rPr>
        <w:t>Argilés</w:t>
      </w:r>
      <w:proofErr w:type="spellEnd"/>
      <w:r w:rsidRPr="00410E4D">
        <w:rPr>
          <w:rFonts w:ascii="Verdana" w:hAnsi="Verdana"/>
        </w:rPr>
        <w:t xml:space="preserve">, Z. Aversa, JM Bauer, G </w:t>
      </w:r>
      <w:proofErr w:type="spellStart"/>
      <w:r w:rsidRPr="00410E4D">
        <w:rPr>
          <w:rFonts w:ascii="Verdana" w:hAnsi="Verdana"/>
        </w:rPr>
        <w:t>Biolo</w:t>
      </w:r>
      <w:proofErr w:type="spellEnd"/>
      <w:r w:rsidRPr="00410E4D">
        <w:rPr>
          <w:rFonts w:ascii="Verdana" w:hAnsi="Verdana"/>
        </w:rPr>
        <w:t xml:space="preserve">, Y </w:t>
      </w:r>
      <w:proofErr w:type="spellStart"/>
      <w:r w:rsidRPr="00410E4D">
        <w:rPr>
          <w:rFonts w:ascii="Verdana" w:hAnsi="Verdana"/>
        </w:rPr>
        <w:t>Boirie</w:t>
      </w:r>
      <w:proofErr w:type="spellEnd"/>
      <w:r w:rsidRPr="00410E4D">
        <w:rPr>
          <w:rFonts w:ascii="Verdana" w:hAnsi="Verdana"/>
        </w:rPr>
        <w:t xml:space="preserve">, I </w:t>
      </w:r>
      <w:proofErr w:type="spellStart"/>
      <w:r w:rsidRPr="00410E4D">
        <w:rPr>
          <w:rFonts w:ascii="Verdana" w:hAnsi="Verdana"/>
        </w:rPr>
        <w:t>Bosaeus</w:t>
      </w:r>
      <w:proofErr w:type="spellEnd"/>
      <w:r w:rsidRPr="00410E4D">
        <w:rPr>
          <w:rFonts w:ascii="Verdana" w:hAnsi="Verdana"/>
        </w:rPr>
        <w:t xml:space="preserve">, T </w:t>
      </w:r>
      <w:proofErr w:type="spellStart"/>
      <w:r w:rsidRPr="00410E4D">
        <w:rPr>
          <w:rFonts w:ascii="Verdana" w:hAnsi="Verdana"/>
        </w:rPr>
        <w:t>Cederholm</w:t>
      </w:r>
      <w:proofErr w:type="spellEnd"/>
      <w:r w:rsidRPr="00410E4D">
        <w:rPr>
          <w:rFonts w:ascii="Verdana" w:hAnsi="Verdana"/>
        </w:rPr>
        <w:t xml:space="preserve">, P </w:t>
      </w:r>
      <w:proofErr w:type="spellStart"/>
      <w:r w:rsidRPr="00410E4D">
        <w:rPr>
          <w:rFonts w:ascii="Verdana" w:hAnsi="Verdana"/>
        </w:rPr>
        <w:t>Costelli</w:t>
      </w:r>
      <w:proofErr w:type="spellEnd"/>
      <w:r w:rsidRPr="00410E4D">
        <w:rPr>
          <w:rFonts w:ascii="Verdana" w:hAnsi="Verdana"/>
        </w:rPr>
        <w:t xml:space="preserve">, KC </w:t>
      </w:r>
      <w:proofErr w:type="spellStart"/>
      <w:r w:rsidRPr="00410E4D">
        <w:rPr>
          <w:rFonts w:ascii="Verdana" w:hAnsi="Verdana"/>
        </w:rPr>
        <w:t>Fearon</w:t>
      </w:r>
      <w:proofErr w:type="spellEnd"/>
      <w:r w:rsidRPr="00410E4D">
        <w:rPr>
          <w:rFonts w:ascii="Verdana" w:hAnsi="Verdana"/>
        </w:rPr>
        <w:t xml:space="preserve">, A </w:t>
      </w:r>
      <w:proofErr w:type="spellStart"/>
      <w:r w:rsidRPr="00410E4D">
        <w:rPr>
          <w:rFonts w:ascii="Verdana" w:hAnsi="Verdana"/>
        </w:rPr>
        <w:t>Laviano</w:t>
      </w:r>
      <w:proofErr w:type="spellEnd"/>
      <w:r w:rsidRPr="00410E4D">
        <w:rPr>
          <w:rFonts w:ascii="Verdana" w:hAnsi="Verdana"/>
        </w:rPr>
        <w:t xml:space="preserve">, M Maggio, FR </w:t>
      </w:r>
      <w:proofErr w:type="spellStart"/>
      <w:r w:rsidRPr="00410E4D">
        <w:rPr>
          <w:rFonts w:ascii="Verdana" w:hAnsi="Verdana"/>
        </w:rPr>
        <w:t>Fanelli</w:t>
      </w:r>
      <w:proofErr w:type="spellEnd"/>
      <w:r w:rsidRPr="00410E4D">
        <w:rPr>
          <w:rFonts w:ascii="Verdana" w:hAnsi="Verdana"/>
        </w:rPr>
        <w:t xml:space="preserve">, SM Schneider, A </w:t>
      </w:r>
      <w:proofErr w:type="spellStart"/>
      <w:r w:rsidRPr="00410E4D">
        <w:rPr>
          <w:rFonts w:ascii="Verdana" w:hAnsi="Verdana"/>
        </w:rPr>
        <w:t>Schols</w:t>
      </w:r>
      <w:proofErr w:type="spellEnd"/>
      <w:r w:rsidRPr="00410E4D">
        <w:rPr>
          <w:rFonts w:ascii="Verdana" w:hAnsi="Verdana"/>
        </w:rPr>
        <w:t xml:space="preserve">, C.C. </w:t>
      </w:r>
      <w:proofErr w:type="spellStart"/>
      <w:r w:rsidRPr="00410E4D">
        <w:rPr>
          <w:rFonts w:ascii="Verdana" w:hAnsi="Verdana"/>
        </w:rPr>
        <w:t>Sieber</w:t>
      </w:r>
      <w:proofErr w:type="spellEnd"/>
      <w:r w:rsidRPr="00410E4D">
        <w:rPr>
          <w:rFonts w:ascii="Verdana" w:hAnsi="Verdana"/>
        </w:rPr>
        <w:t>. Consensus definition of sarcopenia, cachexia and pre-cachexia: Joint document elaborated by Special Interest Groups (SIG) “cachexia-anorexia in chronic wasting diseases” and “nutrition in geriatrics</w:t>
      </w:r>
      <w:proofErr w:type="gramStart"/>
      <w:r w:rsidRPr="00410E4D">
        <w:rPr>
          <w:rFonts w:ascii="Verdana" w:hAnsi="Verdana"/>
        </w:rPr>
        <w:t xml:space="preserve">”  </w:t>
      </w:r>
      <w:r w:rsidRPr="00410E4D">
        <w:rPr>
          <w:rFonts w:ascii="Verdana" w:hAnsi="Verdana"/>
          <w:i/>
        </w:rPr>
        <w:t>Clinical</w:t>
      </w:r>
      <w:proofErr w:type="gramEnd"/>
      <w:r w:rsidRPr="00410E4D">
        <w:rPr>
          <w:rFonts w:ascii="Verdana" w:hAnsi="Verdana"/>
          <w:i/>
        </w:rPr>
        <w:t xml:space="preserve"> Nutrition </w:t>
      </w:r>
      <w:r w:rsidRPr="00410E4D">
        <w:rPr>
          <w:rFonts w:ascii="Verdana" w:hAnsi="Verdana"/>
        </w:rPr>
        <w:t>Volume 29, Issue 2, April 2010, Pages 154–159</w:t>
      </w:r>
    </w:p>
    <w:p w:rsidR="00E41918" w:rsidRPr="00410E4D" w:rsidRDefault="00E41918" w:rsidP="007C4070">
      <w:pPr>
        <w:spacing w:line="480" w:lineRule="auto"/>
        <w:rPr>
          <w:rFonts w:ascii="Verdana" w:hAnsi="Verdana"/>
        </w:rPr>
      </w:pPr>
      <w:r w:rsidRPr="00410E4D">
        <w:rPr>
          <w:rFonts w:ascii="Verdana" w:hAnsi="Verdana"/>
        </w:rPr>
        <w:t xml:space="preserve">[34] M </w:t>
      </w:r>
      <w:proofErr w:type="spellStart"/>
      <w:r w:rsidRPr="00410E4D">
        <w:rPr>
          <w:rFonts w:ascii="Verdana" w:hAnsi="Verdana"/>
        </w:rPr>
        <w:t>Salame</w:t>
      </w:r>
      <w:proofErr w:type="spellEnd"/>
      <w:r w:rsidRPr="00410E4D">
        <w:rPr>
          <w:rFonts w:ascii="Verdana" w:hAnsi="Verdana"/>
        </w:rPr>
        <w:t xml:space="preserve">, K </w:t>
      </w:r>
      <w:proofErr w:type="spellStart"/>
      <w:r w:rsidRPr="00410E4D">
        <w:rPr>
          <w:rFonts w:ascii="Verdana" w:hAnsi="Verdana"/>
        </w:rPr>
        <w:t>Koff</w:t>
      </w:r>
      <w:proofErr w:type="spellEnd"/>
      <w:r w:rsidRPr="00410E4D">
        <w:rPr>
          <w:rFonts w:ascii="Verdana" w:hAnsi="Verdana"/>
        </w:rPr>
        <w:t xml:space="preserve"> da Costa, L </w:t>
      </w:r>
      <w:proofErr w:type="spellStart"/>
      <w:r w:rsidRPr="00410E4D">
        <w:rPr>
          <w:rFonts w:ascii="Verdana" w:hAnsi="Verdana"/>
        </w:rPr>
        <w:t>Venturini</w:t>
      </w:r>
      <w:proofErr w:type="spellEnd"/>
      <w:r w:rsidRPr="00410E4D">
        <w:rPr>
          <w:rFonts w:ascii="Verdana" w:hAnsi="Verdana"/>
        </w:rPr>
        <w:t xml:space="preserve"> </w:t>
      </w:r>
      <w:proofErr w:type="spellStart"/>
      <w:r w:rsidRPr="00410E4D">
        <w:rPr>
          <w:rFonts w:ascii="Verdana" w:hAnsi="Verdana"/>
        </w:rPr>
        <w:t>Zottele</w:t>
      </w:r>
      <w:proofErr w:type="spellEnd"/>
      <w:r w:rsidRPr="00410E4D">
        <w:rPr>
          <w:rFonts w:ascii="Verdana" w:hAnsi="Verdana"/>
        </w:rPr>
        <w:t xml:space="preserve">, R Rodrigues </w:t>
      </w:r>
      <w:proofErr w:type="spellStart"/>
      <w:r w:rsidRPr="00410E4D">
        <w:rPr>
          <w:rFonts w:ascii="Verdana" w:hAnsi="Verdana"/>
        </w:rPr>
        <w:t>Muradás</w:t>
      </w:r>
      <w:proofErr w:type="spellEnd"/>
      <w:r w:rsidRPr="00410E4D">
        <w:rPr>
          <w:rFonts w:ascii="Verdana" w:hAnsi="Verdana"/>
        </w:rPr>
        <w:t xml:space="preserve">, S de Almeida </w:t>
      </w:r>
      <w:proofErr w:type="spellStart"/>
      <w:r w:rsidRPr="00410E4D">
        <w:rPr>
          <w:rFonts w:ascii="Verdana" w:hAnsi="Verdana"/>
        </w:rPr>
        <w:t>Tierno</w:t>
      </w:r>
      <w:proofErr w:type="spellEnd"/>
      <w:r w:rsidRPr="00410E4D">
        <w:rPr>
          <w:rFonts w:ascii="Verdana" w:hAnsi="Verdana"/>
        </w:rPr>
        <w:t xml:space="preserve">, MR </w:t>
      </w:r>
      <w:proofErr w:type="spellStart"/>
      <w:r w:rsidRPr="00410E4D">
        <w:rPr>
          <w:rFonts w:ascii="Verdana" w:hAnsi="Verdana"/>
        </w:rPr>
        <w:t>Chitolina</w:t>
      </w:r>
      <w:proofErr w:type="spellEnd"/>
      <w:r w:rsidRPr="00410E4D">
        <w:rPr>
          <w:rFonts w:ascii="Verdana" w:hAnsi="Verdana"/>
        </w:rPr>
        <w:t xml:space="preserve"> </w:t>
      </w:r>
      <w:proofErr w:type="spellStart"/>
      <w:r w:rsidRPr="00410E4D">
        <w:rPr>
          <w:rFonts w:ascii="Verdana" w:hAnsi="Verdana"/>
        </w:rPr>
        <w:t>Schettinger</w:t>
      </w:r>
      <w:proofErr w:type="spellEnd"/>
      <w:r w:rsidRPr="00410E4D">
        <w:rPr>
          <w:rFonts w:ascii="Verdana" w:hAnsi="Verdana"/>
        </w:rPr>
        <w:t xml:space="preserve">, M </w:t>
      </w:r>
      <w:proofErr w:type="spellStart"/>
      <w:r w:rsidRPr="00410E4D">
        <w:rPr>
          <w:rFonts w:ascii="Verdana" w:hAnsi="Verdana"/>
        </w:rPr>
        <w:t>Premaor</w:t>
      </w:r>
      <w:proofErr w:type="spellEnd"/>
      <w:r w:rsidRPr="00410E4D">
        <w:rPr>
          <w:rFonts w:ascii="Verdana" w:hAnsi="Verdana"/>
        </w:rPr>
        <w:t xml:space="preserve">, M de Oliveira Beck. Sarcopenia: evaluation of different diagnostic criteria and its association with muscle strength and functional capacity </w:t>
      </w:r>
      <w:r w:rsidRPr="00410E4D">
        <w:rPr>
          <w:rFonts w:ascii="Verdana" w:hAnsi="Verdana"/>
          <w:i/>
        </w:rPr>
        <w:t xml:space="preserve">Rev. Bras. </w:t>
      </w:r>
      <w:proofErr w:type="spellStart"/>
      <w:proofErr w:type="gramStart"/>
      <w:r w:rsidRPr="00410E4D">
        <w:rPr>
          <w:rFonts w:ascii="Verdana" w:hAnsi="Verdana"/>
          <w:i/>
        </w:rPr>
        <w:t>Geriatr</w:t>
      </w:r>
      <w:proofErr w:type="spellEnd"/>
      <w:r w:rsidRPr="00410E4D">
        <w:rPr>
          <w:rFonts w:ascii="Verdana" w:hAnsi="Verdana"/>
          <w:i/>
        </w:rPr>
        <w:t>.</w:t>
      </w:r>
      <w:proofErr w:type="gramEnd"/>
      <w:r w:rsidRPr="00410E4D">
        <w:rPr>
          <w:rFonts w:ascii="Verdana" w:hAnsi="Verdana"/>
          <w:i/>
        </w:rPr>
        <w:t xml:space="preserve"> </w:t>
      </w:r>
      <w:proofErr w:type="spellStart"/>
      <w:proofErr w:type="gramStart"/>
      <w:r w:rsidRPr="00410E4D">
        <w:rPr>
          <w:rFonts w:ascii="Verdana" w:hAnsi="Verdana"/>
          <w:i/>
        </w:rPr>
        <w:t>Gerontol</w:t>
      </w:r>
      <w:proofErr w:type="spellEnd"/>
      <w:r w:rsidRPr="00410E4D">
        <w:rPr>
          <w:rFonts w:ascii="Verdana" w:hAnsi="Verdana"/>
        </w:rPr>
        <w:t>.,</w:t>
      </w:r>
      <w:proofErr w:type="gramEnd"/>
      <w:r w:rsidRPr="00410E4D">
        <w:rPr>
          <w:rFonts w:ascii="Verdana" w:hAnsi="Verdana"/>
        </w:rPr>
        <w:t xml:space="preserve"> Rio de Janeiro, 2015; 18(2):285-294</w:t>
      </w:r>
    </w:p>
    <w:p w:rsidR="00E41918" w:rsidRPr="00410E4D" w:rsidRDefault="00E41918" w:rsidP="007C4070">
      <w:pPr>
        <w:spacing w:line="480" w:lineRule="auto"/>
        <w:rPr>
          <w:rFonts w:ascii="Verdana" w:hAnsi="Verdana"/>
        </w:rPr>
      </w:pPr>
      <w:r w:rsidRPr="00410E4D">
        <w:rPr>
          <w:rFonts w:ascii="Verdana" w:hAnsi="Verdana"/>
        </w:rPr>
        <w:lastRenderedPageBreak/>
        <w:t xml:space="preserve">[35] JE Morley, SD Anker and S von </w:t>
      </w:r>
      <w:proofErr w:type="spellStart"/>
      <w:r w:rsidRPr="00410E4D">
        <w:rPr>
          <w:rFonts w:ascii="Verdana" w:hAnsi="Verdana"/>
        </w:rPr>
        <w:t>Haehling</w:t>
      </w:r>
      <w:proofErr w:type="spellEnd"/>
      <w:r w:rsidRPr="00410E4D">
        <w:rPr>
          <w:rFonts w:ascii="Verdana" w:hAnsi="Verdana"/>
        </w:rPr>
        <w:t xml:space="preserve"> Prevalence, incidence, and clinical impact of sarcopenia: facts, numbers, and epidemiology—update 2014 </w:t>
      </w:r>
      <w:r w:rsidRPr="00410E4D">
        <w:rPr>
          <w:rFonts w:ascii="Verdana" w:hAnsi="Verdana"/>
          <w:i/>
        </w:rPr>
        <w:t>J Cachexia Sarcopenia Muscle</w:t>
      </w:r>
      <w:r w:rsidRPr="00410E4D">
        <w:rPr>
          <w:rFonts w:ascii="Verdana" w:hAnsi="Verdana"/>
        </w:rPr>
        <w:t>. 2014 Dec; 5(4): 253–259</w:t>
      </w:r>
    </w:p>
    <w:p w:rsidR="008F1EB3" w:rsidRPr="00410E4D" w:rsidRDefault="008F1EB3" w:rsidP="007C4070">
      <w:pPr>
        <w:spacing w:line="480" w:lineRule="auto"/>
        <w:rPr>
          <w:rFonts w:ascii="Verdana" w:hAnsi="Verdana"/>
        </w:rPr>
      </w:pPr>
      <w:r w:rsidRPr="00410E4D">
        <w:rPr>
          <w:rFonts w:ascii="Verdana" w:hAnsi="Verdana"/>
        </w:rPr>
        <w:t xml:space="preserve">[36] MJ Berger, CO Kean, A </w:t>
      </w:r>
      <w:proofErr w:type="spellStart"/>
      <w:r w:rsidRPr="00410E4D">
        <w:rPr>
          <w:rFonts w:ascii="Verdana" w:hAnsi="Verdana"/>
        </w:rPr>
        <w:t>Goela</w:t>
      </w:r>
      <w:proofErr w:type="spellEnd"/>
      <w:r w:rsidRPr="00410E4D">
        <w:rPr>
          <w:rFonts w:ascii="Verdana" w:hAnsi="Verdana"/>
        </w:rPr>
        <w:t xml:space="preserve"> and TJ Doherty Disease Severity and Knee Extensor Force in Knee Osteoarthritis: Data From the Osteoarthritis Initiative </w:t>
      </w:r>
      <w:r w:rsidRPr="00410E4D">
        <w:rPr>
          <w:rFonts w:ascii="Verdana" w:hAnsi="Verdana"/>
          <w:i/>
        </w:rPr>
        <w:t>Arthritis Care &amp; Research</w:t>
      </w:r>
      <w:r w:rsidRPr="00410E4D">
        <w:rPr>
          <w:rFonts w:ascii="Verdana" w:hAnsi="Verdana"/>
        </w:rPr>
        <w:t xml:space="preserve"> Vol. 64, No. 5, May 2012, pp 729 –734</w:t>
      </w:r>
    </w:p>
    <w:p w:rsidR="00E41918" w:rsidRPr="00410E4D" w:rsidRDefault="00E41918" w:rsidP="007C4070">
      <w:pPr>
        <w:spacing w:line="480" w:lineRule="auto"/>
        <w:rPr>
          <w:rFonts w:ascii="Verdana" w:hAnsi="Verdana"/>
        </w:rPr>
      </w:pPr>
    </w:p>
    <w:p w:rsidR="00306F80" w:rsidRPr="00410E4D" w:rsidRDefault="00306F80" w:rsidP="00CE54B6">
      <w:pPr>
        <w:spacing w:line="360" w:lineRule="auto"/>
        <w:jc w:val="both"/>
        <w:rPr>
          <w:rFonts w:ascii="Verdana" w:hAnsi="Verdana" w:cs="Arial"/>
        </w:rPr>
      </w:pPr>
    </w:p>
    <w:p w:rsidR="00CF3D83" w:rsidRPr="00410E4D" w:rsidRDefault="00CF3D83" w:rsidP="00CE54B6">
      <w:pPr>
        <w:spacing w:line="360" w:lineRule="auto"/>
        <w:jc w:val="both"/>
        <w:rPr>
          <w:rFonts w:ascii="Verdana" w:hAnsi="Verdana" w:cs="Arial"/>
        </w:rPr>
      </w:pPr>
    </w:p>
    <w:p w:rsidR="00D076CB" w:rsidRPr="00410E4D" w:rsidRDefault="00D076CB" w:rsidP="00CE54B6">
      <w:pPr>
        <w:spacing w:line="360" w:lineRule="auto"/>
        <w:jc w:val="both"/>
        <w:rPr>
          <w:rFonts w:ascii="Verdana" w:hAnsi="Verdana" w:cs="Arial"/>
        </w:rPr>
      </w:pPr>
    </w:p>
    <w:p w:rsidR="005F33F7" w:rsidRPr="00410E4D" w:rsidRDefault="005F33F7" w:rsidP="00CE54B6">
      <w:pPr>
        <w:spacing w:line="360" w:lineRule="auto"/>
        <w:jc w:val="both"/>
        <w:rPr>
          <w:rFonts w:ascii="Verdana" w:hAnsi="Verdana" w:cs="Arial"/>
        </w:rPr>
      </w:pPr>
    </w:p>
    <w:sectPr w:rsidR="005F33F7" w:rsidRPr="00410E4D" w:rsidSect="00E31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21" w:rsidRDefault="002B4F21" w:rsidP="00486885">
      <w:pPr>
        <w:spacing w:after="0" w:line="240" w:lineRule="auto"/>
      </w:pPr>
      <w:r>
        <w:separator/>
      </w:r>
    </w:p>
  </w:endnote>
  <w:endnote w:type="continuationSeparator" w:id="0">
    <w:p w:rsidR="002B4F21" w:rsidRDefault="002B4F21" w:rsidP="0048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21" w:rsidRDefault="002B4F21" w:rsidP="00486885">
      <w:pPr>
        <w:spacing w:after="0" w:line="240" w:lineRule="auto"/>
      </w:pPr>
      <w:r>
        <w:separator/>
      </w:r>
    </w:p>
  </w:footnote>
  <w:footnote w:type="continuationSeparator" w:id="0">
    <w:p w:rsidR="002B4F21" w:rsidRDefault="002B4F21" w:rsidP="00486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C"/>
    <w:rsid w:val="000039B9"/>
    <w:rsid w:val="00011018"/>
    <w:rsid w:val="0001424C"/>
    <w:rsid w:val="0002495F"/>
    <w:rsid w:val="00041781"/>
    <w:rsid w:val="0004474B"/>
    <w:rsid w:val="00056E29"/>
    <w:rsid w:val="00062C8E"/>
    <w:rsid w:val="00077687"/>
    <w:rsid w:val="000817BD"/>
    <w:rsid w:val="000851B1"/>
    <w:rsid w:val="00092E44"/>
    <w:rsid w:val="000A5DC4"/>
    <w:rsid w:val="000B3074"/>
    <w:rsid w:val="000B4086"/>
    <w:rsid w:val="000B6B3E"/>
    <w:rsid w:val="000C0015"/>
    <w:rsid w:val="000C0445"/>
    <w:rsid w:val="000D582F"/>
    <w:rsid w:val="000D61E4"/>
    <w:rsid w:val="000E4194"/>
    <w:rsid w:val="000F375A"/>
    <w:rsid w:val="00105824"/>
    <w:rsid w:val="00114BDA"/>
    <w:rsid w:val="00115448"/>
    <w:rsid w:val="00117439"/>
    <w:rsid w:val="00146800"/>
    <w:rsid w:val="00167803"/>
    <w:rsid w:val="001733ED"/>
    <w:rsid w:val="001943FA"/>
    <w:rsid w:val="001B161C"/>
    <w:rsid w:val="001B314B"/>
    <w:rsid w:val="001B61BD"/>
    <w:rsid w:val="001C3299"/>
    <w:rsid w:val="001D008A"/>
    <w:rsid w:val="001E097E"/>
    <w:rsid w:val="001F1DDB"/>
    <w:rsid w:val="001F2E6B"/>
    <w:rsid w:val="001F46E8"/>
    <w:rsid w:val="00201D70"/>
    <w:rsid w:val="0020770F"/>
    <w:rsid w:val="00213ACC"/>
    <w:rsid w:val="00234F5C"/>
    <w:rsid w:val="00236117"/>
    <w:rsid w:val="00250F65"/>
    <w:rsid w:val="0025161D"/>
    <w:rsid w:val="00252D5F"/>
    <w:rsid w:val="00265FFA"/>
    <w:rsid w:val="002674BA"/>
    <w:rsid w:val="0027284A"/>
    <w:rsid w:val="00273ACB"/>
    <w:rsid w:val="00274237"/>
    <w:rsid w:val="00277DE7"/>
    <w:rsid w:val="002839E2"/>
    <w:rsid w:val="002B4F21"/>
    <w:rsid w:val="002B744A"/>
    <w:rsid w:val="002C08D5"/>
    <w:rsid w:val="002F6053"/>
    <w:rsid w:val="00306F80"/>
    <w:rsid w:val="00313365"/>
    <w:rsid w:val="00323431"/>
    <w:rsid w:val="00342421"/>
    <w:rsid w:val="00344869"/>
    <w:rsid w:val="00345F04"/>
    <w:rsid w:val="00360084"/>
    <w:rsid w:val="00363566"/>
    <w:rsid w:val="003779AB"/>
    <w:rsid w:val="003C590C"/>
    <w:rsid w:val="003D6C75"/>
    <w:rsid w:val="003E06EC"/>
    <w:rsid w:val="003E621B"/>
    <w:rsid w:val="003E7991"/>
    <w:rsid w:val="003E7DF9"/>
    <w:rsid w:val="0040432A"/>
    <w:rsid w:val="00410E4D"/>
    <w:rsid w:val="00410F38"/>
    <w:rsid w:val="00423861"/>
    <w:rsid w:val="00433117"/>
    <w:rsid w:val="00437026"/>
    <w:rsid w:val="0044368C"/>
    <w:rsid w:val="00460245"/>
    <w:rsid w:val="00482132"/>
    <w:rsid w:val="00486885"/>
    <w:rsid w:val="004869B3"/>
    <w:rsid w:val="00491EF6"/>
    <w:rsid w:val="004929AF"/>
    <w:rsid w:val="00493D67"/>
    <w:rsid w:val="004B4429"/>
    <w:rsid w:val="004C152C"/>
    <w:rsid w:val="004E1A59"/>
    <w:rsid w:val="004F75FC"/>
    <w:rsid w:val="004F7B85"/>
    <w:rsid w:val="00506175"/>
    <w:rsid w:val="00506A77"/>
    <w:rsid w:val="00507910"/>
    <w:rsid w:val="00512591"/>
    <w:rsid w:val="00513839"/>
    <w:rsid w:val="005338FF"/>
    <w:rsid w:val="00535D95"/>
    <w:rsid w:val="00540768"/>
    <w:rsid w:val="00540C46"/>
    <w:rsid w:val="00551257"/>
    <w:rsid w:val="00554BD1"/>
    <w:rsid w:val="00557B22"/>
    <w:rsid w:val="005711C4"/>
    <w:rsid w:val="00583682"/>
    <w:rsid w:val="00587F11"/>
    <w:rsid w:val="00593F5C"/>
    <w:rsid w:val="005A5ECF"/>
    <w:rsid w:val="005A64A3"/>
    <w:rsid w:val="005B2232"/>
    <w:rsid w:val="005C3EC3"/>
    <w:rsid w:val="005C3F57"/>
    <w:rsid w:val="005C5C3E"/>
    <w:rsid w:val="005D1CAC"/>
    <w:rsid w:val="005D3BAA"/>
    <w:rsid w:val="005D65E3"/>
    <w:rsid w:val="005F1254"/>
    <w:rsid w:val="005F1F2E"/>
    <w:rsid w:val="005F33F7"/>
    <w:rsid w:val="005F6709"/>
    <w:rsid w:val="00606875"/>
    <w:rsid w:val="006142C8"/>
    <w:rsid w:val="00632146"/>
    <w:rsid w:val="00635F09"/>
    <w:rsid w:val="00663ABE"/>
    <w:rsid w:val="006676C9"/>
    <w:rsid w:val="0067764B"/>
    <w:rsid w:val="006B4F07"/>
    <w:rsid w:val="006C07D1"/>
    <w:rsid w:val="006C3C2D"/>
    <w:rsid w:val="006D1834"/>
    <w:rsid w:val="006E1EEF"/>
    <w:rsid w:val="006F7A8D"/>
    <w:rsid w:val="00710B92"/>
    <w:rsid w:val="0073400D"/>
    <w:rsid w:val="007405B3"/>
    <w:rsid w:val="007454EF"/>
    <w:rsid w:val="00750443"/>
    <w:rsid w:val="00763B71"/>
    <w:rsid w:val="00766536"/>
    <w:rsid w:val="00792592"/>
    <w:rsid w:val="00796BC9"/>
    <w:rsid w:val="007B1A61"/>
    <w:rsid w:val="007B725D"/>
    <w:rsid w:val="007C1B73"/>
    <w:rsid w:val="007C4070"/>
    <w:rsid w:val="007E239B"/>
    <w:rsid w:val="007F3B30"/>
    <w:rsid w:val="007F5A70"/>
    <w:rsid w:val="00801180"/>
    <w:rsid w:val="00804DBE"/>
    <w:rsid w:val="00810B74"/>
    <w:rsid w:val="00817F70"/>
    <w:rsid w:val="0083503B"/>
    <w:rsid w:val="00863158"/>
    <w:rsid w:val="00871172"/>
    <w:rsid w:val="00884DBB"/>
    <w:rsid w:val="008A468F"/>
    <w:rsid w:val="008A75B0"/>
    <w:rsid w:val="008B3F17"/>
    <w:rsid w:val="008D289F"/>
    <w:rsid w:val="008F1EB3"/>
    <w:rsid w:val="00905051"/>
    <w:rsid w:val="00916332"/>
    <w:rsid w:val="009269E9"/>
    <w:rsid w:val="009447FF"/>
    <w:rsid w:val="00956D7E"/>
    <w:rsid w:val="00967366"/>
    <w:rsid w:val="00972914"/>
    <w:rsid w:val="009754CA"/>
    <w:rsid w:val="00984AA9"/>
    <w:rsid w:val="009B016D"/>
    <w:rsid w:val="009B509E"/>
    <w:rsid w:val="009C18E1"/>
    <w:rsid w:val="009D20F4"/>
    <w:rsid w:val="009D4A99"/>
    <w:rsid w:val="00A01088"/>
    <w:rsid w:val="00A01EF8"/>
    <w:rsid w:val="00A06EAD"/>
    <w:rsid w:val="00A11646"/>
    <w:rsid w:val="00A14CEF"/>
    <w:rsid w:val="00A22167"/>
    <w:rsid w:val="00A455DF"/>
    <w:rsid w:val="00A46A67"/>
    <w:rsid w:val="00A56899"/>
    <w:rsid w:val="00A6166D"/>
    <w:rsid w:val="00A6273C"/>
    <w:rsid w:val="00A83317"/>
    <w:rsid w:val="00A94DD8"/>
    <w:rsid w:val="00AB382D"/>
    <w:rsid w:val="00AC0864"/>
    <w:rsid w:val="00AC5B2E"/>
    <w:rsid w:val="00AD6815"/>
    <w:rsid w:val="00AE65CE"/>
    <w:rsid w:val="00AE7D08"/>
    <w:rsid w:val="00AF18F6"/>
    <w:rsid w:val="00AF58AF"/>
    <w:rsid w:val="00B17F93"/>
    <w:rsid w:val="00B31991"/>
    <w:rsid w:val="00B33099"/>
    <w:rsid w:val="00B41393"/>
    <w:rsid w:val="00BC4272"/>
    <w:rsid w:val="00BC6050"/>
    <w:rsid w:val="00BD569D"/>
    <w:rsid w:val="00BE035B"/>
    <w:rsid w:val="00BF2FA7"/>
    <w:rsid w:val="00C01B88"/>
    <w:rsid w:val="00C17536"/>
    <w:rsid w:val="00C46EE7"/>
    <w:rsid w:val="00C50321"/>
    <w:rsid w:val="00C57CE8"/>
    <w:rsid w:val="00C713A2"/>
    <w:rsid w:val="00C75D4A"/>
    <w:rsid w:val="00C90D74"/>
    <w:rsid w:val="00CA001B"/>
    <w:rsid w:val="00CA5B27"/>
    <w:rsid w:val="00CD3B31"/>
    <w:rsid w:val="00CE54B6"/>
    <w:rsid w:val="00CE62FA"/>
    <w:rsid w:val="00CF0F9C"/>
    <w:rsid w:val="00CF3D83"/>
    <w:rsid w:val="00D00E65"/>
    <w:rsid w:val="00D076CB"/>
    <w:rsid w:val="00D30E64"/>
    <w:rsid w:val="00D32160"/>
    <w:rsid w:val="00D4110B"/>
    <w:rsid w:val="00D65403"/>
    <w:rsid w:val="00D71C67"/>
    <w:rsid w:val="00DA3232"/>
    <w:rsid w:val="00DA78E9"/>
    <w:rsid w:val="00DB1C52"/>
    <w:rsid w:val="00DB2F1B"/>
    <w:rsid w:val="00DC5951"/>
    <w:rsid w:val="00DE2E7B"/>
    <w:rsid w:val="00DE57A8"/>
    <w:rsid w:val="00DE715E"/>
    <w:rsid w:val="00DF3DB2"/>
    <w:rsid w:val="00E04023"/>
    <w:rsid w:val="00E04327"/>
    <w:rsid w:val="00E133DA"/>
    <w:rsid w:val="00E25A70"/>
    <w:rsid w:val="00E3196E"/>
    <w:rsid w:val="00E36F09"/>
    <w:rsid w:val="00E41918"/>
    <w:rsid w:val="00E51A80"/>
    <w:rsid w:val="00E81301"/>
    <w:rsid w:val="00E8759D"/>
    <w:rsid w:val="00E87CAD"/>
    <w:rsid w:val="00E975AA"/>
    <w:rsid w:val="00EB4317"/>
    <w:rsid w:val="00EC5563"/>
    <w:rsid w:val="00EE21AB"/>
    <w:rsid w:val="00EE5D65"/>
    <w:rsid w:val="00EF2BC5"/>
    <w:rsid w:val="00F15A1A"/>
    <w:rsid w:val="00F22E30"/>
    <w:rsid w:val="00F3393F"/>
    <w:rsid w:val="00F5027A"/>
    <w:rsid w:val="00F6111F"/>
    <w:rsid w:val="00F62581"/>
    <w:rsid w:val="00F810E2"/>
    <w:rsid w:val="00F94629"/>
    <w:rsid w:val="00FA4B88"/>
    <w:rsid w:val="00FA51F1"/>
    <w:rsid w:val="00FA5CC2"/>
    <w:rsid w:val="00FB1D39"/>
    <w:rsid w:val="00FB7472"/>
    <w:rsid w:val="00FE4504"/>
    <w:rsid w:val="00FE4765"/>
    <w:rsid w:val="00FE7284"/>
    <w:rsid w:val="00FF1F47"/>
    <w:rsid w:val="00FF2561"/>
    <w:rsid w:val="00FF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4BA"/>
    <w:rPr>
      <w:color w:val="808080"/>
    </w:rPr>
  </w:style>
  <w:style w:type="paragraph" w:styleId="BalloonText">
    <w:name w:val="Balloon Text"/>
    <w:basedOn w:val="Normal"/>
    <w:link w:val="BalloonTextChar"/>
    <w:uiPriority w:val="99"/>
    <w:semiHidden/>
    <w:unhideWhenUsed/>
    <w:rsid w:val="0026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BA"/>
    <w:rPr>
      <w:rFonts w:ascii="Tahoma" w:hAnsi="Tahoma" w:cs="Tahoma"/>
      <w:sz w:val="16"/>
      <w:szCs w:val="16"/>
    </w:rPr>
  </w:style>
  <w:style w:type="character" w:styleId="Hyperlink">
    <w:name w:val="Hyperlink"/>
    <w:basedOn w:val="DefaultParagraphFont"/>
    <w:uiPriority w:val="99"/>
    <w:unhideWhenUsed/>
    <w:rsid w:val="00A11646"/>
    <w:rPr>
      <w:color w:val="0000FF" w:themeColor="hyperlink"/>
      <w:u w:val="single"/>
    </w:rPr>
  </w:style>
  <w:style w:type="character" w:styleId="CommentReference">
    <w:name w:val="annotation reference"/>
    <w:basedOn w:val="DefaultParagraphFont"/>
    <w:uiPriority w:val="99"/>
    <w:semiHidden/>
    <w:unhideWhenUsed/>
    <w:rsid w:val="00CE54B6"/>
    <w:rPr>
      <w:sz w:val="16"/>
      <w:szCs w:val="16"/>
    </w:rPr>
  </w:style>
  <w:style w:type="paragraph" w:styleId="CommentText">
    <w:name w:val="annotation text"/>
    <w:basedOn w:val="Normal"/>
    <w:link w:val="CommentTextChar"/>
    <w:uiPriority w:val="99"/>
    <w:semiHidden/>
    <w:unhideWhenUsed/>
    <w:rsid w:val="00CE54B6"/>
    <w:pPr>
      <w:spacing w:line="240" w:lineRule="auto"/>
    </w:pPr>
    <w:rPr>
      <w:sz w:val="20"/>
      <w:szCs w:val="20"/>
    </w:rPr>
  </w:style>
  <w:style w:type="character" w:customStyle="1" w:styleId="CommentTextChar">
    <w:name w:val="Comment Text Char"/>
    <w:basedOn w:val="DefaultParagraphFont"/>
    <w:link w:val="CommentText"/>
    <w:uiPriority w:val="99"/>
    <w:semiHidden/>
    <w:rsid w:val="00CE54B6"/>
    <w:rPr>
      <w:sz w:val="20"/>
      <w:szCs w:val="20"/>
    </w:rPr>
  </w:style>
  <w:style w:type="paragraph" w:styleId="CommentSubject">
    <w:name w:val="annotation subject"/>
    <w:basedOn w:val="CommentText"/>
    <w:next w:val="CommentText"/>
    <w:link w:val="CommentSubjectChar"/>
    <w:uiPriority w:val="99"/>
    <w:semiHidden/>
    <w:unhideWhenUsed/>
    <w:rsid w:val="00CE54B6"/>
    <w:rPr>
      <w:b/>
      <w:bCs/>
    </w:rPr>
  </w:style>
  <w:style w:type="character" w:customStyle="1" w:styleId="CommentSubjectChar">
    <w:name w:val="Comment Subject Char"/>
    <w:basedOn w:val="CommentTextChar"/>
    <w:link w:val="CommentSubject"/>
    <w:uiPriority w:val="99"/>
    <w:semiHidden/>
    <w:rsid w:val="00CE54B6"/>
    <w:rPr>
      <w:b/>
      <w:bCs/>
      <w:sz w:val="20"/>
      <w:szCs w:val="20"/>
    </w:rPr>
  </w:style>
  <w:style w:type="paragraph" w:styleId="BodyText">
    <w:name w:val="Body Text"/>
    <w:basedOn w:val="Normal"/>
    <w:link w:val="BodyTextChar"/>
    <w:uiPriority w:val="99"/>
    <w:semiHidden/>
    <w:unhideWhenUsed/>
    <w:rsid w:val="0067764B"/>
    <w:pPr>
      <w:spacing w:after="120"/>
    </w:pPr>
  </w:style>
  <w:style w:type="character" w:customStyle="1" w:styleId="BodyTextChar">
    <w:name w:val="Body Text Char"/>
    <w:basedOn w:val="DefaultParagraphFont"/>
    <w:link w:val="BodyText"/>
    <w:uiPriority w:val="99"/>
    <w:semiHidden/>
    <w:rsid w:val="0067764B"/>
  </w:style>
  <w:style w:type="table" w:styleId="TableGrid">
    <w:name w:val="Table Grid"/>
    <w:basedOn w:val="TableNormal"/>
    <w:uiPriority w:val="59"/>
    <w:rsid w:val="007B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68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885"/>
    <w:rPr>
      <w:sz w:val="20"/>
      <w:szCs w:val="20"/>
    </w:rPr>
  </w:style>
  <w:style w:type="character" w:styleId="EndnoteReference">
    <w:name w:val="endnote reference"/>
    <w:basedOn w:val="DefaultParagraphFont"/>
    <w:uiPriority w:val="99"/>
    <w:semiHidden/>
    <w:unhideWhenUsed/>
    <w:rsid w:val="004868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4BA"/>
    <w:rPr>
      <w:color w:val="808080"/>
    </w:rPr>
  </w:style>
  <w:style w:type="paragraph" w:styleId="BalloonText">
    <w:name w:val="Balloon Text"/>
    <w:basedOn w:val="Normal"/>
    <w:link w:val="BalloonTextChar"/>
    <w:uiPriority w:val="99"/>
    <w:semiHidden/>
    <w:unhideWhenUsed/>
    <w:rsid w:val="0026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BA"/>
    <w:rPr>
      <w:rFonts w:ascii="Tahoma" w:hAnsi="Tahoma" w:cs="Tahoma"/>
      <w:sz w:val="16"/>
      <w:szCs w:val="16"/>
    </w:rPr>
  </w:style>
  <w:style w:type="character" w:styleId="Hyperlink">
    <w:name w:val="Hyperlink"/>
    <w:basedOn w:val="DefaultParagraphFont"/>
    <w:uiPriority w:val="99"/>
    <w:unhideWhenUsed/>
    <w:rsid w:val="00A11646"/>
    <w:rPr>
      <w:color w:val="0000FF" w:themeColor="hyperlink"/>
      <w:u w:val="single"/>
    </w:rPr>
  </w:style>
  <w:style w:type="character" w:styleId="CommentReference">
    <w:name w:val="annotation reference"/>
    <w:basedOn w:val="DefaultParagraphFont"/>
    <w:uiPriority w:val="99"/>
    <w:semiHidden/>
    <w:unhideWhenUsed/>
    <w:rsid w:val="00CE54B6"/>
    <w:rPr>
      <w:sz w:val="16"/>
      <w:szCs w:val="16"/>
    </w:rPr>
  </w:style>
  <w:style w:type="paragraph" w:styleId="CommentText">
    <w:name w:val="annotation text"/>
    <w:basedOn w:val="Normal"/>
    <w:link w:val="CommentTextChar"/>
    <w:uiPriority w:val="99"/>
    <w:semiHidden/>
    <w:unhideWhenUsed/>
    <w:rsid w:val="00CE54B6"/>
    <w:pPr>
      <w:spacing w:line="240" w:lineRule="auto"/>
    </w:pPr>
    <w:rPr>
      <w:sz w:val="20"/>
      <w:szCs w:val="20"/>
    </w:rPr>
  </w:style>
  <w:style w:type="character" w:customStyle="1" w:styleId="CommentTextChar">
    <w:name w:val="Comment Text Char"/>
    <w:basedOn w:val="DefaultParagraphFont"/>
    <w:link w:val="CommentText"/>
    <w:uiPriority w:val="99"/>
    <w:semiHidden/>
    <w:rsid w:val="00CE54B6"/>
    <w:rPr>
      <w:sz w:val="20"/>
      <w:szCs w:val="20"/>
    </w:rPr>
  </w:style>
  <w:style w:type="paragraph" w:styleId="CommentSubject">
    <w:name w:val="annotation subject"/>
    <w:basedOn w:val="CommentText"/>
    <w:next w:val="CommentText"/>
    <w:link w:val="CommentSubjectChar"/>
    <w:uiPriority w:val="99"/>
    <w:semiHidden/>
    <w:unhideWhenUsed/>
    <w:rsid w:val="00CE54B6"/>
    <w:rPr>
      <w:b/>
      <w:bCs/>
    </w:rPr>
  </w:style>
  <w:style w:type="character" w:customStyle="1" w:styleId="CommentSubjectChar">
    <w:name w:val="Comment Subject Char"/>
    <w:basedOn w:val="CommentTextChar"/>
    <w:link w:val="CommentSubject"/>
    <w:uiPriority w:val="99"/>
    <w:semiHidden/>
    <w:rsid w:val="00CE54B6"/>
    <w:rPr>
      <w:b/>
      <w:bCs/>
      <w:sz w:val="20"/>
      <w:szCs w:val="20"/>
    </w:rPr>
  </w:style>
  <w:style w:type="paragraph" w:styleId="BodyText">
    <w:name w:val="Body Text"/>
    <w:basedOn w:val="Normal"/>
    <w:link w:val="BodyTextChar"/>
    <w:uiPriority w:val="99"/>
    <w:semiHidden/>
    <w:unhideWhenUsed/>
    <w:rsid w:val="0067764B"/>
    <w:pPr>
      <w:spacing w:after="120"/>
    </w:pPr>
  </w:style>
  <w:style w:type="character" w:customStyle="1" w:styleId="BodyTextChar">
    <w:name w:val="Body Text Char"/>
    <w:basedOn w:val="DefaultParagraphFont"/>
    <w:link w:val="BodyText"/>
    <w:uiPriority w:val="99"/>
    <w:semiHidden/>
    <w:rsid w:val="0067764B"/>
  </w:style>
  <w:style w:type="table" w:styleId="TableGrid">
    <w:name w:val="Table Grid"/>
    <w:basedOn w:val="TableNormal"/>
    <w:uiPriority w:val="59"/>
    <w:rsid w:val="007B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68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6885"/>
    <w:rPr>
      <w:sz w:val="20"/>
      <w:szCs w:val="20"/>
    </w:rPr>
  </w:style>
  <w:style w:type="character" w:styleId="EndnoteReference">
    <w:name w:val="endnote reference"/>
    <w:basedOn w:val="DefaultParagraphFont"/>
    <w:uiPriority w:val="99"/>
    <w:semiHidden/>
    <w:unhideWhenUsed/>
    <w:rsid w:val="00486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478">
      <w:bodyDiv w:val="1"/>
      <w:marLeft w:val="0"/>
      <w:marRight w:val="0"/>
      <w:marTop w:val="0"/>
      <w:marBottom w:val="0"/>
      <w:divBdr>
        <w:top w:val="none" w:sz="0" w:space="0" w:color="auto"/>
        <w:left w:val="none" w:sz="0" w:space="0" w:color="auto"/>
        <w:bottom w:val="none" w:sz="0" w:space="0" w:color="auto"/>
        <w:right w:val="none" w:sz="0" w:space="0" w:color="auto"/>
      </w:divBdr>
    </w:div>
    <w:div w:id="15112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AA8CB-0ABB-4028-8FE8-A0182005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4222</Words>
  <Characters>24067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Dawson</dc:creator>
  <cp:lastModifiedBy>Karen Drake</cp:lastModifiedBy>
  <cp:revision>2</cp:revision>
  <dcterms:created xsi:type="dcterms:W3CDTF">2016-04-27T12:35:00Z</dcterms:created>
  <dcterms:modified xsi:type="dcterms:W3CDTF">2016-04-27T12:35:00Z</dcterms:modified>
</cp:coreProperties>
</file>