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1DFAA" w14:textId="77777777" w:rsidR="00BD25B0" w:rsidRPr="0071463F" w:rsidRDefault="00BD25B0" w:rsidP="00903D02">
      <w:pPr>
        <w:spacing w:line="480" w:lineRule="auto"/>
        <w:rPr>
          <w:rFonts w:cs="Arial"/>
          <w:b/>
          <w:bCs/>
          <w:sz w:val="24"/>
          <w:szCs w:val="24"/>
        </w:rPr>
      </w:pPr>
    </w:p>
    <w:p w14:paraId="580E56F8" w14:textId="77777777" w:rsidR="00BD25B0" w:rsidRPr="0071463F" w:rsidRDefault="00BD25B0" w:rsidP="00903D02">
      <w:pPr>
        <w:spacing w:line="480" w:lineRule="auto"/>
        <w:rPr>
          <w:rFonts w:cs="Arial"/>
          <w:b/>
          <w:bCs/>
          <w:sz w:val="24"/>
          <w:szCs w:val="24"/>
        </w:rPr>
      </w:pPr>
    </w:p>
    <w:p w14:paraId="392B5C9C" w14:textId="4814D7E3" w:rsidR="00BD25B0" w:rsidRPr="0071463F" w:rsidRDefault="00BD25B0" w:rsidP="008645D6">
      <w:pPr>
        <w:spacing w:line="480" w:lineRule="auto"/>
        <w:jc w:val="center"/>
        <w:rPr>
          <w:b/>
          <w:bCs/>
          <w:sz w:val="24"/>
          <w:szCs w:val="24"/>
        </w:rPr>
      </w:pPr>
      <w:r>
        <w:rPr>
          <w:b/>
          <w:bCs/>
          <w:sz w:val="24"/>
          <w:szCs w:val="24"/>
        </w:rPr>
        <w:t>Hyper</w:t>
      </w:r>
      <w:r w:rsidR="008B3BA3">
        <w:rPr>
          <w:b/>
          <w:bCs/>
          <w:sz w:val="24"/>
          <w:szCs w:val="24"/>
        </w:rPr>
        <w:t>-</w:t>
      </w:r>
      <w:r w:rsidRPr="0071463F">
        <w:rPr>
          <w:b/>
          <w:bCs/>
          <w:sz w:val="24"/>
          <w:szCs w:val="24"/>
        </w:rPr>
        <w:t xml:space="preserve">persistence of attention-deficit/hyperactivity disorder (ADHD) in adult adoptees exposed to extreme early </w:t>
      </w:r>
      <w:r>
        <w:rPr>
          <w:b/>
          <w:bCs/>
          <w:sz w:val="24"/>
          <w:szCs w:val="24"/>
        </w:rPr>
        <w:t>institutional</w:t>
      </w:r>
      <w:r w:rsidRPr="0071463F">
        <w:rPr>
          <w:b/>
          <w:bCs/>
          <w:sz w:val="24"/>
          <w:szCs w:val="24"/>
        </w:rPr>
        <w:t xml:space="preserve"> deprivation: Clinical presentation, developmental continuities and functional impairment</w:t>
      </w:r>
      <w:r>
        <w:rPr>
          <w:b/>
          <w:bCs/>
          <w:sz w:val="24"/>
          <w:szCs w:val="24"/>
        </w:rPr>
        <w:t xml:space="preserve"> in the English and Romanian Adoptees study</w:t>
      </w:r>
      <w:r w:rsidRPr="0071463F">
        <w:rPr>
          <w:b/>
          <w:bCs/>
          <w:sz w:val="24"/>
          <w:szCs w:val="24"/>
        </w:rPr>
        <w:t>.</w:t>
      </w:r>
    </w:p>
    <w:p w14:paraId="4F8C9175" w14:textId="77777777" w:rsidR="00BD25B0" w:rsidRPr="0071463F" w:rsidRDefault="00BD25B0" w:rsidP="00903D02">
      <w:pPr>
        <w:spacing w:line="480" w:lineRule="auto"/>
        <w:rPr>
          <w:rFonts w:cs="Arial"/>
          <w:sz w:val="24"/>
          <w:szCs w:val="24"/>
        </w:rPr>
      </w:pPr>
    </w:p>
    <w:p w14:paraId="5EB5059A" w14:textId="77777777" w:rsidR="00BD25B0" w:rsidRPr="0071463F" w:rsidRDefault="00BD25B0" w:rsidP="00903D02">
      <w:pPr>
        <w:spacing w:line="480" w:lineRule="auto"/>
        <w:rPr>
          <w:rFonts w:cs="Arial"/>
          <w:sz w:val="24"/>
          <w:szCs w:val="24"/>
        </w:rPr>
      </w:pPr>
    </w:p>
    <w:p w14:paraId="61A4C574" w14:textId="79DB4D3E" w:rsidR="00BD25B0" w:rsidRDefault="00BD25B0" w:rsidP="00F70AC6">
      <w:pPr>
        <w:spacing w:line="480" w:lineRule="auto"/>
        <w:rPr>
          <w:rFonts w:cs="Arial"/>
          <w:sz w:val="24"/>
          <w:szCs w:val="24"/>
          <w:vertAlign w:val="superscript"/>
        </w:rPr>
      </w:pPr>
      <w:r w:rsidRPr="0071463F">
        <w:rPr>
          <w:sz w:val="24"/>
          <w:szCs w:val="24"/>
        </w:rPr>
        <w:t>Mark Kennedy</w:t>
      </w:r>
      <w:r w:rsidRPr="004F071A">
        <w:rPr>
          <w:sz w:val="24"/>
          <w:szCs w:val="24"/>
          <w:vertAlign w:val="superscript"/>
        </w:rPr>
        <w:t>1</w:t>
      </w:r>
      <w:r w:rsidRPr="0071463F">
        <w:rPr>
          <w:sz w:val="24"/>
          <w:szCs w:val="24"/>
        </w:rPr>
        <w:t xml:space="preserve">, </w:t>
      </w:r>
      <w:r w:rsidRPr="00F70AC6">
        <w:rPr>
          <w:sz w:val="24"/>
          <w:szCs w:val="24"/>
        </w:rPr>
        <w:t>Jana Kreppner</w:t>
      </w:r>
      <w:r>
        <w:rPr>
          <w:sz w:val="24"/>
          <w:szCs w:val="24"/>
          <w:vertAlign w:val="superscript"/>
        </w:rPr>
        <w:t>1</w:t>
      </w:r>
      <w:r>
        <w:rPr>
          <w:sz w:val="24"/>
          <w:szCs w:val="24"/>
        </w:rPr>
        <w:t xml:space="preserve">, </w:t>
      </w:r>
      <w:r w:rsidRPr="0071463F">
        <w:rPr>
          <w:sz w:val="24"/>
          <w:szCs w:val="24"/>
        </w:rPr>
        <w:t>Nicky Knights</w:t>
      </w:r>
      <w:r w:rsidRPr="004F071A">
        <w:rPr>
          <w:sz w:val="24"/>
          <w:szCs w:val="24"/>
          <w:vertAlign w:val="superscript"/>
        </w:rPr>
        <w:t>2</w:t>
      </w:r>
      <w:r>
        <w:rPr>
          <w:sz w:val="24"/>
          <w:szCs w:val="24"/>
        </w:rPr>
        <w:t>,</w:t>
      </w:r>
      <w:r w:rsidRPr="0071463F">
        <w:rPr>
          <w:sz w:val="24"/>
          <w:szCs w:val="24"/>
        </w:rPr>
        <w:t xml:space="preserve"> Robert Kumsta</w:t>
      </w:r>
      <w:r>
        <w:rPr>
          <w:sz w:val="24"/>
          <w:szCs w:val="24"/>
          <w:vertAlign w:val="superscript"/>
        </w:rPr>
        <w:t>3</w:t>
      </w:r>
      <w:r w:rsidRPr="0071463F">
        <w:rPr>
          <w:sz w:val="24"/>
          <w:szCs w:val="24"/>
        </w:rPr>
        <w:t xml:space="preserve">, </w:t>
      </w:r>
      <w:r>
        <w:rPr>
          <w:sz w:val="24"/>
          <w:szCs w:val="24"/>
        </w:rPr>
        <w:t>Barbara Maughan</w:t>
      </w:r>
      <w:r w:rsidRPr="00F70AC6">
        <w:rPr>
          <w:sz w:val="24"/>
          <w:szCs w:val="24"/>
          <w:vertAlign w:val="superscript"/>
        </w:rPr>
        <w:t>4</w:t>
      </w:r>
      <w:r>
        <w:rPr>
          <w:sz w:val="24"/>
          <w:szCs w:val="24"/>
        </w:rPr>
        <w:t>, Michael Rutter</w:t>
      </w:r>
      <w:r w:rsidRPr="00F70AC6">
        <w:rPr>
          <w:sz w:val="24"/>
          <w:szCs w:val="24"/>
          <w:vertAlign w:val="superscript"/>
        </w:rPr>
        <w:t>4</w:t>
      </w:r>
      <w:r>
        <w:rPr>
          <w:sz w:val="24"/>
          <w:szCs w:val="24"/>
        </w:rPr>
        <w:t>,</w:t>
      </w:r>
      <w:r w:rsidR="008B3BA3">
        <w:rPr>
          <w:sz w:val="24"/>
          <w:szCs w:val="24"/>
        </w:rPr>
        <w:t xml:space="preserve"> </w:t>
      </w:r>
      <w:r w:rsidRPr="0071463F">
        <w:rPr>
          <w:sz w:val="24"/>
          <w:szCs w:val="24"/>
        </w:rPr>
        <w:t>Wolff Schlotz</w:t>
      </w:r>
      <w:r w:rsidRPr="004F071A">
        <w:rPr>
          <w:sz w:val="24"/>
          <w:szCs w:val="24"/>
          <w:vertAlign w:val="superscript"/>
        </w:rPr>
        <w:t>5</w:t>
      </w:r>
      <w:r w:rsidRPr="0071463F">
        <w:rPr>
          <w:sz w:val="24"/>
          <w:szCs w:val="24"/>
        </w:rPr>
        <w:t xml:space="preserve"> &amp; Edmund Sonuga-Barke</w:t>
      </w:r>
      <w:r w:rsidRPr="004F071A">
        <w:rPr>
          <w:sz w:val="24"/>
          <w:szCs w:val="24"/>
          <w:vertAlign w:val="superscript"/>
        </w:rPr>
        <w:t>1</w:t>
      </w:r>
    </w:p>
    <w:p w14:paraId="0937CB2F" w14:textId="77777777" w:rsidR="00BD25B0" w:rsidRPr="00B36F3E" w:rsidRDefault="00BD25B0" w:rsidP="00C66701">
      <w:pPr>
        <w:pStyle w:val="ListParagraph"/>
        <w:numPr>
          <w:ilvl w:val="0"/>
          <w:numId w:val="3"/>
        </w:numPr>
        <w:spacing w:line="240" w:lineRule="auto"/>
        <w:rPr>
          <w:sz w:val="20"/>
          <w:szCs w:val="20"/>
        </w:rPr>
      </w:pPr>
      <w:r w:rsidRPr="00B36F3E">
        <w:rPr>
          <w:sz w:val="20"/>
          <w:szCs w:val="20"/>
        </w:rPr>
        <w:t>Developmental Brain-Behaviour Laboratory Psychology Academic Unit, University of Southampton.</w:t>
      </w:r>
    </w:p>
    <w:p w14:paraId="3C7A8DF6" w14:textId="2F1F7781" w:rsidR="00BD25B0" w:rsidRPr="00B36F3E" w:rsidRDefault="00CE6533" w:rsidP="00C66701">
      <w:pPr>
        <w:pStyle w:val="ListParagraph"/>
        <w:numPr>
          <w:ilvl w:val="0"/>
          <w:numId w:val="3"/>
        </w:numPr>
        <w:spacing w:line="240" w:lineRule="auto"/>
        <w:rPr>
          <w:sz w:val="20"/>
          <w:szCs w:val="20"/>
        </w:rPr>
      </w:pPr>
      <w:r w:rsidRPr="00B36F3E">
        <w:rPr>
          <w:sz w:val="20"/>
          <w:szCs w:val="20"/>
        </w:rPr>
        <w:t>The Amy Winehouse Foundation, London.</w:t>
      </w:r>
    </w:p>
    <w:p w14:paraId="44A4DF92" w14:textId="3D9CBD44" w:rsidR="00BD25B0" w:rsidRPr="00B36F3E" w:rsidRDefault="00CE6533" w:rsidP="00C66701">
      <w:pPr>
        <w:pStyle w:val="ListParagraph"/>
        <w:numPr>
          <w:ilvl w:val="0"/>
          <w:numId w:val="3"/>
        </w:numPr>
        <w:spacing w:line="240" w:lineRule="auto"/>
        <w:rPr>
          <w:sz w:val="20"/>
          <w:szCs w:val="20"/>
        </w:rPr>
      </w:pPr>
      <w:r w:rsidRPr="00B36F3E">
        <w:rPr>
          <w:sz w:val="20"/>
          <w:szCs w:val="20"/>
        </w:rPr>
        <w:t>Department of Genetic Psychology, Faculty of Psychology, Ruhr-University Bochum, Germany.</w:t>
      </w:r>
    </w:p>
    <w:p w14:paraId="0421CFA4" w14:textId="349EA16B" w:rsidR="00BD25B0" w:rsidRPr="00B36F3E" w:rsidRDefault="00BD25B0" w:rsidP="00C66701">
      <w:pPr>
        <w:pStyle w:val="ListParagraph"/>
        <w:numPr>
          <w:ilvl w:val="0"/>
          <w:numId w:val="3"/>
        </w:numPr>
        <w:spacing w:line="240" w:lineRule="auto"/>
        <w:rPr>
          <w:rFonts w:cs="Arial"/>
          <w:sz w:val="20"/>
          <w:szCs w:val="20"/>
        </w:rPr>
      </w:pPr>
      <w:r w:rsidRPr="00B36F3E">
        <w:rPr>
          <w:sz w:val="20"/>
          <w:szCs w:val="20"/>
        </w:rPr>
        <w:t>MRC Social, Genetic &amp; Developmental Psychiatry Centre, Institute of Psychiatry, Psychology and Neuroscience, King’s College London.</w:t>
      </w:r>
    </w:p>
    <w:p w14:paraId="202773C3" w14:textId="4115AA67" w:rsidR="00BD25B0" w:rsidRPr="00B36F3E" w:rsidRDefault="003356F6" w:rsidP="00C66701">
      <w:pPr>
        <w:pStyle w:val="ListParagraph"/>
        <w:numPr>
          <w:ilvl w:val="0"/>
          <w:numId w:val="3"/>
        </w:numPr>
        <w:spacing w:line="240" w:lineRule="auto"/>
        <w:rPr>
          <w:rFonts w:cs="Arial"/>
          <w:sz w:val="20"/>
          <w:szCs w:val="20"/>
        </w:rPr>
      </w:pPr>
      <w:r w:rsidRPr="00B36F3E">
        <w:rPr>
          <w:sz w:val="20"/>
          <w:szCs w:val="20"/>
        </w:rPr>
        <w:t>Max-Planck-Institute for Empirical Aesthetics, Frankfurt am Main</w:t>
      </w:r>
      <w:r w:rsidR="00CE6533" w:rsidRPr="00B36F3E">
        <w:rPr>
          <w:sz w:val="20"/>
          <w:szCs w:val="20"/>
        </w:rPr>
        <w:t>.</w:t>
      </w:r>
    </w:p>
    <w:p w14:paraId="2490C7A0" w14:textId="77777777" w:rsidR="00BD25B0" w:rsidRDefault="00BD25B0" w:rsidP="004F071A">
      <w:pPr>
        <w:spacing w:line="480" w:lineRule="auto"/>
        <w:ind w:left="360"/>
        <w:rPr>
          <w:b/>
          <w:bCs/>
          <w:sz w:val="24"/>
          <w:szCs w:val="24"/>
        </w:rPr>
      </w:pPr>
      <w:r w:rsidRPr="008B3BA3">
        <w:rPr>
          <w:b/>
          <w:bCs/>
          <w:sz w:val="24"/>
          <w:szCs w:val="24"/>
        </w:rPr>
        <w:t xml:space="preserve">Correspondence: Edmund J S Sonuga-Barke, Psychology Academic Unit, University of Southampton, Southampton, SO17 1BJ. Email – </w:t>
      </w:r>
      <w:hyperlink r:id="rId7" w:history="1">
        <w:r w:rsidRPr="008B3BA3">
          <w:rPr>
            <w:rStyle w:val="Hyperlink"/>
            <w:b/>
            <w:bCs/>
            <w:sz w:val="24"/>
            <w:szCs w:val="24"/>
          </w:rPr>
          <w:t>ejb3@soton.ac.uk</w:t>
        </w:r>
      </w:hyperlink>
      <w:r w:rsidRPr="008B3BA3">
        <w:rPr>
          <w:b/>
          <w:bCs/>
          <w:sz w:val="24"/>
          <w:szCs w:val="24"/>
        </w:rPr>
        <w:t xml:space="preserve">. </w:t>
      </w:r>
    </w:p>
    <w:p w14:paraId="3494430E" w14:textId="77777777" w:rsidR="00C66701" w:rsidRDefault="00C66701" w:rsidP="004F071A">
      <w:pPr>
        <w:spacing w:line="480" w:lineRule="auto"/>
        <w:ind w:left="360"/>
        <w:rPr>
          <w:b/>
          <w:bCs/>
          <w:sz w:val="24"/>
          <w:szCs w:val="24"/>
        </w:rPr>
      </w:pPr>
    </w:p>
    <w:p w14:paraId="72DF9FD4" w14:textId="248E8268" w:rsidR="00B36F3E" w:rsidRDefault="00C66701" w:rsidP="00B36F3E">
      <w:pPr>
        <w:spacing w:line="480" w:lineRule="auto"/>
        <w:ind w:left="360"/>
        <w:rPr>
          <w:b/>
          <w:bCs/>
          <w:sz w:val="24"/>
          <w:szCs w:val="24"/>
        </w:rPr>
      </w:pPr>
      <w:r>
        <w:rPr>
          <w:b/>
          <w:bCs/>
          <w:sz w:val="24"/>
          <w:szCs w:val="24"/>
        </w:rPr>
        <w:t>Submitted for JCPP Special Issue 2016</w:t>
      </w:r>
    </w:p>
    <w:p w14:paraId="1F46FADD" w14:textId="77777777" w:rsidR="00B36F3E" w:rsidRDefault="00B36F3E" w:rsidP="004F071A">
      <w:pPr>
        <w:spacing w:line="480" w:lineRule="auto"/>
        <w:ind w:left="360"/>
        <w:rPr>
          <w:b/>
          <w:bCs/>
          <w:sz w:val="24"/>
          <w:szCs w:val="24"/>
        </w:rPr>
      </w:pPr>
      <w:r>
        <w:rPr>
          <w:b/>
          <w:bCs/>
          <w:sz w:val="24"/>
          <w:szCs w:val="24"/>
        </w:rPr>
        <w:t>Word count</w:t>
      </w:r>
    </w:p>
    <w:p w14:paraId="08038812" w14:textId="02390265" w:rsidR="00B36F3E" w:rsidRPr="00B36F3E" w:rsidRDefault="00B36F3E" w:rsidP="004F071A">
      <w:pPr>
        <w:spacing w:line="480" w:lineRule="auto"/>
        <w:ind w:left="360"/>
        <w:rPr>
          <w:sz w:val="24"/>
          <w:szCs w:val="24"/>
        </w:rPr>
      </w:pPr>
      <w:r w:rsidRPr="00B36F3E">
        <w:rPr>
          <w:sz w:val="24"/>
          <w:szCs w:val="24"/>
        </w:rPr>
        <w:t>Abstract</w:t>
      </w:r>
      <w:proofErr w:type="gramStart"/>
      <w:r w:rsidRPr="00B36F3E">
        <w:rPr>
          <w:sz w:val="24"/>
          <w:szCs w:val="24"/>
        </w:rPr>
        <w:t>-  288</w:t>
      </w:r>
      <w:proofErr w:type="gramEnd"/>
      <w:r w:rsidRPr="00B36F3E">
        <w:rPr>
          <w:sz w:val="24"/>
          <w:szCs w:val="24"/>
        </w:rPr>
        <w:t xml:space="preserve"> words</w:t>
      </w:r>
    </w:p>
    <w:p w14:paraId="0A87DE5A" w14:textId="3A22B331" w:rsidR="00B36F3E" w:rsidRPr="009967FA" w:rsidRDefault="00B36F3E" w:rsidP="009967FA">
      <w:pPr>
        <w:spacing w:line="480" w:lineRule="auto"/>
        <w:ind w:left="360"/>
        <w:rPr>
          <w:sz w:val="24"/>
          <w:szCs w:val="24"/>
        </w:rPr>
      </w:pPr>
      <w:r w:rsidRPr="00B36F3E">
        <w:rPr>
          <w:sz w:val="24"/>
          <w:szCs w:val="24"/>
        </w:rPr>
        <w:t>Text - 4864</w:t>
      </w:r>
    </w:p>
    <w:p w14:paraId="6146F90C" w14:textId="77777777" w:rsidR="00BD25B0" w:rsidRPr="0071463F" w:rsidRDefault="00BD25B0">
      <w:pPr>
        <w:spacing w:after="0" w:line="240" w:lineRule="auto"/>
        <w:rPr>
          <w:rFonts w:cs="Arial"/>
          <w:b/>
          <w:bCs/>
          <w:sz w:val="24"/>
          <w:szCs w:val="24"/>
        </w:rPr>
      </w:pPr>
      <w:r w:rsidRPr="0071463F">
        <w:rPr>
          <w:rFonts w:cs="Arial"/>
          <w:b/>
          <w:bCs/>
          <w:sz w:val="24"/>
          <w:szCs w:val="24"/>
        </w:rPr>
        <w:br w:type="page"/>
      </w:r>
    </w:p>
    <w:p w14:paraId="78B8D7D9" w14:textId="77777777" w:rsidR="00D279F0" w:rsidRDefault="00D279F0" w:rsidP="00FB63A6">
      <w:pPr>
        <w:pStyle w:val="ListParagraph"/>
        <w:spacing w:line="480" w:lineRule="auto"/>
        <w:ind w:left="0"/>
        <w:jc w:val="center"/>
        <w:outlineLvl w:val="0"/>
        <w:rPr>
          <w:b/>
          <w:bCs/>
          <w:sz w:val="24"/>
          <w:szCs w:val="24"/>
        </w:rPr>
      </w:pPr>
      <w:r>
        <w:rPr>
          <w:b/>
          <w:bCs/>
          <w:sz w:val="24"/>
          <w:szCs w:val="24"/>
        </w:rPr>
        <w:lastRenderedPageBreak/>
        <w:t>Acknowledgements</w:t>
      </w:r>
    </w:p>
    <w:p w14:paraId="63B01C58" w14:textId="5E267BE7" w:rsidR="00D279F0" w:rsidRDefault="00D279F0" w:rsidP="00E6711B">
      <w:pPr>
        <w:pStyle w:val="ListParagraph"/>
        <w:spacing w:line="480" w:lineRule="auto"/>
        <w:ind w:left="0"/>
        <w:outlineLvl w:val="0"/>
        <w:rPr>
          <w:sz w:val="24"/>
          <w:szCs w:val="24"/>
        </w:rPr>
      </w:pPr>
      <w:r w:rsidRPr="00D279F0">
        <w:rPr>
          <w:sz w:val="24"/>
          <w:szCs w:val="24"/>
        </w:rPr>
        <w:t xml:space="preserve">We would like to express our </w:t>
      </w:r>
      <w:r w:rsidR="00E6711B">
        <w:rPr>
          <w:sz w:val="24"/>
          <w:szCs w:val="24"/>
        </w:rPr>
        <w:t xml:space="preserve">sincere </w:t>
      </w:r>
      <w:r w:rsidRPr="00D279F0">
        <w:rPr>
          <w:sz w:val="24"/>
          <w:szCs w:val="24"/>
        </w:rPr>
        <w:t xml:space="preserve">gratitude to all the families and young people who have participated in this study over the many years it has been </w:t>
      </w:r>
      <w:r w:rsidR="00E6711B">
        <w:rPr>
          <w:sz w:val="24"/>
          <w:szCs w:val="24"/>
        </w:rPr>
        <w:t xml:space="preserve">running. Without them none our work would be possible. We are also grateful to the comments from Dr Dennis Golm and Dr Graeme Fairchild during initial planning meetings </w:t>
      </w:r>
      <w:proofErr w:type="gramStart"/>
      <w:r w:rsidR="00E6711B">
        <w:rPr>
          <w:sz w:val="24"/>
          <w:szCs w:val="24"/>
        </w:rPr>
        <w:t xml:space="preserve">and </w:t>
      </w:r>
      <w:r w:rsidR="00DF6365">
        <w:rPr>
          <w:sz w:val="24"/>
          <w:szCs w:val="24"/>
        </w:rPr>
        <w:t>also</w:t>
      </w:r>
      <w:proofErr w:type="gramEnd"/>
      <w:r w:rsidR="00DF6365">
        <w:rPr>
          <w:sz w:val="24"/>
          <w:szCs w:val="24"/>
        </w:rPr>
        <w:t xml:space="preserve"> to Helen Loader for her support. Thanks go </w:t>
      </w:r>
      <w:r w:rsidR="00E6711B">
        <w:rPr>
          <w:sz w:val="24"/>
          <w:szCs w:val="24"/>
        </w:rPr>
        <w:t xml:space="preserve">to all the previous researchers on the project especially Dr Celia Beckett, Dr Jenny Castle, Dr Suzanne Stevens, Dr Emma </w:t>
      </w:r>
      <w:proofErr w:type="spellStart"/>
      <w:r w:rsidR="00E6711B">
        <w:rPr>
          <w:sz w:val="24"/>
          <w:szCs w:val="24"/>
        </w:rPr>
        <w:t>Colvert</w:t>
      </w:r>
      <w:proofErr w:type="spellEnd"/>
      <w:r w:rsidR="00E6711B">
        <w:rPr>
          <w:sz w:val="24"/>
          <w:szCs w:val="24"/>
        </w:rPr>
        <w:t xml:space="preserve"> and Amanda Hawkins who were involved in the collection of data during the mid-adolescent phase of the project. We thank our advisory board for all their useful suggestions especially Professor Megan Gunnar, Professor Jonathan Hill, Professor Trevor Robbins and Dr John Symonds. This work was funded by a project grant from the UK Economic Social Research Council (</w:t>
      </w:r>
      <w:r w:rsidR="00E6711B" w:rsidRPr="004E6661">
        <w:rPr>
          <w:sz w:val="24"/>
          <w:szCs w:val="24"/>
        </w:rPr>
        <w:t xml:space="preserve">ESRC; </w:t>
      </w:r>
      <w:r w:rsidR="004E6661" w:rsidRPr="004E6661">
        <w:rPr>
          <w:rFonts w:asciiTheme="minorHAnsi" w:hAnsiTheme="minorHAnsi" w:cs="Helvetica"/>
          <w:color w:val="333333"/>
          <w:sz w:val="24"/>
          <w:szCs w:val="24"/>
        </w:rPr>
        <w:t>RES-062-23-3300</w:t>
      </w:r>
      <w:r w:rsidR="00E6711B">
        <w:rPr>
          <w:sz w:val="24"/>
          <w:szCs w:val="24"/>
        </w:rPr>
        <w:t xml:space="preserve">). </w:t>
      </w:r>
    </w:p>
    <w:p w14:paraId="4AFB0925" w14:textId="77777777" w:rsidR="00E726DB" w:rsidRDefault="00E726DB" w:rsidP="00E726DB">
      <w:pPr>
        <w:pStyle w:val="ListParagraph"/>
        <w:spacing w:line="480" w:lineRule="auto"/>
        <w:ind w:left="0"/>
        <w:outlineLvl w:val="0"/>
        <w:rPr>
          <w:sz w:val="24"/>
          <w:szCs w:val="24"/>
        </w:rPr>
      </w:pPr>
    </w:p>
    <w:p w14:paraId="4A4D52DE" w14:textId="014EE6DB" w:rsidR="00E6711B" w:rsidRDefault="00E726DB" w:rsidP="00E726DB">
      <w:pPr>
        <w:pStyle w:val="ListParagraph"/>
        <w:spacing w:line="480" w:lineRule="auto"/>
        <w:ind w:left="0"/>
        <w:jc w:val="center"/>
        <w:outlineLvl w:val="0"/>
        <w:rPr>
          <w:b/>
          <w:bCs/>
          <w:sz w:val="24"/>
          <w:szCs w:val="24"/>
        </w:rPr>
      </w:pPr>
      <w:r>
        <w:rPr>
          <w:b/>
          <w:bCs/>
          <w:sz w:val="24"/>
          <w:szCs w:val="24"/>
        </w:rPr>
        <w:t>Disclosures</w:t>
      </w:r>
    </w:p>
    <w:p w14:paraId="5140E083" w14:textId="056C2DA7" w:rsidR="005A0394" w:rsidRDefault="005A0394" w:rsidP="005A0394">
      <w:pPr>
        <w:spacing w:after="0" w:line="480" w:lineRule="auto"/>
        <w:rPr>
          <w:sz w:val="24"/>
          <w:szCs w:val="24"/>
        </w:rPr>
      </w:pPr>
      <w:r w:rsidRPr="005A0394">
        <w:rPr>
          <w:sz w:val="24"/>
          <w:szCs w:val="24"/>
        </w:rPr>
        <w:t xml:space="preserve">Over the last three years </w:t>
      </w:r>
      <w:r>
        <w:rPr>
          <w:sz w:val="24"/>
          <w:szCs w:val="24"/>
        </w:rPr>
        <w:t>Professor Edmund Sonuga-Barke has received s</w:t>
      </w:r>
      <w:r w:rsidRPr="005A0394">
        <w:rPr>
          <w:sz w:val="24"/>
          <w:szCs w:val="24"/>
        </w:rPr>
        <w:t>peaker fees, consultancy, research funding and conference support from Shire Pharma</w:t>
      </w:r>
      <w:r>
        <w:rPr>
          <w:sz w:val="24"/>
          <w:szCs w:val="24"/>
        </w:rPr>
        <w:t xml:space="preserve"> and s</w:t>
      </w:r>
      <w:r w:rsidRPr="005A0394">
        <w:rPr>
          <w:sz w:val="24"/>
          <w:szCs w:val="24"/>
        </w:rPr>
        <w:t xml:space="preserve">peaker fees from Janssen </w:t>
      </w:r>
      <w:proofErr w:type="spellStart"/>
      <w:r w:rsidRPr="005A0394">
        <w:rPr>
          <w:sz w:val="24"/>
          <w:szCs w:val="24"/>
        </w:rPr>
        <w:t>Cilag</w:t>
      </w:r>
      <w:proofErr w:type="spellEnd"/>
      <w:r w:rsidRPr="005A0394">
        <w:rPr>
          <w:sz w:val="24"/>
          <w:szCs w:val="24"/>
        </w:rPr>
        <w:t xml:space="preserve">, </w:t>
      </w:r>
      <w:r>
        <w:rPr>
          <w:sz w:val="24"/>
          <w:szCs w:val="24"/>
        </w:rPr>
        <w:t>He has received c</w:t>
      </w:r>
      <w:r w:rsidRPr="005A0394">
        <w:rPr>
          <w:sz w:val="24"/>
          <w:szCs w:val="24"/>
        </w:rPr>
        <w:t xml:space="preserve">onsultancy </w:t>
      </w:r>
      <w:r>
        <w:rPr>
          <w:sz w:val="24"/>
          <w:szCs w:val="24"/>
        </w:rPr>
        <w:t xml:space="preserve">fees </w:t>
      </w:r>
      <w:r w:rsidRPr="005A0394">
        <w:rPr>
          <w:sz w:val="24"/>
          <w:szCs w:val="24"/>
        </w:rPr>
        <w:t xml:space="preserve">from </w:t>
      </w:r>
      <w:proofErr w:type="spellStart"/>
      <w:r w:rsidRPr="005A0394">
        <w:rPr>
          <w:sz w:val="24"/>
          <w:szCs w:val="24"/>
        </w:rPr>
        <w:t>Neurotech</w:t>
      </w:r>
      <w:proofErr w:type="spellEnd"/>
      <w:r w:rsidRPr="005A0394">
        <w:rPr>
          <w:sz w:val="24"/>
          <w:szCs w:val="24"/>
        </w:rPr>
        <w:t xml:space="preserve"> solutions, Aarhus University, Copenhagen University and </w:t>
      </w:r>
      <w:proofErr w:type="spellStart"/>
      <w:r w:rsidRPr="005A0394">
        <w:rPr>
          <w:sz w:val="24"/>
          <w:szCs w:val="24"/>
        </w:rPr>
        <w:t>Berhanderling</w:t>
      </w:r>
      <w:proofErr w:type="spellEnd"/>
      <w:r w:rsidRPr="005A0394">
        <w:rPr>
          <w:sz w:val="24"/>
          <w:szCs w:val="24"/>
        </w:rPr>
        <w:t xml:space="preserve">, </w:t>
      </w:r>
      <w:proofErr w:type="spellStart"/>
      <w:r w:rsidRPr="005A0394">
        <w:rPr>
          <w:sz w:val="24"/>
          <w:szCs w:val="24"/>
        </w:rPr>
        <w:t>Skolerne</w:t>
      </w:r>
      <w:proofErr w:type="spellEnd"/>
      <w:r w:rsidRPr="005A0394">
        <w:rPr>
          <w:sz w:val="24"/>
          <w:szCs w:val="24"/>
        </w:rPr>
        <w:t xml:space="preserve">, Copenhagen, KU Leuven. Book royalties from OUP and Jessica Kingsley. </w:t>
      </w:r>
      <w:r>
        <w:rPr>
          <w:sz w:val="24"/>
          <w:szCs w:val="24"/>
        </w:rPr>
        <w:t xml:space="preserve">He is the editor-in-chief of the Journal of Child Psychology and Psychiatry for which his University receives financial support. </w:t>
      </w:r>
      <w:r w:rsidR="00DF6365">
        <w:rPr>
          <w:sz w:val="24"/>
          <w:szCs w:val="24"/>
        </w:rPr>
        <w:t xml:space="preserve">No other authors had conflicts of interest to declare. </w:t>
      </w:r>
    </w:p>
    <w:p w14:paraId="1B4D87AF" w14:textId="77777777" w:rsidR="005A0394" w:rsidRDefault="005A0394" w:rsidP="005A0394">
      <w:pPr>
        <w:spacing w:after="0" w:line="240" w:lineRule="auto"/>
        <w:rPr>
          <w:sz w:val="24"/>
          <w:szCs w:val="24"/>
        </w:rPr>
      </w:pPr>
    </w:p>
    <w:p w14:paraId="3A67CABE" w14:textId="40F1E791" w:rsidR="00E6711B" w:rsidRPr="005A0394" w:rsidRDefault="00E6711B" w:rsidP="005A0394">
      <w:pPr>
        <w:spacing w:after="0" w:line="240" w:lineRule="auto"/>
        <w:rPr>
          <w:sz w:val="24"/>
          <w:szCs w:val="24"/>
        </w:rPr>
      </w:pPr>
      <w:r w:rsidRPr="005A0394">
        <w:rPr>
          <w:sz w:val="24"/>
          <w:szCs w:val="24"/>
        </w:rPr>
        <w:br w:type="page"/>
      </w:r>
    </w:p>
    <w:p w14:paraId="7ACD3CD7" w14:textId="48BA9EB8" w:rsidR="00BD25B0" w:rsidRDefault="00BD25B0" w:rsidP="00FB63A6">
      <w:pPr>
        <w:pStyle w:val="ListParagraph"/>
        <w:spacing w:line="480" w:lineRule="auto"/>
        <w:ind w:left="0"/>
        <w:jc w:val="center"/>
        <w:outlineLvl w:val="0"/>
        <w:rPr>
          <w:rFonts w:cs="Arial"/>
          <w:b/>
          <w:bCs/>
          <w:sz w:val="24"/>
          <w:szCs w:val="24"/>
        </w:rPr>
      </w:pPr>
      <w:r w:rsidRPr="0071463F">
        <w:rPr>
          <w:b/>
          <w:bCs/>
          <w:sz w:val="24"/>
          <w:szCs w:val="24"/>
        </w:rPr>
        <w:lastRenderedPageBreak/>
        <w:t>Abstract</w:t>
      </w:r>
    </w:p>
    <w:p w14:paraId="2EA3EB22" w14:textId="05871F05" w:rsidR="00BD25B0" w:rsidRPr="00CC5019" w:rsidRDefault="00BD25B0" w:rsidP="000844A3">
      <w:pPr>
        <w:pStyle w:val="ListParagraph"/>
        <w:spacing w:line="480" w:lineRule="auto"/>
        <w:ind w:left="0"/>
        <w:rPr>
          <w:sz w:val="24"/>
          <w:szCs w:val="24"/>
        </w:rPr>
      </w:pPr>
      <w:r>
        <w:rPr>
          <w:b/>
          <w:bCs/>
          <w:sz w:val="24"/>
          <w:szCs w:val="24"/>
        </w:rPr>
        <w:t xml:space="preserve">Background: </w:t>
      </w:r>
      <w:r w:rsidR="006A167F">
        <w:rPr>
          <w:b/>
          <w:bCs/>
          <w:sz w:val="24"/>
          <w:szCs w:val="24"/>
        </w:rPr>
        <w:t>E</w:t>
      </w:r>
      <w:r w:rsidRPr="00ED2557">
        <w:rPr>
          <w:sz w:val="24"/>
          <w:szCs w:val="24"/>
        </w:rPr>
        <w:t xml:space="preserve">arly </w:t>
      </w:r>
      <w:r>
        <w:rPr>
          <w:sz w:val="24"/>
          <w:szCs w:val="24"/>
        </w:rPr>
        <w:t xml:space="preserve">institutional deprivation </w:t>
      </w:r>
      <w:r w:rsidR="006A167F">
        <w:rPr>
          <w:sz w:val="24"/>
          <w:szCs w:val="24"/>
        </w:rPr>
        <w:t xml:space="preserve">is </w:t>
      </w:r>
      <w:r w:rsidRPr="00ED2557">
        <w:rPr>
          <w:sz w:val="24"/>
          <w:szCs w:val="24"/>
        </w:rPr>
        <w:t xml:space="preserve">a putative </w:t>
      </w:r>
      <w:r>
        <w:rPr>
          <w:sz w:val="24"/>
          <w:szCs w:val="24"/>
        </w:rPr>
        <w:t xml:space="preserve">social environmental </w:t>
      </w:r>
      <w:r w:rsidRPr="00ED2557">
        <w:rPr>
          <w:sz w:val="24"/>
          <w:szCs w:val="24"/>
        </w:rPr>
        <w:t>cause of attention-deficit/hyperactivity disorder</w:t>
      </w:r>
      <w:r>
        <w:rPr>
          <w:sz w:val="24"/>
          <w:szCs w:val="24"/>
        </w:rPr>
        <w:t xml:space="preserve"> (ADHD)</w:t>
      </w:r>
      <w:r w:rsidRPr="00ED2557">
        <w:rPr>
          <w:sz w:val="24"/>
          <w:szCs w:val="24"/>
        </w:rPr>
        <w:t xml:space="preserve">. </w:t>
      </w:r>
      <w:r w:rsidR="006A167F">
        <w:rPr>
          <w:sz w:val="24"/>
          <w:szCs w:val="24"/>
        </w:rPr>
        <w:t xml:space="preserve">In </w:t>
      </w:r>
      <w:proofErr w:type="gramStart"/>
      <w:r w:rsidR="006A167F">
        <w:rPr>
          <w:sz w:val="24"/>
          <w:szCs w:val="24"/>
        </w:rPr>
        <w:t>childhood</w:t>
      </w:r>
      <w:proofErr w:type="gramEnd"/>
      <w:r w:rsidR="006A167F">
        <w:rPr>
          <w:sz w:val="24"/>
          <w:szCs w:val="24"/>
        </w:rPr>
        <w:t xml:space="preserve"> d</w:t>
      </w:r>
      <w:r>
        <w:rPr>
          <w:sz w:val="24"/>
          <w:szCs w:val="24"/>
        </w:rPr>
        <w:t xml:space="preserve">eprivation-related ADHD </w:t>
      </w:r>
      <w:r w:rsidR="006A167F">
        <w:rPr>
          <w:sz w:val="24"/>
          <w:szCs w:val="24"/>
        </w:rPr>
        <w:t>has</w:t>
      </w:r>
      <w:r>
        <w:rPr>
          <w:sz w:val="24"/>
          <w:szCs w:val="24"/>
        </w:rPr>
        <w:t xml:space="preserve"> a number of distinctive </w:t>
      </w:r>
      <w:r w:rsidR="000844A3">
        <w:rPr>
          <w:sz w:val="24"/>
          <w:szCs w:val="24"/>
        </w:rPr>
        <w:t xml:space="preserve">clinical </w:t>
      </w:r>
      <w:r>
        <w:rPr>
          <w:sz w:val="24"/>
          <w:szCs w:val="24"/>
        </w:rPr>
        <w:t>f</w:t>
      </w:r>
      <w:r w:rsidR="006A167F">
        <w:rPr>
          <w:sz w:val="24"/>
          <w:szCs w:val="24"/>
        </w:rPr>
        <w:t>eatures</w:t>
      </w:r>
      <w:r>
        <w:rPr>
          <w:sz w:val="24"/>
          <w:szCs w:val="24"/>
        </w:rPr>
        <w:t xml:space="preserve">. In this paper, we </w:t>
      </w:r>
      <w:r w:rsidR="006A167F">
        <w:rPr>
          <w:sz w:val="24"/>
          <w:szCs w:val="24"/>
        </w:rPr>
        <w:t>examine</w:t>
      </w:r>
      <w:r>
        <w:rPr>
          <w:sz w:val="24"/>
          <w:szCs w:val="24"/>
        </w:rPr>
        <w:t xml:space="preserve">, for the first time, </w:t>
      </w:r>
      <w:r w:rsidR="000844A3">
        <w:rPr>
          <w:sz w:val="24"/>
          <w:szCs w:val="24"/>
        </w:rPr>
        <w:t xml:space="preserve">the persistence of </w:t>
      </w:r>
      <w:r>
        <w:rPr>
          <w:sz w:val="24"/>
          <w:szCs w:val="24"/>
        </w:rPr>
        <w:t xml:space="preserve">young adult ADHD in a sample of individuals adopted by UK families </w:t>
      </w:r>
      <w:r w:rsidR="006A167F">
        <w:rPr>
          <w:sz w:val="24"/>
          <w:szCs w:val="24"/>
        </w:rPr>
        <w:t xml:space="preserve">as </w:t>
      </w:r>
      <w:r w:rsidR="000E1760">
        <w:rPr>
          <w:sz w:val="24"/>
          <w:szCs w:val="24"/>
        </w:rPr>
        <w:t xml:space="preserve">young </w:t>
      </w:r>
      <w:r w:rsidR="006A167F">
        <w:rPr>
          <w:sz w:val="24"/>
          <w:szCs w:val="24"/>
        </w:rPr>
        <w:t>children after periods of up to</w:t>
      </w:r>
      <w:r>
        <w:rPr>
          <w:sz w:val="24"/>
          <w:szCs w:val="24"/>
        </w:rPr>
        <w:t xml:space="preserve"> 43 months in extremely depriving </w:t>
      </w:r>
      <w:r w:rsidR="006A167F">
        <w:rPr>
          <w:sz w:val="24"/>
          <w:szCs w:val="24"/>
        </w:rPr>
        <w:t xml:space="preserve">Romanian </w:t>
      </w:r>
      <w:r>
        <w:rPr>
          <w:sz w:val="24"/>
          <w:szCs w:val="24"/>
        </w:rPr>
        <w:t xml:space="preserve">orphanages. </w:t>
      </w:r>
      <w:r w:rsidRPr="001D6078">
        <w:rPr>
          <w:b/>
          <w:bCs/>
          <w:sz w:val="24"/>
          <w:szCs w:val="24"/>
        </w:rPr>
        <w:t>Methods:</w:t>
      </w:r>
      <w:r>
        <w:rPr>
          <w:b/>
          <w:bCs/>
          <w:sz w:val="24"/>
          <w:szCs w:val="24"/>
        </w:rPr>
        <w:t xml:space="preserve"> </w:t>
      </w:r>
      <w:r>
        <w:rPr>
          <w:sz w:val="24"/>
          <w:szCs w:val="24"/>
        </w:rPr>
        <w:t>DSM-IV symptom and impairment criteria were used to ascertain ADHD status for individuals when they were adolescents (age 15 years; 47 UK comparison and 146 Romanian adoptees) and y</w:t>
      </w:r>
      <w:r w:rsidR="00870DF8">
        <w:rPr>
          <w:sz w:val="24"/>
          <w:szCs w:val="24"/>
        </w:rPr>
        <w:t>oung adults (age 22-25 years; 36 UK comparison and 101</w:t>
      </w:r>
      <w:r>
        <w:rPr>
          <w:sz w:val="24"/>
          <w:szCs w:val="24"/>
        </w:rPr>
        <w:t xml:space="preserve"> Romanian adoptees). Data on co-occurring symptoms of disinhibited social engagement</w:t>
      </w:r>
      <w:r w:rsidR="00E726DB">
        <w:rPr>
          <w:sz w:val="24"/>
          <w:szCs w:val="24"/>
        </w:rPr>
        <w:t xml:space="preserve"> (DSE)</w:t>
      </w:r>
      <w:r>
        <w:rPr>
          <w:sz w:val="24"/>
          <w:szCs w:val="24"/>
        </w:rPr>
        <w:t>, autism spectrum disorder</w:t>
      </w:r>
      <w:r w:rsidR="006724A9">
        <w:rPr>
          <w:sz w:val="24"/>
          <w:szCs w:val="24"/>
        </w:rPr>
        <w:t xml:space="preserve"> (ASD)</w:t>
      </w:r>
      <w:r>
        <w:rPr>
          <w:sz w:val="24"/>
          <w:szCs w:val="24"/>
        </w:rPr>
        <w:t>, cognitive impairment, conduct disorder</w:t>
      </w:r>
      <w:r w:rsidR="00C94321">
        <w:rPr>
          <w:sz w:val="24"/>
          <w:szCs w:val="24"/>
        </w:rPr>
        <w:t xml:space="preserve"> (CD)</w:t>
      </w:r>
      <w:r>
        <w:rPr>
          <w:sz w:val="24"/>
          <w:szCs w:val="24"/>
        </w:rPr>
        <w:t xml:space="preserve">, anxiety and depression as well as young adult quality of life was also gathered. </w:t>
      </w:r>
      <w:r w:rsidRPr="00477B0A">
        <w:rPr>
          <w:b/>
          <w:bCs/>
          <w:sz w:val="24"/>
          <w:szCs w:val="24"/>
        </w:rPr>
        <w:t>Results:</w:t>
      </w:r>
      <w:r>
        <w:rPr>
          <w:sz w:val="24"/>
          <w:szCs w:val="24"/>
        </w:rPr>
        <w:t xml:space="preserve"> In adolescence adoptees with more than 6 months institutional </w:t>
      </w:r>
      <w:r w:rsidRPr="004D384D">
        <w:rPr>
          <w:sz w:val="24"/>
          <w:szCs w:val="24"/>
        </w:rPr>
        <w:t xml:space="preserve">deprivation were nearly four times </w:t>
      </w:r>
      <w:r>
        <w:rPr>
          <w:sz w:val="24"/>
          <w:szCs w:val="24"/>
        </w:rPr>
        <w:t xml:space="preserve">more </w:t>
      </w:r>
      <w:r w:rsidRPr="004D384D">
        <w:rPr>
          <w:sz w:val="24"/>
          <w:szCs w:val="24"/>
        </w:rPr>
        <w:t>likely to meet ADHD criteria than a combined group of UK controls and Romanian adoptees with less than 6 months deprivation (19% versus 5.6%). By young adulthood the difference had increased to more than seven fold (29.3% versus 3.8%). Young</w:t>
      </w:r>
      <w:r>
        <w:rPr>
          <w:sz w:val="24"/>
          <w:szCs w:val="24"/>
        </w:rPr>
        <w:t xml:space="preserve"> adult ADHD was equally common in males and females, was predominantly inattentive in presentation and co-occurred with high levels of </w:t>
      </w:r>
      <w:r w:rsidR="00E726DB">
        <w:rPr>
          <w:sz w:val="24"/>
          <w:szCs w:val="24"/>
        </w:rPr>
        <w:t>DSE</w:t>
      </w:r>
      <w:r>
        <w:rPr>
          <w:sz w:val="24"/>
          <w:szCs w:val="24"/>
        </w:rPr>
        <w:t xml:space="preserve"> and </w:t>
      </w:r>
      <w:r w:rsidR="006724A9">
        <w:rPr>
          <w:sz w:val="24"/>
          <w:szCs w:val="24"/>
        </w:rPr>
        <w:t xml:space="preserve">ASD </w:t>
      </w:r>
      <w:r w:rsidR="00C94321">
        <w:rPr>
          <w:sz w:val="24"/>
          <w:szCs w:val="24"/>
        </w:rPr>
        <w:t>features</w:t>
      </w:r>
      <w:r>
        <w:rPr>
          <w:sz w:val="24"/>
          <w:szCs w:val="24"/>
        </w:rPr>
        <w:t xml:space="preserve">. CD was strikingly absent from the group. ADHD was associated with reduced quality of life, high unemployment and low educational attainment. </w:t>
      </w:r>
      <w:r w:rsidRPr="00CC5019">
        <w:rPr>
          <w:b/>
          <w:bCs/>
          <w:sz w:val="24"/>
          <w:szCs w:val="24"/>
        </w:rPr>
        <w:t xml:space="preserve">Conclusion: </w:t>
      </w:r>
      <w:r w:rsidRPr="00CC5019">
        <w:rPr>
          <w:sz w:val="24"/>
          <w:szCs w:val="24"/>
        </w:rPr>
        <w:t xml:space="preserve">We provide the first evidence of the hyper-persistence </w:t>
      </w:r>
      <w:r w:rsidR="008B3BA3">
        <w:rPr>
          <w:sz w:val="24"/>
          <w:szCs w:val="24"/>
        </w:rPr>
        <w:t xml:space="preserve">into adulthood </w:t>
      </w:r>
      <w:r w:rsidRPr="00CC5019">
        <w:rPr>
          <w:sz w:val="24"/>
          <w:szCs w:val="24"/>
        </w:rPr>
        <w:t>of a distinctively complex and impairing institutional deprivation</w:t>
      </w:r>
      <w:r w:rsidR="008B3BA3">
        <w:rPr>
          <w:sz w:val="24"/>
          <w:szCs w:val="24"/>
        </w:rPr>
        <w:t xml:space="preserve"> </w:t>
      </w:r>
      <w:r w:rsidRPr="00CC5019">
        <w:rPr>
          <w:sz w:val="24"/>
          <w:szCs w:val="24"/>
        </w:rPr>
        <w:t xml:space="preserve">related form of ADHD. </w:t>
      </w:r>
      <w:r>
        <w:rPr>
          <w:sz w:val="24"/>
          <w:szCs w:val="24"/>
        </w:rPr>
        <w:t>Our results confirm</w:t>
      </w:r>
      <w:r w:rsidRPr="00CC5019">
        <w:rPr>
          <w:sz w:val="24"/>
          <w:szCs w:val="24"/>
        </w:rPr>
        <w:t xml:space="preserve"> the powerful impact of early experience on later development in a way that </w:t>
      </w:r>
      <w:r w:rsidR="00C059D4">
        <w:rPr>
          <w:sz w:val="24"/>
          <w:szCs w:val="24"/>
        </w:rPr>
        <w:t>suggests a role for</w:t>
      </w:r>
      <w:r w:rsidRPr="00CC5019">
        <w:rPr>
          <w:sz w:val="24"/>
          <w:szCs w:val="24"/>
        </w:rPr>
        <w:t xml:space="preserve"> deep-seated alter</w:t>
      </w:r>
      <w:r>
        <w:rPr>
          <w:sz w:val="24"/>
          <w:szCs w:val="24"/>
        </w:rPr>
        <w:t>a</w:t>
      </w:r>
      <w:r w:rsidRPr="00CC5019">
        <w:rPr>
          <w:sz w:val="24"/>
          <w:szCs w:val="24"/>
        </w:rPr>
        <w:t>tions</w:t>
      </w:r>
      <w:r w:rsidR="00C059D4">
        <w:rPr>
          <w:sz w:val="24"/>
          <w:szCs w:val="24"/>
        </w:rPr>
        <w:t xml:space="preserve"> to brain structure and function</w:t>
      </w:r>
      <w:r w:rsidRPr="00CC5019">
        <w:rPr>
          <w:sz w:val="24"/>
          <w:szCs w:val="24"/>
        </w:rPr>
        <w:t>.</w:t>
      </w:r>
    </w:p>
    <w:p w14:paraId="618047E6" w14:textId="2E2E54AD" w:rsidR="00BD25B0" w:rsidRDefault="008B63FD" w:rsidP="008B63FD">
      <w:pPr>
        <w:pStyle w:val="ListParagraph"/>
        <w:spacing w:line="480" w:lineRule="auto"/>
        <w:ind w:left="0"/>
        <w:rPr>
          <w:rFonts w:cs="Arial"/>
          <w:sz w:val="24"/>
          <w:szCs w:val="24"/>
        </w:rPr>
      </w:pPr>
      <w:r>
        <w:rPr>
          <w:rFonts w:cs="Arial"/>
          <w:sz w:val="24"/>
          <w:szCs w:val="24"/>
        </w:rPr>
        <w:lastRenderedPageBreak/>
        <w:t xml:space="preserve">Key words: attention deficit/hyperactivity disorder, institutional deprivation, Romanian adoptees, adult, longitudinal, adversity. </w:t>
      </w:r>
      <w:bookmarkStart w:id="0" w:name="_GoBack"/>
      <w:bookmarkEnd w:id="0"/>
    </w:p>
    <w:p w14:paraId="11532683" w14:textId="77777777" w:rsidR="00BD25B0" w:rsidRDefault="00BD25B0">
      <w:pPr>
        <w:spacing w:after="0" w:line="240" w:lineRule="auto"/>
        <w:rPr>
          <w:rFonts w:cs="Arial"/>
          <w:sz w:val="24"/>
          <w:szCs w:val="24"/>
        </w:rPr>
      </w:pPr>
      <w:r>
        <w:rPr>
          <w:rFonts w:cs="Arial"/>
          <w:sz w:val="24"/>
          <w:szCs w:val="24"/>
        </w:rPr>
        <w:br w:type="page"/>
      </w:r>
    </w:p>
    <w:p w14:paraId="3DF92EE8" w14:textId="77777777" w:rsidR="00BD25B0" w:rsidRPr="00E07E42" w:rsidRDefault="00BD25B0" w:rsidP="00FB63A6">
      <w:pPr>
        <w:pStyle w:val="ListParagraph"/>
        <w:spacing w:line="480" w:lineRule="auto"/>
        <w:ind w:left="0"/>
        <w:outlineLvl w:val="0"/>
        <w:rPr>
          <w:b/>
          <w:bCs/>
          <w:sz w:val="24"/>
          <w:szCs w:val="24"/>
        </w:rPr>
      </w:pPr>
      <w:r w:rsidRPr="00E07E42">
        <w:rPr>
          <w:b/>
          <w:bCs/>
          <w:sz w:val="24"/>
          <w:szCs w:val="24"/>
        </w:rPr>
        <w:lastRenderedPageBreak/>
        <w:t>Key points</w:t>
      </w:r>
    </w:p>
    <w:p w14:paraId="1B89406B" w14:textId="77777777" w:rsidR="00BD25B0" w:rsidRDefault="00BD25B0" w:rsidP="003E5E8D">
      <w:pPr>
        <w:pStyle w:val="ListParagraph"/>
        <w:numPr>
          <w:ilvl w:val="0"/>
          <w:numId w:val="2"/>
        </w:numPr>
        <w:spacing w:line="480" w:lineRule="auto"/>
        <w:rPr>
          <w:sz w:val="24"/>
          <w:szCs w:val="24"/>
        </w:rPr>
      </w:pPr>
      <w:r>
        <w:rPr>
          <w:sz w:val="24"/>
          <w:szCs w:val="24"/>
        </w:rPr>
        <w:t xml:space="preserve">Early severe institutional deprivation is associated with adverse long-term outcomes in groups of adopted children and adolescents in a substantial minority of cases. </w:t>
      </w:r>
    </w:p>
    <w:p w14:paraId="7B78FCF1" w14:textId="42A48AEA" w:rsidR="00BD25B0" w:rsidRDefault="00BD25B0" w:rsidP="003E5E8D">
      <w:pPr>
        <w:pStyle w:val="ListParagraph"/>
        <w:numPr>
          <w:ilvl w:val="0"/>
          <w:numId w:val="2"/>
        </w:numPr>
        <w:spacing w:line="480" w:lineRule="auto"/>
        <w:rPr>
          <w:sz w:val="24"/>
          <w:szCs w:val="24"/>
        </w:rPr>
      </w:pPr>
      <w:r>
        <w:rPr>
          <w:sz w:val="24"/>
          <w:szCs w:val="24"/>
        </w:rPr>
        <w:t xml:space="preserve">In the English and Romanian Adoptees study, ADHD-type problems are a characteristic feature of a distinctive pattern of deprivation-related childhood and adolescent problems </w:t>
      </w:r>
      <w:r w:rsidR="00D279F0">
        <w:rPr>
          <w:sz w:val="24"/>
          <w:szCs w:val="24"/>
        </w:rPr>
        <w:t xml:space="preserve">also </w:t>
      </w:r>
      <w:r>
        <w:rPr>
          <w:sz w:val="24"/>
          <w:szCs w:val="24"/>
        </w:rPr>
        <w:t xml:space="preserve">including quasi-autism, disinhibited social engagement and cognitive impairment. </w:t>
      </w:r>
    </w:p>
    <w:p w14:paraId="6B8CB2F8" w14:textId="385BD76F" w:rsidR="00BD25B0" w:rsidRDefault="00BD25B0" w:rsidP="00350420">
      <w:pPr>
        <w:pStyle w:val="ListParagraph"/>
        <w:numPr>
          <w:ilvl w:val="0"/>
          <w:numId w:val="2"/>
        </w:numPr>
        <w:spacing w:line="480" w:lineRule="auto"/>
        <w:rPr>
          <w:sz w:val="24"/>
          <w:szCs w:val="24"/>
        </w:rPr>
      </w:pPr>
      <w:r>
        <w:rPr>
          <w:sz w:val="24"/>
          <w:szCs w:val="24"/>
        </w:rPr>
        <w:t>This study provides the first evidence of st</w:t>
      </w:r>
      <w:r w:rsidR="00350420">
        <w:rPr>
          <w:sz w:val="24"/>
          <w:szCs w:val="24"/>
        </w:rPr>
        <w:t xml:space="preserve">riking persistence of ADHD into </w:t>
      </w:r>
      <w:r>
        <w:rPr>
          <w:sz w:val="24"/>
          <w:szCs w:val="24"/>
        </w:rPr>
        <w:t>adulthood following early institutional deprivation.</w:t>
      </w:r>
    </w:p>
    <w:p w14:paraId="0FBAB308" w14:textId="0B5738CA" w:rsidR="00BD25B0" w:rsidRDefault="00BD25B0" w:rsidP="00350420">
      <w:pPr>
        <w:pStyle w:val="ListParagraph"/>
        <w:numPr>
          <w:ilvl w:val="0"/>
          <w:numId w:val="2"/>
        </w:numPr>
        <w:spacing w:line="480" w:lineRule="auto"/>
        <w:rPr>
          <w:sz w:val="24"/>
          <w:szCs w:val="24"/>
        </w:rPr>
      </w:pPr>
      <w:r>
        <w:rPr>
          <w:sz w:val="24"/>
          <w:szCs w:val="24"/>
        </w:rPr>
        <w:t xml:space="preserve">Deprivation-related adult ADHD was distinctive in terms of its inattentive presentation, high </w:t>
      </w:r>
      <w:r w:rsidR="00350420">
        <w:rPr>
          <w:sz w:val="24"/>
          <w:szCs w:val="24"/>
        </w:rPr>
        <w:t>proportion of</w:t>
      </w:r>
      <w:r>
        <w:rPr>
          <w:sz w:val="24"/>
          <w:szCs w:val="24"/>
        </w:rPr>
        <w:t xml:space="preserve"> females, co-occurrence with disinhibited social engagement and autism symptoms and low rates of conduct disorder. </w:t>
      </w:r>
    </w:p>
    <w:p w14:paraId="0872F2C8" w14:textId="6A6D2888" w:rsidR="00BD25B0" w:rsidRPr="003E5E8D" w:rsidRDefault="00BD25B0" w:rsidP="00D279F0">
      <w:pPr>
        <w:pStyle w:val="ListParagraph"/>
        <w:numPr>
          <w:ilvl w:val="0"/>
          <w:numId w:val="2"/>
        </w:numPr>
        <w:spacing w:line="480" w:lineRule="auto"/>
        <w:rPr>
          <w:rFonts w:cs="Arial"/>
          <w:sz w:val="24"/>
          <w:szCs w:val="24"/>
        </w:rPr>
      </w:pPr>
      <w:r>
        <w:rPr>
          <w:sz w:val="24"/>
          <w:szCs w:val="24"/>
        </w:rPr>
        <w:t xml:space="preserve">The hyper-persistence and complex nature of ADHD in adults exposed to severe early deprivation highlights the need to </w:t>
      </w:r>
      <w:r w:rsidR="00D279F0">
        <w:rPr>
          <w:sz w:val="24"/>
          <w:szCs w:val="24"/>
        </w:rPr>
        <w:t>optimise</w:t>
      </w:r>
      <w:r>
        <w:rPr>
          <w:sz w:val="24"/>
          <w:szCs w:val="24"/>
        </w:rPr>
        <w:t xml:space="preserve"> continuity and cooperation between </w:t>
      </w:r>
      <w:proofErr w:type="gramStart"/>
      <w:r>
        <w:rPr>
          <w:sz w:val="24"/>
          <w:szCs w:val="24"/>
        </w:rPr>
        <w:t>child</w:t>
      </w:r>
      <w:proofErr w:type="gramEnd"/>
      <w:r>
        <w:rPr>
          <w:sz w:val="24"/>
          <w:szCs w:val="24"/>
        </w:rPr>
        <w:t xml:space="preserve"> t</w:t>
      </w:r>
      <w:r w:rsidR="00D279F0">
        <w:rPr>
          <w:sz w:val="24"/>
          <w:szCs w:val="24"/>
        </w:rPr>
        <w:t>o adult</w:t>
      </w:r>
      <w:r>
        <w:rPr>
          <w:sz w:val="24"/>
          <w:szCs w:val="24"/>
        </w:rPr>
        <w:t xml:space="preserve"> clinical services. </w:t>
      </w:r>
    </w:p>
    <w:p w14:paraId="3CD890F6" w14:textId="77777777" w:rsidR="00BD25B0" w:rsidRPr="0071463F" w:rsidRDefault="00BD25B0">
      <w:pPr>
        <w:spacing w:after="0" w:line="240" w:lineRule="auto"/>
        <w:rPr>
          <w:rFonts w:cs="Arial"/>
          <w:b/>
          <w:bCs/>
          <w:sz w:val="24"/>
          <w:szCs w:val="24"/>
        </w:rPr>
      </w:pPr>
      <w:r w:rsidRPr="0071463F">
        <w:rPr>
          <w:rFonts w:cs="Arial"/>
          <w:b/>
          <w:bCs/>
          <w:sz w:val="24"/>
          <w:szCs w:val="24"/>
        </w:rPr>
        <w:br w:type="page"/>
      </w:r>
    </w:p>
    <w:p w14:paraId="5B3E10F2" w14:textId="77777777" w:rsidR="00BD25B0" w:rsidRPr="0071463F" w:rsidRDefault="00BD25B0" w:rsidP="00FB63A6">
      <w:pPr>
        <w:spacing w:line="480" w:lineRule="auto"/>
        <w:outlineLvl w:val="0"/>
        <w:rPr>
          <w:b/>
          <w:bCs/>
          <w:sz w:val="24"/>
          <w:szCs w:val="24"/>
        </w:rPr>
      </w:pPr>
      <w:r w:rsidRPr="0071463F">
        <w:rPr>
          <w:b/>
          <w:bCs/>
          <w:sz w:val="24"/>
          <w:szCs w:val="24"/>
        </w:rPr>
        <w:lastRenderedPageBreak/>
        <w:t xml:space="preserve">Background </w:t>
      </w:r>
    </w:p>
    <w:p w14:paraId="771CFD1C" w14:textId="02C14384" w:rsidR="00BD25B0" w:rsidRPr="0071463F" w:rsidRDefault="00BD25B0" w:rsidP="00CA283A">
      <w:pPr>
        <w:spacing w:line="480" w:lineRule="auto"/>
        <w:rPr>
          <w:rFonts w:cs="Arial"/>
          <w:sz w:val="24"/>
          <w:szCs w:val="24"/>
        </w:rPr>
      </w:pPr>
      <w:r w:rsidRPr="0071463F">
        <w:rPr>
          <w:sz w:val="24"/>
          <w:szCs w:val="24"/>
        </w:rPr>
        <w:t>Attention-deficit/hyperactivity disorder (ADHD</w:t>
      </w:r>
      <w:proofErr w:type="gramStart"/>
      <w:r w:rsidRPr="0071463F">
        <w:rPr>
          <w:sz w:val="24"/>
          <w:szCs w:val="24"/>
        </w:rPr>
        <w:t>),</w:t>
      </w:r>
      <w:proofErr w:type="gramEnd"/>
      <w:r w:rsidRPr="0071463F">
        <w:rPr>
          <w:sz w:val="24"/>
          <w:szCs w:val="24"/>
        </w:rPr>
        <w:t xml:space="preserve"> characterised by developmentally inappropriate and impairing symptoms of inattention, impulsivity and hyperactivity, is a childhood onset disorder with deleterious effects across the lifespan </w:t>
      </w:r>
      <w:r w:rsidRPr="003A44D2">
        <w:rPr>
          <w:sz w:val="24"/>
          <w:szCs w:val="24"/>
        </w:rPr>
        <w:t>(Chorozoglou et al., 2015</w:t>
      </w:r>
      <w:r>
        <w:rPr>
          <w:sz w:val="24"/>
          <w:szCs w:val="24"/>
        </w:rPr>
        <w:t xml:space="preserve">; </w:t>
      </w:r>
      <w:r w:rsidRPr="003A44D2">
        <w:rPr>
          <w:sz w:val="24"/>
          <w:szCs w:val="24"/>
        </w:rPr>
        <w:t xml:space="preserve">Faraone </w:t>
      </w:r>
      <w:r>
        <w:rPr>
          <w:sz w:val="24"/>
          <w:szCs w:val="24"/>
        </w:rPr>
        <w:t>&amp; Biederman,</w:t>
      </w:r>
      <w:r w:rsidRPr="003A44D2">
        <w:rPr>
          <w:sz w:val="24"/>
          <w:szCs w:val="24"/>
        </w:rPr>
        <w:t xml:space="preserve"> 2005</w:t>
      </w:r>
      <w:r>
        <w:rPr>
          <w:sz w:val="24"/>
          <w:szCs w:val="24"/>
        </w:rPr>
        <w:t>;</w:t>
      </w:r>
      <w:r w:rsidRPr="00366B1D">
        <w:rPr>
          <w:sz w:val="24"/>
          <w:szCs w:val="24"/>
        </w:rPr>
        <w:t xml:space="preserve"> </w:t>
      </w:r>
      <w:r w:rsidRPr="003A44D2">
        <w:rPr>
          <w:sz w:val="24"/>
          <w:szCs w:val="24"/>
        </w:rPr>
        <w:t>Sonuga-Barke &amp; Taylor, 2015).</w:t>
      </w:r>
      <w:r w:rsidRPr="0071463F">
        <w:rPr>
          <w:sz w:val="24"/>
          <w:szCs w:val="24"/>
        </w:rPr>
        <w:t xml:space="preserve"> It is estimated to affect </w:t>
      </w:r>
      <w:r w:rsidR="00CA283A">
        <w:rPr>
          <w:sz w:val="24"/>
          <w:szCs w:val="24"/>
        </w:rPr>
        <w:t xml:space="preserve">around five percent </w:t>
      </w:r>
      <w:r w:rsidR="006724A9">
        <w:rPr>
          <w:sz w:val="24"/>
          <w:szCs w:val="24"/>
        </w:rPr>
        <w:t>of</w:t>
      </w:r>
      <w:r w:rsidRPr="0071463F">
        <w:rPr>
          <w:sz w:val="24"/>
          <w:szCs w:val="24"/>
        </w:rPr>
        <w:t xml:space="preserve"> children and adolescents worldwide </w:t>
      </w:r>
      <w:r w:rsidRPr="003A44D2">
        <w:rPr>
          <w:sz w:val="24"/>
          <w:szCs w:val="24"/>
        </w:rPr>
        <w:t>(</w:t>
      </w:r>
      <w:r>
        <w:rPr>
          <w:sz w:val="24"/>
          <w:szCs w:val="24"/>
        </w:rPr>
        <w:t>Polanczyk</w:t>
      </w:r>
      <w:r w:rsidRPr="003A44D2">
        <w:rPr>
          <w:sz w:val="24"/>
          <w:szCs w:val="24"/>
        </w:rPr>
        <w:t>,</w:t>
      </w:r>
      <w:r>
        <w:rPr>
          <w:sz w:val="24"/>
          <w:szCs w:val="24"/>
        </w:rPr>
        <w:t xml:space="preserve"> Salum, </w:t>
      </w:r>
      <w:proofErr w:type="spellStart"/>
      <w:r>
        <w:rPr>
          <w:sz w:val="24"/>
          <w:szCs w:val="24"/>
        </w:rPr>
        <w:t>Sugaya</w:t>
      </w:r>
      <w:proofErr w:type="spellEnd"/>
      <w:r>
        <w:rPr>
          <w:sz w:val="24"/>
          <w:szCs w:val="24"/>
        </w:rPr>
        <w:t xml:space="preserve">, </w:t>
      </w:r>
      <w:proofErr w:type="spellStart"/>
      <w:r>
        <w:rPr>
          <w:sz w:val="24"/>
          <w:szCs w:val="24"/>
        </w:rPr>
        <w:t>Caye</w:t>
      </w:r>
      <w:proofErr w:type="spellEnd"/>
      <w:r>
        <w:rPr>
          <w:sz w:val="24"/>
          <w:szCs w:val="24"/>
        </w:rPr>
        <w:t xml:space="preserve"> &amp; Rohde,</w:t>
      </w:r>
      <w:r w:rsidRPr="003A44D2">
        <w:rPr>
          <w:sz w:val="24"/>
          <w:szCs w:val="24"/>
        </w:rPr>
        <w:t xml:space="preserve"> 2015).</w:t>
      </w:r>
      <w:r w:rsidRPr="0071463F">
        <w:rPr>
          <w:sz w:val="24"/>
          <w:szCs w:val="24"/>
        </w:rPr>
        <w:t xml:space="preserve"> It is heterogeneous – with three </w:t>
      </w:r>
      <w:r>
        <w:rPr>
          <w:sz w:val="24"/>
          <w:szCs w:val="24"/>
        </w:rPr>
        <w:t xml:space="preserve">clinical </w:t>
      </w:r>
      <w:r w:rsidRPr="0071463F">
        <w:rPr>
          <w:sz w:val="24"/>
          <w:szCs w:val="24"/>
        </w:rPr>
        <w:t>presentations</w:t>
      </w:r>
      <w:r>
        <w:rPr>
          <w:sz w:val="24"/>
          <w:szCs w:val="24"/>
        </w:rPr>
        <w:t xml:space="preserve"> defined in DSM-5</w:t>
      </w:r>
      <w:r w:rsidR="006724A9">
        <w:rPr>
          <w:sz w:val="24"/>
          <w:szCs w:val="24"/>
        </w:rPr>
        <w:t xml:space="preserve"> (American Psychiatric Association, 2013)</w:t>
      </w:r>
      <w:r>
        <w:rPr>
          <w:sz w:val="24"/>
          <w:szCs w:val="24"/>
        </w:rPr>
        <w:t xml:space="preserve">: </w:t>
      </w:r>
      <w:r w:rsidRPr="0071463F">
        <w:rPr>
          <w:sz w:val="24"/>
          <w:szCs w:val="24"/>
        </w:rPr>
        <w:t>predominantly inattentive (ADHD-PI), predominantly hyperactive/impulsive (ADHD-PHI) and combined type</w:t>
      </w:r>
      <w:r>
        <w:rPr>
          <w:sz w:val="24"/>
          <w:szCs w:val="24"/>
        </w:rPr>
        <w:t>s</w:t>
      </w:r>
      <w:r w:rsidRPr="0071463F">
        <w:rPr>
          <w:sz w:val="24"/>
          <w:szCs w:val="24"/>
        </w:rPr>
        <w:t xml:space="preserve"> (ADHD-CT) affecting around 30, 10 and 60 percent of patients respectively </w:t>
      </w:r>
      <w:r>
        <w:rPr>
          <w:sz w:val="24"/>
          <w:szCs w:val="24"/>
        </w:rPr>
        <w:t>(Willcutt</w:t>
      </w:r>
      <w:r w:rsidRPr="003A44D2">
        <w:rPr>
          <w:sz w:val="24"/>
          <w:szCs w:val="24"/>
        </w:rPr>
        <w:t>, 2012).</w:t>
      </w:r>
      <w:r w:rsidRPr="0071463F">
        <w:rPr>
          <w:sz w:val="24"/>
          <w:szCs w:val="24"/>
        </w:rPr>
        <w:t xml:space="preserve"> ADHD frequently co-occurs with conditions such as conduct, mood and </w:t>
      </w:r>
      <w:r w:rsidRPr="003A44D2">
        <w:rPr>
          <w:sz w:val="24"/>
          <w:szCs w:val="24"/>
        </w:rPr>
        <w:t xml:space="preserve">anxiety </w:t>
      </w:r>
      <w:r>
        <w:rPr>
          <w:sz w:val="24"/>
          <w:szCs w:val="24"/>
        </w:rPr>
        <w:t xml:space="preserve">disorders </w:t>
      </w:r>
      <w:r w:rsidRPr="003A44D2">
        <w:rPr>
          <w:sz w:val="24"/>
          <w:szCs w:val="24"/>
        </w:rPr>
        <w:t>(</w:t>
      </w:r>
      <w:proofErr w:type="spellStart"/>
      <w:r w:rsidRPr="003A44D2">
        <w:rPr>
          <w:sz w:val="24"/>
          <w:szCs w:val="24"/>
        </w:rPr>
        <w:t>Yoshimasu</w:t>
      </w:r>
      <w:proofErr w:type="spellEnd"/>
      <w:r w:rsidRPr="003A44D2">
        <w:rPr>
          <w:sz w:val="24"/>
          <w:szCs w:val="24"/>
        </w:rPr>
        <w:t xml:space="preserve"> et al</w:t>
      </w:r>
      <w:r>
        <w:rPr>
          <w:sz w:val="24"/>
          <w:szCs w:val="24"/>
        </w:rPr>
        <w:t>.</w:t>
      </w:r>
      <w:r w:rsidRPr="003A44D2">
        <w:rPr>
          <w:sz w:val="24"/>
          <w:szCs w:val="24"/>
        </w:rPr>
        <w:t>, 2012)</w:t>
      </w:r>
      <w:r w:rsidRPr="0071463F">
        <w:rPr>
          <w:sz w:val="24"/>
          <w:szCs w:val="24"/>
        </w:rPr>
        <w:t xml:space="preserve">, </w:t>
      </w:r>
      <w:r>
        <w:rPr>
          <w:sz w:val="24"/>
          <w:szCs w:val="24"/>
        </w:rPr>
        <w:t>as well as</w:t>
      </w:r>
      <w:r w:rsidRPr="0071463F">
        <w:rPr>
          <w:sz w:val="24"/>
          <w:szCs w:val="24"/>
        </w:rPr>
        <w:t xml:space="preserve"> </w:t>
      </w:r>
      <w:r>
        <w:rPr>
          <w:sz w:val="24"/>
          <w:szCs w:val="24"/>
        </w:rPr>
        <w:t xml:space="preserve">with </w:t>
      </w:r>
      <w:proofErr w:type="gramStart"/>
      <w:r w:rsidRPr="0071463F">
        <w:rPr>
          <w:sz w:val="24"/>
          <w:szCs w:val="24"/>
        </w:rPr>
        <w:t>learning</w:t>
      </w:r>
      <w:proofErr w:type="gramEnd"/>
      <w:r w:rsidRPr="0071463F">
        <w:rPr>
          <w:sz w:val="24"/>
          <w:szCs w:val="24"/>
        </w:rPr>
        <w:t xml:space="preserve"> </w:t>
      </w:r>
      <w:r w:rsidRPr="003A44D2">
        <w:rPr>
          <w:sz w:val="24"/>
          <w:szCs w:val="24"/>
        </w:rPr>
        <w:t>(</w:t>
      </w:r>
      <w:proofErr w:type="spellStart"/>
      <w:r w:rsidRPr="003A44D2">
        <w:rPr>
          <w:sz w:val="24"/>
          <w:szCs w:val="24"/>
        </w:rPr>
        <w:t>Plourde</w:t>
      </w:r>
      <w:proofErr w:type="spellEnd"/>
      <w:r w:rsidRPr="003A44D2">
        <w:rPr>
          <w:sz w:val="24"/>
          <w:szCs w:val="24"/>
        </w:rPr>
        <w:t xml:space="preserve"> et al., 2015)</w:t>
      </w:r>
      <w:r w:rsidRPr="0071463F">
        <w:rPr>
          <w:sz w:val="24"/>
          <w:szCs w:val="24"/>
        </w:rPr>
        <w:t xml:space="preserve"> and pervasive developmental </w:t>
      </w:r>
      <w:r>
        <w:rPr>
          <w:sz w:val="24"/>
          <w:szCs w:val="24"/>
        </w:rPr>
        <w:t>difficulties</w:t>
      </w:r>
      <w:r w:rsidRPr="0071463F">
        <w:rPr>
          <w:sz w:val="24"/>
          <w:szCs w:val="24"/>
        </w:rPr>
        <w:t xml:space="preserve"> </w:t>
      </w:r>
      <w:r w:rsidRPr="003A44D2">
        <w:rPr>
          <w:sz w:val="24"/>
          <w:szCs w:val="24"/>
        </w:rPr>
        <w:t>(Jang et al. 2013)</w:t>
      </w:r>
      <w:r w:rsidRPr="0071463F">
        <w:rPr>
          <w:sz w:val="24"/>
          <w:szCs w:val="24"/>
        </w:rPr>
        <w:t xml:space="preserve">. ADHD is associated with lower IQ </w:t>
      </w:r>
      <w:r>
        <w:rPr>
          <w:sz w:val="24"/>
          <w:szCs w:val="24"/>
        </w:rPr>
        <w:t>scores (Frazier</w:t>
      </w:r>
      <w:r w:rsidRPr="003A44D2">
        <w:rPr>
          <w:sz w:val="24"/>
          <w:szCs w:val="24"/>
        </w:rPr>
        <w:t>,</w:t>
      </w:r>
      <w:r>
        <w:rPr>
          <w:sz w:val="24"/>
          <w:szCs w:val="24"/>
        </w:rPr>
        <w:t xml:space="preserve"> </w:t>
      </w:r>
      <w:proofErr w:type="spellStart"/>
      <w:r>
        <w:rPr>
          <w:sz w:val="24"/>
          <w:szCs w:val="24"/>
        </w:rPr>
        <w:t>Demaree</w:t>
      </w:r>
      <w:proofErr w:type="spellEnd"/>
      <w:r>
        <w:rPr>
          <w:sz w:val="24"/>
          <w:szCs w:val="24"/>
        </w:rPr>
        <w:t xml:space="preserve"> &amp; </w:t>
      </w:r>
      <w:proofErr w:type="spellStart"/>
      <w:r>
        <w:rPr>
          <w:sz w:val="24"/>
          <w:szCs w:val="24"/>
        </w:rPr>
        <w:t>Youngstrom</w:t>
      </w:r>
      <w:proofErr w:type="spellEnd"/>
      <w:r>
        <w:rPr>
          <w:sz w:val="24"/>
          <w:szCs w:val="24"/>
        </w:rPr>
        <w:t>,</w:t>
      </w:r>
      <w:r w:rsidRPr="003A44D2">
        <w:rPr>
          <w:sz w:val="24"/>
          <w:szCs w:val="24"/>
        </w:rPr>
        <w:t xml:space="preserve"> 2004)</w:t>
      </w:r>
      <w:r w:rsidRPr="0071463F">
        <w:rPr>
          <w:sz w:val="24"/>
          <w:szCs w:val="24"/>
        </w:rPr>
        <w:t xml:space="preserve"> and is common in children with intellectual disability </w:t>
      </w:r>
      <w:r>
        <w:rPr>
          <w:sz w:val="24"/>
          <w:szCs w:val="24"/>
        </w:rPr>
        <w:t>(i.e., Ahuja, Martin, Langley &amp; Thapar</w:t>
      </w:r>
      <w:r w:rsidRPr="003A44D2">
        <w:rPr>
          <w:sz w:val="24"/>
          <w:szCs w:val="24"/>
        </w:rPr>
        <w:t>, 2013).</w:t>
      </w:r>
      <w:r w:rsidRPr="0071463F">
        <w:rPr>
          <w:sz w:val="24"/>
          <w:szCs w:val="24"/>
        </w:rPr>
        <w:t xml:space="preserve"> Elevated rates of insecure attachment have been noted although the direction of causation remai</w:t>
      </w:r>
      <w:r>
        <w:rPr>
          <w:sz w:val="24"/>
          <w:szCs w:val="24"/>
        </w:rPr>
        <w:t xml:space="preserve">ns to be established </w:t>
      </w:r>
      <w:r w:rsidRPr="003A44D2">
        <w:rPr>
          <w:sz w:val="24"/>
          <w:szCs w:val="24"/>
        </w:rPr>
        <w:t>(Thorell</w:t>
      </w:r>
      <w:r>
        <w:rPr>
          <w:sz w:val="24"/>
          <w:szCs w:val="24"/>
        </w:rPr>
        <w:t xml:space="preserve">, </w:t>
      </w:r>
      <w:proofErr w:type="spellStart"/>
      <w:r>
        <w:rPr>
          <w:sz w:val="24"/>
          <w:szCs w:val="24"/>
        </w:rPr>
        <w:t>Rydell</w:t>
      </w:r>
      <w:proofErr w:type="spellEnd"/>
      <w:r>
        <w:rPr>
          <w:sz w:val="24"/>
          <w:szCs w:val="24"/>
        </w:rPr>
        <w:t xml:space="preserve"> &amp; </w:t>
      </w:r>
      <w:proofErr w:type="spellStart"/>
      <w:r>
        <w:rPr>
          <w:sz w:val="24"/>
          <w:szCs w:val="24"/>
        </w:rPr>
        <w:t>Bohlin</w:t>
      </w:r>
      <w:proofErr w:type="spellEnd"/>
      <w:r>
        <w:rPr>
          <w:sz w:val="24"/>
          <w:szCs w:val="24"/>
        </w:rPr>
        <w:t>,</w:t>
      </w:r>
      <w:r w:rsidRPr="003A44D2">
        <w:rPr>
          <w:sz w:val="24"/>
          <w:szCs w:val="24"/>
        </w:rPr>
        <w:t xml:space="preserve"> 2012).</w:t>
      </w:r>
      <w:r w:rsidRPr="0071463F">
        <w:rPr>
          <w:sz w:val="24"/>
          <w:szCs w:val="24"/>
        </w:rPr>
        <w:t xml:space="preserve">  ADHD is around 2.5 times more common in </w:t>
      </w:r>
      <w:r>
        <w:rPr>
          <w:sz w:val="24"/>
          <w:szCs w:val="24"/>
        </w:rPr>
        <w:t>males</w:t>
      </w:r>
      <w:r w:rsidRPr="0071463F">
        <w:rPr>
          <w:sz w:val="24"/>
          <w:szCs w:val="24"/>
        </w:rPr>
        <w:t xml:space="preserve"> than </w:t>
      </w:r>
      <w:r>
        <w:rPr>
          <w:sz w:val="24"/>
          <w:szCs w:val="24"/>
        </w:rPr>
        <w:t>females</w:t>
      </w:r>
      <w:r w:rsidRPr="0071463F">
        <w:rPr>
          <w:sz w:val="24"/>
          <w:szCs w:val="24"/>
        </w:rPr>
        <w:t xml:space="preserve"> in the general </w:t>
      </w:r>
      <w:r>
        <w:rPr>
          <w:sz w:val="24"/>
          <w:szCs w:val="24"/>
        </w:rPr>
        <w:t xml:space="preserve">childhood </w:t>
      </w:r>
      <w:r w:rsidRPr="0071463F">
        <w:rPr>
          <w:sz w:val="24"/>
          <w:szCs w:val="24"/>
        </w:rPr>
        <w:t xml:space="preserve">population </w:t>
      </w:r>
      <w:r w:rsidRPr="003A44D2">
        <w:rPr>
          <w:sz w:val="24"/>
          <w:szCs w:val="24"/>
        </w:rPr>
        <w:t>(Arnett et al., 2015</w:t>
      </w:r>
      <w:r>
        <w:rPr>
          <w:sz w:val="24"/>
          <w:szCs w:val="24"/>
        </w:rPr>
        <w:t>; Willcutt, 2012</w:t>
      </w:r>
      <w:r w:rsidRPr="003A44D2">
        <w:rPr>
          <w:sz w:val="24"/>
          <w:szCs w:val="24"/>
        </w:rPr>
        <w:t xml:space="preserve">) – </w:t>
      </w:r>
      <w:r w:rsidR="002A65EF">
        <w:rPr>
          <w:sz w:val="24"/>
          <w:szCs w:val="24"/>
        </w:rPr>
        <w:t>although</w:t>
      </w:r>
      <w:r w:rsidRPr="003A44D2">
        <w:rPr>
          <w:sz w:val="24"/>
          <w:szCs w:val="24"/>
        </w:rPr>
        <w:t xml:space="preserve"> ADHD-PI </w:t>
      </w:r>
      <w:r w:rsidR="00FD0288">
        <w:rPr>
          <w:sz w:val="24"/>
          <w:szCs w:val="24"/>
        </w:rPr>
        <w:t xml:space="preserve">is </w:t>
      </w:r>
      <w:r w:rsidRPr="003A44D2">
        <w:rPr>
          <w:sz w:val="24"/>
          <w:szCs w:val="24"/>
        </w:rPr>
        <w:t xml:space="preserve">particularly </w:t>
      </w:r>
      <w:r>
        <w:rPr>
          <w:sz w:val="24"/>
          <w:szCs w:val="24"/>
        </w:rPr>
        <w:t>common in girls (</w:t>
      </w:r>
      <w:r w:rsidRPr="003A44D2">
        <w:rPr>
          <w:sz w:val="24"/>
          <w:szCs w:val="24"/>
        </w:rPr>
        <w:t>Biederman et al., 2014</w:t>
      </w:r>
      <w:r>
        <w:rPr>
          <w:sz w:val="24"/>
          <w:szCs w:val="24"/>
        </w:rPr>
        <w:t>; Willcutt</w:t>
      </w:r>
      <w:r w:rsidRPr="003A44D2">
        <w:rPr>
          <w:sz w:val="24"/>
          <w:szCs w:val="24"/>
        </w:rPr>
        <w:t>, 2012).</w:t>
      </w:r>
    </w:p>
    <w:p w14:paraId="2E271C46" w14:textId="1A36169E" w:rsidR="00BD25B0" w:rsidRPr="0071463F" w:rsidRDefault="00BD25B0" w:rsidP="007B34AC">
      <w:pPr>
        <w:spacing w:line="480" w:lineRule="auto"/>
        <w:rPr>
          <w:sz w:val="24"/>
          <w:szCs w:val="24"/>
        </w:rPr>
      </w:pPr>
      <w:r w:rsidRPr="0071463F">
        <w:rPr>
          <w:rFonts w:cs="Arial"/>
          <w:sz w:val="24"/>
          <w:szCs w:val="24"/>
        </w:rPr>
        <w:tab/>
      </w:r>
      <w:r w:rsidRPr="0071463F">
        <w:rPr>
          <w:sz w:val="24"/>
          <w:szCs w:val="24"/>
        </w:rPr>
        <w:t xml:space="preserve">Although initially regarded as a child and adolescent condition, ADHD is now </w:t>
      </w:r>
      <w:r>
        <w:rPr>
          <w:sz w:val="24"/>
          <w:szCs w:val="24"/>
        </w:rPr>
        <w:t xml:space="preserve">also </w:t>
      </w:r>
      <w:r w:rsidRPr="0071463F">
        <w:rPr>
          <w:sz w:val="24"/>
          <w:szCs w:val="24"/>
        </w:rPr>
        <w:t>established as an</w:t>
      </w:r>
      <w:r>
        <w:rPr>
          <w:sz w:val="24"/>
          <w:szCs w:val="24"/>
        </w:rPr>
        <w:t xml:space="preserve"> important source of mental ill </w:t>
      </w:r>
      <w:r w:rsidRPr="0071463F">
        <w:rPr>
          <w:sz w:val="24"/>
          <w:szCs w:val="24"/>
        </w:rPr>
        <w:t>health and impairment</w:t>
      </w:r>
      <w:r>
        <w:rPr>
          <w:sz w:val="24"/>
          <w:szCs w:val="24"/>
        </w:rPr>
        <w:t xml:space="preserve"> in adulthood</w:t>
      </w:r>
      <w:r w:rsidRPr="0071463F">
        <w:rPr>
          <w:sz w:val="24"/>
          <w:szCs w:val="24"/>
        </w:rPr>
        <w:t xml:space="preserve"> </w:t>
      </w:r>
      <w:r w:rsidRPr="00444E67">
        <w:rPr>
          <w:sz w:val="24"/>
          <w:szCs w:val="24"/>
        </w:rPr>
        <w:t>(Garcia et al., 2012).</w:t>
      </w:r>
      <w:r w:rsidRPr="0071463F">
        <w:rPr>
          <w:sz w:val="24"/>
          <w:szCs w:val="24"/>
        </w:rPr>
        <w:t xml:space="preserve"> While </w:t>
      </w:r>
      <w:r>
        <w:rPr>
          <w:sz w:val="24"/>
          <w:szCs w:val="24"/>
        </w:rPr>
        <w:t>as few</w:t>
      </w:r>
      <w:r w:rsidRPr="0071463F">
        <w:rPr>
          <w:sz w:val="24"/>
          <w:szCs w:val="24"/>
        </w:rPr>
        <w:t xml:space="preserve"> as </w:t>
      </w:r>
      <w:r>
        <w:rPr>
          <w:sz w:val="24"/>
          <w:szCs w:val="24"/>
        </w:rPr>
        <w:t>20%</w:t>
      </w:r>
      <w:r w:rsidRPr="0071463F">
        <w:rPr>
          <w:sz w:val="24"/>
          <w:szCs w:val="24"/>
        </w:rPr>
        <w:t xml:space="preserve"> of patients with ADHD in childhood continue to meet the full child diagnostic criteria in adulthood</w:t>
      </w:r>
      <w:r>
        <w:rPr>
          <w:sz w:val="24"/>
          <w:szCs w:val="24"/>
        </w:rPr>
        <w:t>, substantial</w:t>
      </w:r>
      <w:r w:rsidRPr="0071463F">
        <w:rPr>
          <w:sz w:val="24"/>
          <w:szCs w:val="24"/>
        </w:rPr>
        <w:t xml:space="preserve"> continuity is observed in </w:t>
      </w:r>
      <w:r>
        <w:rPr>
          <w:sz w:val="24"/>
          <w:szCs w:val="24"/>
        </w:rPr>
        <w:t>those who</w:t>
      </w:r>
      <w:r w:rsidRPr="0071463F">
        <w:rPr>
          <w:sz w:val="24"/>
          <w:szCs w:val="24"/>
        </w:rPr>
        <w:t xml:space="preserve"> </w:t>
      </w:r>
      <w:r w:rsidRPr="0071463F">
        <w:rPr>
          <w:sz w:val="24"/>
          <w:szCs w:val="24"/>
        </w:rPr>
        <w:lastRenderedPageBreak/>
        <w:t xml:space="preserve">continue to experience ADHD-related impairment and sub-threshold symptoms </w:t>
      </w:r>
      <w:r>
        <w:rPr>
          <w:sz w:val="24"/>
          <w:szCs w:val="24"/>
        </w:rPr>
        <w:t>(Faraone, Biederman &amp; Mick</w:t>
      </w:r>
      <w:r w:rsidRPr="00444E67">
        <w:rPr>
          <w:sz w:val="24"/>
          <w:szCs w:val="24"/>
        </w:rPr>
        <w:t>, 2006).</w:t>
      </w:r>
      <w:r w:rsidRPr="0071463F">
        <w:rPr>
          <w:sz w:val="24"/>
          <w:szCs w:val="24"/>
        </w:rPr>
        <w:t xml:space="preserve"> Comorbidities remain common but take on an adult form with </w:t>
      </w:r>
      <w:r>
        <w:rPr>
          <w:sz w:val="24"/>
          <w:szCs w:val="24"/>
        </w:rPr>
        <w:t xml:space="preserve">antisocial personality disorder, </w:t>
      </w:r>
      <w:r w:rsidRPr="0071463F">
        <w:rPr>
          <w:sz w:val="24"/>
          <w:szCs w:val="24"/>
        </w:rPr>
        <w:t xml:space="preserve">anxiety, </w:t>
      </w:r>
      <w:proofErr w:type="gramStart"/>
      <w:r w:rsidRPr="0071463F">
        <w:rPr>
          <w:sz w:val="24"/>
          <w:szCs w:val="24"/>
        </w:rPr>
        <w:t>mood</w:t>
      </w:r>
      <w:proofErr w:type="gramEnd"/>
      <w:r w:rsidRPr="0071463F">
        <w:rPr>
          <w:sz w:val="24"/>
          <w:szCs w:val="24"/>
        </w:rPr>
        <w:t xml:space="preserve"> and substance use disorder</w:t>
      </w:r>
      <w:r>
        <w:rPr>
          <w:sz w:val="24"/>
          <w:szCs w:val="24"/>
        </w:rPr>
        <w:t>s</w:t>
      </w:r>
      <w:r w:rsidRPr="0071463F">
        <w:rPr>
          <w:sz w:val="24"/>
          <w:szCs w:val="24"/>
        </w:rPr>
        <w:t xml:space="preserve"> esp</w:t>
      </w:r>
      <w:r>
        <w:rPr>
          <w:sz w:val="24"/>
          <w:szCs w:val="24"/>
        </w:rPr>
        <w:t xml:space="preserve">ecially common (Rasmussen &amp; </w:t>
      </w:r>
      <w:proofErr w:type="spellStart"/>
      <w:r>
        <w:rPr>
          <w:sz w:val="24"/>
          <w:szCs w:val="24"/>
        </w:rPr>
        <w:t>Levander</w:t>
      </w:r>
      <w:proofErr w:type="spellEnd"/>
      <w:r w:rsidRPr="0071463F">
        <w:rPr>
          <w:sz w:val="24"/>
          <w:szCs w:val="24"/>
        </w:rPr>
        <w:t xml:space="preserve">, 2009). Males and females appear to be more equally represented in the adult ADHD population (Matte et al., 2015).  </w:t>
      </w:r>
    </w:p>
    <w:p w14:paraId="2D748212" w14:textId="09E5047E" w:rsidR="00BD25B0" w:rsidRPr="0071463F" w:rsidRDefault="00BD25B0" w:rsidP="00FD0288">
      <w:pPr>
        <w:spacing w:line="480" w:lineRule="auto"/>
        <w:ind w:firstLine="720"/>
        <w:rPr>
          <w:sz w:val="24"/>
          <w:szCs w:val="24"/>
        </w:rPr>
      </w:pPr>
      <w:r w:rsidRPr="0071463F">
        <w:rPr>
          <w:sz w:val="24"/>
          <w:szCs w:val="24"/>
        </w:rPr>
        <w:t xml:space="preserve">In keeping with its high heritability </w:t>
      </w:r>
      <w:r>
        <w:rPr>
          <w:sz w:val="24"/>
          <w:szCs w:val="24"/>
        </w:rPr>
        <w:t xml:space="preserve">(Larsson, Chang, </w:t>
      </w:r>
      <w:proofErr w:type="spellStart"/>
      <w:r>
        <w:rPr>
          <w:sz w:val="24"/>
          <w:szCs w:val="24"/>
        </w:rPr>
        <w:t>D’Onofrio</w:t>
      </w:r>
      <w:proofErr w:type="spellEnd"/>
      <w:r>
        <w:rPr>
          <w:sz w:val="24"/>
          <w:szCs w:val="24"/>
        </w:rPr>
        <w:t xml:space="preserve"> &amp; Lichtenstein, 2014</w:t>
      </w:r>
      <w:r w:rsidRPr="00444E67">
        <w:rPr>
          <w:sz w:val="24"/>
          <w:szCs w:val="24"/>
        </w:rPr>
        <w:t>)</w:t>
      </w:r>
      <w:r w:rsidRPr="0071463F">
        <w:rPr>
          <w:sz w:val="24"/>
          <w:szCs w:val="24"/>
        </w:rPr>
        <w:t xml:space="preserve"> current aetiological models emphasize the role of genetic factors </w:t>
      </w:r>
      <w:r>
        <w:rPr>
          <w:sz w:val="24"/>
          <w:szCs w:val="24"/>
        </w:rPr>
        <w:t xml:space="preserve">in ADHD </w:t>
      </w:r>
      <w:r w:rsidRPr="00444E67">
        <w:rPr>
          <w:sz w:val="24"/>
          <w:szCs w:val="24"/>
        </w:rPr>
        <w:t>(Thapar,</w:t>
      </w:r>
      <w:r>
        <w:rPr>
          <w:sz w:val="24"/>
          <w:szCs w:val="24"/>
        </w:rPr>
        <w:t xml:space="preserve"> Cooper, Eyre &amp; Langley, </w:t>
      </w:r>
      <w:r w:rsidRPr="00444E67">
        <w:rPr>
          <w:sz w:val="24"/>
          <w:szCs w:val="24"/>
        </w:rPr>
        <w:t>2013).</w:t>
      </w:r>
      <w:r w:rsidRPr="0071463F">
        <w:rPr>
          <w:sz w:val="24"/>
          <w:szCs w:val="24"/>
        </w:rPr>
        <w:t xml:space="preserve"> Historically, the role of pre-natal environmental exposures such as </w:t>
      </w:r>
      <w:r>
        <w:rPr>
          <w:sz w:val="24"/>
          <w:szCs w:val="24"/>
        </w:rPr>
        <w:t xml:space="preserve">those related to </w:t>
      </w:r>
      <w:r w:rsidRPr="0071463F">
        <w:rPr>
          <w:sz w:val="24"/>
          <w:szCs w:val="24"/>
        </w:rPr>
        <w:t xml:space="preserve">maternal smoking during pregnancy </w:t>
      </w:r>
      <w:r w:rsidRPr="00444E67">
        <w:rPr>
          <w:sz w:val="24"/>
          <w:szCs w:val="24"/>
        </w:rPr>
        <w:t>(</w:t>
      </w:r>
      <w:proofErr w:type="spellStart"/>
      <w:r w:rsidRPr="00444E67">
        <w:rPr>
          <w:sz w:val="24"/>
          <w:szCs w:val="24"/>
        </w:rPr>
        <w:t>Obel</w:t>
      </w:r>
      <w:proofErr w:type="spellEnd"/>
      <w:r w:rsidRPr="00444E67">
        <w:rPr>
          <w:sz w:val="24"/>
          <w:szCs w:val="24"/>
        </w:rPr>
        <w:t xml:space="preserve"> et al., 2015) and adverse int</w:t>
      </w:r>
      <w:r w:rsidR="00541697">
        <w:rPr>
          <w:sz w:val="24"/>
          <w:szCs w:val="24"/>
        </w:rPr>
        <w:t>ra</w:t>
      </w:r>
      <w:r w:rsidRPr="00444E67">
        <w:rPr>
          <w:sz w:val="24"/>
          <w:szCs w:val="24"/>
        </w:rPr>
        <w:t xml:space="preserve">-uterine environments marked by low birth weight have </w:t>
      </w:r>
      <w:r>
        <w:rPr>
          <w:sz w:val="24"/>
          <w:szCs w:val="24"/>
        </w:rPr>
        <w:t xml:space="preserve">also </w:t>
      </w:r>
      <w:r w:rsidRPr="00444E67">
        <w:rPr>
          <w:sz w:val="24"/>
          <w:szCs w:val="24"/>
        </w:rPr>
        <w:t>been investigated (</w:t>
      </w:r>
      <w:proofErr w:type="spellStart"/>
      <w:r w:rsidRPr="00444E67">
        <w:rPr>
          <w:sz w:val="24"/>
          <w:szCs w:val="24"/>
        </w:rPr>
        <w:t>Pettersson</w:t>
      </w:r>
      <w:proofErr w:type="spellEnd"/>
      <w:r w:rsidRPr="00444E67">
        <w:rPr>
          <w:sz w:val="24"/>
          <w:szCs w:val="24"/>
        </w:rPr>
        <w:t xml:space="preserve"> et al., 2015).</w:t>
      </w:r>
      <w:r w:rsidRPr="0071463F">
        <w:rPr>
          <w:sz w:val="24"/>
          <w:szCs w:val="24"/>
        </w:rPr>
        <w:t xml:space="preserve"> Recent longitudinal studies confirming the link between ADHD and socio-economic status suggest a role for post-natal social factors </w:t>
      </w:r>
      <w:r w:rsidRPr="00444E67">
        <w:rPr>
          <w:sz w:val="24"/>
          <w:szCs w:val="24"/>
        </w:rPr>
        <w:t>(Larsson,</w:t>
      </w:r>
      <w:r>
        <w:rPr>
          <w:sz w:val="24"/>
          <w:szCs w:val="24"/>
        </w:rPr>
        <w:t xml:space="preserve"> </w:t>
      </w:r>
      <w:proofErr w:type="spellStart"/>
      <w:r>
        <w:rPr>
          <w:sz w:val="24"/>
          <w:szCs w:val="24"/>
        </w:rPr>
        <w:t>Sariaslan</w:t>
      </w:r>
      <w:proofErr w:type="spellEnd"/>
      <w:r>
        <w:rPr>
          <w:sz w:val="24"/>
          <w:szCs w:val="24"/>
        </w:rPr>
        <w:t xml:space="preserve">, </w:t>
      </w:r>
      <w:proofErr w:type="spellStart"/>
      <w:r>
        <w:rPr>
          <w:sz w:val="24"/>
          <w:szCs w:val="24"/>
        </w:rPr>
        <w:t>Långström</w:t>
      </w:r>
      <w:proofErr w:type="spellEnd"/>
      <w:r>
        <w:rPr>
          <w:sz w:val="24"/>
          <w:szCs w:val="24"/>
        </w:rPr>
        <w:t xml:space="preserve">, </w:t>
      </w:r>
      <w:proofErr w:type="spellStart"/>
      <w:r>
        <w:rPr>
          <w:sz w:val="24"/>
          <w:szCs w:val="24"/>
        </w:rPr>
        <w:t>D’Onofrio</w:t>
      </w:r>
      <w:proofErr w:type="spellEnd"/>
      <w:r>
        <w:rPr>
          <w:sz w:val="24"/>
          <w:szCs w:val="24"/>
        </w:rPr>
        <w:t xml:space="preserve"> &amp; Lichtenstein,</w:t>
      </w:r>
      <w:r w:rsidRPr="00444E67">
        <w:rPr>
          <w:sz w:val="24"/>
          <w:szCs w:val="24"/>
        </w:rPr>
        <w:t xml:space="preserve"> 2014</w:t>
      </w:r>
      <w:r>
        <w:rPr>
          <w:sz w:val="24"/>
          <w:szCs w:val="24"/>
        </w:rPr>
        <w:t xml:space="preserve">; </w:t>
      </w:r>
      <w:r w:rsidRPr="00444E67">
        <w:rPr>
          <w:sz w:val="24"/>
          <w:szCs w:val="24"/>
        </w:rPr>
        <w:t>Russell</w:t>
      </w:r>
      <w:r>
        <w:rPr>
          <w:sz w:val="24"/>
          <w:szCs w:val="24"/>
        </w:rPr>
        <w:t>, Ford, Rosenberg &amp; Kelly,</w:t>
      </w:r>
      <w:r w:rsidRPr="00444E67">
        <w:rPr>
          <w:sz w:val="24"/>
          <w:szCs w:val="24"/>
        </w:rPr>
        <w:t xml:space="preserve"> 2014)</w:t>
      </w:r>
      <w:r w:rsidRPr="0071463F">
        <w:rPr>
          <w:sz w:val="24"/>
          <w:szCs w:val="24"/>
        </w:rPr>
        <w:t xml:space="preserve">. However, such effects are </w:t>
      </w:r>
      <w:r>
        <w:rPr>
          <w:sz w:val="24"/>
          <w:szCs w:val="24"/>
        </w:rPr>
        <w:t xml:space="preserve">non-specific, </w:t>
      </w:r>
      <w:r w:rsidRPr="0071463F">
        <w:rPr>
          <w:sz w:val="24"/>
          <w:szCs w:val="24"/>
        </w:rPr>
        <w:t xml:space="preserve">marking, as they </w:t>
      </w:r>
      <w:r>
        <w:rPr>
          <w:sz w:val="24"/>
          <w:szCs w:val="24"/>
        </w:rPr>
        <w:t xml:space="preserve">likely </w:t>
      </w:r>
      <w:r w:rsidRPr="0071463F">
        <w:rPr>
          <w:sz w:val="24"/>
          <w:szCs w:val="24"/>
        </w:rPr>
        <w:t xml:space="preserve">do, a myriad adverse environmental exposures and familial genetic risks </w:t>
      </w:r>
      <w:r w:rsidRPr="00444E67">
        <w:rPr>
          <w:sz w:val="24"/>
          <w:szCs w:val="24"/>
        </w:rPr>
        <w:t>(Nigg &amp; Craver, 2014).</w:t>
      </w:r>
      <w:r w:rsidRPr="0071463F">
        <w:rPr>
          <w:sz w:val="24"/>
          <w:szCs w:val="24"/>
        </w:rPr>
        <w:t xml:space="preserve"> The same interpretational challenge is presented by studies linking ADHD to family conflict and maltreatment</w:t>
      </w:r>
      <w:r>
        <w:rPr>
          <w:sz w:val="24"/>
          <w:szCs w:val="24"/>
        </w:rPr>
        <w:t xml:space="preserve"> </w:t>
      </w:r>
      <w:r w:rsidRPr="00444E67">
        <w:rPr>
          <w:sz w:val="24"/>
          <w:szCs w:val="24"/>
        </w:rPr>
        <w:t>(McMillen et al., 2005; but see Harold et al., 2013).</w:t>
      </w:r>
      <w:r w:rsidRPr="0071463F">
        <w:rPr>
          <w:sz w:val="24"/>
          <w:szCs w:val="24"/>
        </w:rPr>
        <w:t xml:space="preserve"> To date the most compelling evidence for a predominantly social</w:t>
      </w:r>
      <w:r>
        <w:rPr>
          <w:sz w:val="24"/>
          <w:szCs w:val="24"/>
        </w:rPr>
        <w:t>/</w:t>
      </w:r>
      <w:r w:rsidRPr="0071463F">
        <w:rPr>
          <w:sz w:val="24"/>
          <w:szCs w:val="24"/>
        </w:rPr>
        <w:t>environmental pathway to ADHD comes from studies of children exposed to non-family related adversity (</w:t>
      </w:r>
      <w:r>
        <w:rPr>
          <w:sz w:val="24"/>
          <w:szCs w:val="24"/>
        </w:rPr>
        <w:t xml:space="preserve">as </w:t>
      </w:r>
      <w:r w:rsidRPr="0071463F">
        <w:rPr>
          <w:sz w:val="24"/>
          <w:szCs w:val="24"/>
        </w:rPr>
        <w:t>found</w:t>
      </w:r>
      <w:r>
        <w:rPr>
          <w:sz w:val="24"/>
          <w:szCs w:val="24"/>
        </w:rPr>
        <w:t>,</w:t>
      </w:r>
      <w:r w:rsidRPr="0071463F">
        <w:rPr>
          <w:sz w:val="24"/>
          <w:szCs w:val="24"/>
        </w:rPr>
        <w:t xml:space="preserve"> for </w:t>
      </w:r>
      <w:r>
        <w:rPr>
          <w:sz w:val="24"/>
          <w:szCs w:val="24"/>
        </w:rPr>
        <w:t>example</w:t>
      </w:r>
      <w:r w:rsidRPr="0071463F">
        <w:rPr>
          <w:sz w:val="24"/>
          <w:szCs w:val="24"/>
        </w:rPr>
        <w:t xml:space="preserve">, in institutional settings), and then placed with adoptive or foster families </w:t>
      </w:r>
      <w:r w:rsidRPr="00444E67">
        <w:rPr>
          <w:sz w:val="24"/>
          <w:szCs w:val="24"/>
        </w:rPr>
        <w:t xml:space="preserve">(van </w:t>
      </w:r>
      <w:proofErr w:type="spellStart"/>
      <w:r w:rsidRPr="00444E67">
        <w:rPr>
          <w:sz w:val="24"/>
          <w:szCs w:val="24"/>
        </w:rPr>
        <w:t>IJzendoorn</w:t>
      </w:r>
      <w:proofErr w:type="spellEnd"/>
      <w:r w:rsidRPr="00444E67">
        <w:rPr>
          <w:sz w:val="24"/>
          <w:szCs w:val="24"/>
        </w:rPr>
        <w:t xml:space="preserve"> et al., 2011).</w:t>
      </w:r>
      <w:r w:rsidRPr="0071463F">
        <w:rPr>
          <w:sz w:val="24"/>
          <w:szCs w:val="24"/>
        </w:rPr>
        <w:t xml:space="preserve"> Elevated levels of inattention and hyperactivity/impulsivity have been reported in different institutionalised populations </w:t>
      </w:r>
      <w:r w:rsidRPr="00444E67">
        <w:rPr>
          <w:sz w:val="24"/>
          <w:szCs w:val="24"/>
        </w:rPr>
        <w:t>(Loman et al., 2013</w:t>
      </w:r>
      <w:r>
        <w:rPr>
          <w:sz w:val="24"/>
          <w:szCs w:val="24"/>
        </w:rPr>
        <w:t xml:space="preserve">; </w:t>
      </w:r>
      <w:r w:rsidRPr="00444E67">
        <w:rPr>
          <w:sz w:val="24"/>
          <w:szCs w:val="24"/>
        </w:rPr>
        <w:t xml:space="preserve">McLaughlin et al., 2014; </w:t>
      </w:r>
      <w:r>
        <w:rPr>
          <w:sz w:val="24"/>
          <w:szCs w:val="24"/>
        </w:rPr>
        <w:t>McLaughlin et al., 2010</w:t>
      </w:r>
      <w:r w:rsidRPr="00444E67">
        <w:rPr>
          <w:sz w:val="24"/>
          <w:szCs w:val="24"/>
        </w:rPr>
        <w:t>; Roy,</w:t>
      </w:r>
      <w:r>
        <w:rPr>
          <w:sz w:val="24"/>
          <w:szCs w:val="24"/>
        </w:rPr>
        <w:t xml:space="preserve"> Rutter &amp; Pickles,</w:t>
      </w:r>
      <w:r w:rsidRPr="00444E67">
        <w:rPr>
          <w:sz w:val="24"/>
          <w:szCs w:val="24"/>
        </w:rPr>
        <w:t xml:space="preserve"> 2004</w:t>
      </w:r>
      <w:r>
        <w:rPr>
          <w:sz w:val="24"/>
          <w:szCs w:val="24"/>
        </w:rPr>
        <w:t xml:space="preserve">; </w:t>
      </w:r>
      <w:proofErr w:type="spellStart"/>
      <w:r>
        <w:rPr>
          <w:sz w:val="24"/>
          <w:szCs w:val="24"/>
        </w:rPr>
        <w:t>Wiik</w:t>
      </w:r>
      <w:proofErr w:type="spellEnd"/>
      <w:r>
        <w:rPr>
          <w:sz w:val="24"/>
          <w:szCs w:val="24"/>
        </w:rPr>
        <w:t xml:space="preserve"> et al. 2010</w:t>
      </w:r>
      <w:r w:rsidRPr="00444E67">
        <w:rPr>
          <w:sz w:val="24"/>
          <w:szCs w:val="24"/>
        </w:rPr>
        <w:t>)</w:t>
      </w:r>
      <w:r w:rsidR="009D0DDA">
        <w:rPr>
          <w:sz w:val="24"/>
          <w:szCs w:val="24"/>
        </w:rPr>
        <w:t>, with e</w:t>
      </w:r>
      <w:r w:rsidRPr="00444E67">
        <w:rPr>
          <w:sz w:val="24"/>
          <w:szCs w:val="24"/>
        </w:rPr>
        <w:t xml:space="preserve">ffects </w:t>
      </w:r>
      <w:r w:rsidR="009D0DDA">
        <w:rPr>
          <w:sz w:val="24"/>
          <w:szCs w:val="24"/>
        </w:rPr>
        <w:t>growing</w:t>
      </w:r>
      <w:r>
        <w:rPr>
          <w:sz w:val="24"/>
          <w:szCs w:val="24"/>
        </w:rPr>
        <w:t xml:space="preserve"> stronger</w:t>
      </w:r>
      <w:r w:rsidRPr="00444E67">
        <w:rPr>
          <w:sz w:val="24"/>
          <w:szCs w:val="24"/>
        </w:rPr>
        <w:t xml:space="preserve"> as a function of duration of institutional care and severity of deprivation experienced (</w:t>
      </w:r>
      <w:proofErr w:type="spellStart"/>
      <w:r w:rsidRPr="00444E67">
        <w:rPr>
          <w:sz w:val="24"/>
          <w:szCs w:val="24"/>
        </w:rPr>
        <w:t>Merz</w:t>
      </w:r>
      <w:proofErr w:type="spellEnd"/>
      <w:r w:rsidRPr="00444E67">
        <w:rPr>
          <w:sz w:val="24"/>
          <w:szCs w:val="24"/>
        </w:rPr>
        <w:t xml:space="preserve"> &amp; McCall, 2010).</w:t>
      </w:r>
      <w:r w:rsidRPr="0071463F">
        <w:rPr>
          <w:sz w:val="24"/>
          <w:szCs w:val="24"/>
        </w:rPr>
        <w:t xml:space="preserve"> </w:t>
      </w:r>
    </w:p>
    <w:p w14:paraId="69AEC1CE" w14:textId="5BC1E615" w:rsidR="00BD25B0" w:rsidRDefault="00BD25B0" w:rsidP="00FD0288">
      <w:pPr>
        <w:spacing w:line="480" w:lineRule="auto"/>
        <w:ind w:firstLine="720"/>
        <w:rPr>
          <w:rFonts w:cs="Arial"/>
          <w:sz w:val="24"/>
          <w:szCs w:val="24"/>
        </w:rPr>
      </w:pPr>
      <w:r w:rsidRPr="004B7AC4">
        <w:rPr>
          <w:sz w:val="24"/>
          <w:szCs w:val="24"/>
        </w:rPr>
        <w:lastRenderedPageBreak/>
        <w:t>Evidence from the English and Romanian Adoptees study (ERA) is especially compelling in this regard (Rutter</w:t>
      </w:r>
      <w:r>
        <w:rPr>
          <w:sz w:val="24"/>
          <w:szCs w:val="24"/>
        </w:rPr>
        <w:t xml:space="preserve">, Sonuga-Barke &amp; Castle, </w:t>
      </w:r>
      <w:r w:rsidRPr="004B7AC4">
        <w:rPr>
          <w:sz w:val="24"/>
          <w:szCs w:val="24"/>
        </w:rPr>
        <w:t>2010).</w:t>
      </w:r>
      <w:r w:rsidRPr="0071463F">
        <w:rPr>
          <w:sz w:val="24"/>
          <w:szCs w:val="24"/>
        </w:rPr>
        <w:t xml:space="preserve"> ERA has followed a group of children who lived for up to the first three-and-a-half years of their lives in extreme deprivation in institutions in Romania during the </w:t>
      </w:r>
      <w:r>
        <w:rPr>
          <w:sz w:val="24"/>
          <w:szCs w:val="24"/>
        </w:rPr>
        <w:t xml:space="preserve">final days of the </w:t>
      </w:r>
      <w:proofErr w:type="spellStart"/>
      <w:r w:rsidRPr="0071463F">
        <w:rPr>
          <w:sz w:val="24"/>
          <w:szCs w:val="24"/>
        </w:rPr>
        <w:t>Ceaușescu</w:t>
      </w:r>
      <w:proofErr w:type="spellEnd"/>
      <w:r w:rsidRPr="0071463F">
        <w:rPr>
          <w:sz w:val="24"/>
          <w:szCs w:val="24"/>
        </w:rPr>
        <w:t xml:space="preserve"> regime. Soon after the fall of the regime in 1989 they were adopted by families living in the UK. The conditions in the institutions varied from poor to </w:t>
      </w:r>
      <w:r>
        <w:rPr>
          <w:sz w:val="24"/>
          <w:szCs w:val="24"/>
        </w:rPr>
        <w:t>appalling</w:t>
      </w:r>
      <w:r w:rsidR="00FD0288">
        <w:rPr>
          <w:sz w:val="24"/>
          <w:szCs w:val="24"/>
        </w:rPr>
        <w:t>,</w:t>
      </w:r>
      <w:r w:rsidRPr="0071463F">
        <w:rPr>
          <w:sz w:val="24"/>
          <w:szCs w:val="24"/>
        </w:rPr>
        <w:t xml:space="preserve"> with little or no personalised care or social or cognitive stimulation. Hygiene and food were also badly compromised. The initial effects o</w:t>
      </w:r>
      <w:r>
        <w:rPr>
          <w:sz w:val="24"/>
          <w:szCs w:val="24"/>
        </w:rPr>
        <w:t xml:space="preserve">f deprivation, seen immediately </w:t>
      </w:r>
      <w:r w:rsidRPr="0071463F">
        <w:rPr>
          <w:sz w:val="24"/>
          <w:szCs w:val="24"/>
        </w:rPr>
        <w:t xml:space="preserve">post-adoption, were profound and generalised, with extreme growth stunting and developmental delay </w:t>
      </w:r>
      <w:r w:rsidRPr="00F35BBB">
        <w:rPr>
          <w:sz w:val="24"/>
          <w:szCs w:val="24"/>
        </w:rPr>
        <w:t>(Rutter, 1998).</w:t>
      </w:r>
      <w:r w:rsidRPr="0071463F">
        <w:rPr>
          <w:sz w:val="24"/>
          <w:szCs w:val="24"/>
        </w:rPr>
        <w:t xml:space="preserve"> By</w:t>
      </w:r>
      <w:r>
        <w:rPr>
          <w:sz w:val="24"/>
          <w:szCs w:val="24"/>
        </w:rPr>
        <w:t xml:space="preserve"> the</w:t>
      </w:r>
      <w:r w:rsidRPr="0071463F">
        <w:rPr>
          <w:sz w:val="24"/>
          <w:szCs w:val="24"/>
        </w:rPr>
        <w:t xml:space="preserve"> age </w:t>
      </w:r>
      <w:r>
        <w:rPr>
          <w:sz w:val="24"/>
          <w:szCs w:val="24"/>
        </w:rPr>
        <w:t xml:space="preserve">of </w:t>
      </w:r>
      <w:r w:rsidRPr="0071463F">
        <w:rPr>
          <w:sz w:val="24"/>
          <w:szCs w:val="24"/>
        </w:rPr>
        <w:t>six years there was evidence of substantial developmental and physical growth catch</w:t>
      </w:r>
      <w:r>
        <w:rPr>
          <w:sz w:val="24"/>
          <w:szCs w:val="24"/>
        </w:rPr>
        <w:t>-</w:t>
      </w:r>
      <w:r w:rsidRPr="0071463F">
        <w:rPr>
          <w:sz w:val="24"/>
          <w:szCs w:val="24"/>
        </w:rPr>
        <w:t xml:space="preserve">up for many children indexed against a comparison group of non-deprived UK adoptees </w:t>
      </w:r>
      <w:r w:rsidRPr="00F35BBB">
        <w:rPr>
          <w:sz w:val="24"/>
          <w:szCs w:val="24"/>
        </w:rPr>
        <w:t>(O'Connor et al., 2000).</w:t>
      </w:r>
      <w:r w:rsidRPr="0071463F">
        <w:rPr>
          <w:sz w:val="24"/>
          <w:szCs w:val="24"/>
        </w:rPr>
        <w:t xml:space="preserve"> However, a substantial minority of cases displayed persisting patterns of residual impairment in rather specific but overlapping domains </w:t>
      </w:r>
      <w:r w:rsidRPr="00F35BBB">
        <w:rPr>
          <w:sz w:val="24"/>
          <w:szCs w:val="24"/>
        </w:rPr>
        <w:t>(Kreppner et al., 2010</w:t>
      </w:r>
      <w:r>
        <w:rPr>
          <w:sz w:val="24"/>
          <w:szCs w:val="24"/>
        </w:rPr>
        <w:t xml:space="preserve">; </w:t>
      </w:r>
      <w:r w:rsidRPr="00F35BBB">
        <w:rPr>
          <w:sz w:val="24"/>
          <w:szCs w:val="24"/>
        </w:rPr>
        <w:t>Kumsta et al., 2010)</w:t>
      </w:r>
      <w:r>
        <w:rPr>
          <w:sz w:val="24"/>
          <w:szCs w:val="24"/>
        </w:rPr>
        <w:t>,</w:t>
      </w:r>
      <w:r w:rsidRPr="00F35BBB">
        <w:rPr>
          <w:sz w:val="24"/>
          <w:szCs w:val="24"/>
        </w:rPr>
        <w:t xml:space="preserve"> described previously as deprivation</w:t>
      </w:r>
      <w:r>
        <w:rPr>
          <w:sz w:val="24"/>
          <w:szCs w:val="24"/>
        </w:rPr>
        <w:t>-</w:t>
      </w:r>
      <w:r w:rsidRPr="00F35BBB">
        <w:rPr>
          <w:sz w:val="24"/>
          <w:szCs w:val="24"/>
        </w:rPr>
        <w:t>specific problems (Rutter et al., 2010)</w:t>
      </w:r>
      <w:r>
        <w:rPr>
          <w:sz w:val="24"/>
          <w:szCs w:val="24"/>
        </w:rPr>
        <w:t xml:space="preserve">: </w:t>
      </w:r>
      <w:r w:rsidRPr="00F35BBB">
        <w:rPr>
          <w:sz w:val="24"/>
          <w:szCs w:val="24"/>
        </w:rPr>
        <w:t>quasi-autism (Rutter et al., 2007), disinhibited attachment (Rutter et al., 2007) and cognitive impairment (Beckett et al., 2006).</w:t>
      </w:r>
      <w:r w:rsidRPr="0071463F">
        <w:rPr>
          <w:sz w:val="24"/>
          <w:szCs w:val="24"/>
        </w:rPr>
        <w:t xml:space="preserve"> Crucially, with regard to </w:t>
      </w:r>
      <w:r>
        <w:rPr>
          <w:sz w:val="24"/>
          <w:szCs w:val="24"/>
        </w:rPr>
        <w:t>inferring</w:t>
      </w:r>
      <w:r w:rsidRPr="0071463F">
        <w:rPr>
          <w:sz w:val="24"/>
          <w:szCs w:val="24"/>
        </w:rPr>
        <w:t xml:space="preserve"> </w:t>
      </w:r>
      <w:r>
        <w:rPr>
          <w:sz w:val="24"/>
          <w:szCs w:val="24"/>
        </w:rPr>
        <w:t>a</w:t>
      </w:r>
      <w:r w:rsidRPr="0071463F">
        <w:rPr>
          <w:sz w:val="24"/>
          <w:szCs w:val="24"/>
        </w:rPr>
        <w:t xml:space="preserve"> casual role </w:t>
      </w:r>
      <w:r>
        <w:rPr>
          <w:sz w:val="24"/>
          <w:szCs w:val="24"/>
        </w:rPr>
        <w:t>for</w:t>
      </w:r>
      <w:r w:rsidRPr="0071463F">
        <w:rPr>
          <w:sz w:val="24"/>
          <w:szCs w:val="24"/>
        </w:rPr>
        <w:t xml:space="preserve"> institutional exposures</w:t>
      </w:r>
      <w:r>
        <w:rPr>
          <w:sz w:val="24"/>
          <w:szCs w:val="24"/>
        </w:rPr>
        <w:t xml:space="preserve"> in the aetiology of such</w:t>
      </w:r>
      <w:r w:rsidRPr="0071463F">
        <w:rPr>
          <w:sz w:val="24"/>
          <w:szCs w:val="24"/>
        </w:rPr>
        <w:t xml:space="preserve"> adverse outcomes, there was in each case a relationship between </w:t>
      </w:r>
      <w:proofErr w:type="gramStart"/>
      <w:r w:rsidRPr="0071463F">
        <w:rPr>
          <w:sz w:val="24"/>
          <w:szCs w:val="24"/>
        </w:rPr>
        <w:t>time</w:t>
      </w:r>
      <w:proofErr w:type="gramEnd"/>
      <w:r w:rsidRPr="0071463F">
        <w:rPr>
          <w:sz w:val="24"/>
          <w:szCs w:val="24"/>
        </w:rPr>
        <w:t xml:space="preserve"> spent in </w:t>
      </w:r>
      <w:r>
        <w:rPr>
          <w:sz w:val="24"/>
          <w:szCs w:val="24"/>
        </w:rPr>
        <w:t xml:space="preserve">the </w:t>
      </w:r>
      <w:r w:rsidRPr="0071463F">
        <w:rPr>
          <w:sz w:val="24"/>
          <w:szCs w:val="24"/>
        </w:rPr>
        <w:t>institution</w:t>
      </w:r>
      <w:r>
        <w:rPr>
          <w:sz w:val="24"/>
          <w:szCs w:val="24"/>
        </w:rPr>
        <w:t>s</w:t>
      </w:r>
      <w:r w:rsidRPr="0071463F">
        <w:rPr>
          <w:sz w:val="24"/>
          <w:szCs w:val="24"/>
        </w:rPr>
        <w:t xml:space="preserve"> and severity of impairment</w:t>
      </w:r>
      <w:r>
        <w:rPr>
          <w:sz w:val="24"/>
          <w:szCs w:val="24"/>
        </w:rPr>
        <w:t>. More specifically,</w:t>
      </w:r>
      <w:r w:rsidRPr="0071463F">
        <w:rPr>
          <w:sz w:val="24"/>
          <w:szCs w:val="24"/>
        </w:rPr>
        <w:t xml:space="preserve"> </w:t>
      </w:r>
      <w:r>
        <w:rPr>
          <w:sz w:val="24"/>
          <w:szCs w:val="24"/>
        </w:rPr>
        <w:t>there was</w:t>
      </w:r>
      <w:r w:rsidRPr="0071463F">
        <w:rPr>
          <w:sz w:val="24"/>
          <w:szCs w:val="24"/>
        </w:rPr>
        <w:t xml:space="preserve"> a marked</w:t>
      </w:r>
      <w:r w:rsidR="009D0DDA">
        <w:rPr>
          <w:sz w:val="24"/>
          <w:szCs w:val="24"/>
        </w:rPr>
        <w:t xml:space="preserve"> step-wise</w:t>
      </w:r>
      <w:r w:rsidRPr="0071463F">
        <w:rPr>
          <w:sz w:val="24"/>
          <w:szCs w:val="24"/>
        </w:rPr>
        <w:t xml:space="preserve"> increase </w:t>
      </w:r>
      <w:r>
        <w:rPr>
          <w:sz w:val="24"/>
          <w:szCs w:val="24"/>
        </w:rPr>
        <w:t>in problem severity</w:t>
      </w:r>
      <w:r w:rsidRPr="0071463F">
        <w:rPr>
          <w:sz w:val="24"/>
          <w:szCs w:val="24"/>
        </w:rPr>
        <w:t xml:space="preserve"> </w:t>
      </w:r>
      <w:r>
        <w:rPr>
          <w:sz w:val="24"/>
          <w:szCs w:val="24"/>
        </w:rPr>
        <w:t>for</w:t>
      </w:r>
      <w:r w:rsidRPr="0071463F">
        <w:rPr>
          <w:sz w:val="24"/>
          <w:szCs w:val="24"/>
        </w:rPr>
        <w:t xml:space="preserve"> individuals who had spent more than 6-9 months in the institutions </w:t>
      </w:r>
      <w:r>
        <w:rPr>
          <w:sz w:val="24"/>
          <w:szCs w:val="24"/>
        </w:rPr>
        <w:t xml:space="preserve">that </w:t>
      </w:r>
      <w:r w:rsidRPr="0071463F">
        <w:rPr>
          <w:sz w:val="24"/>
          <w:szCs w:val="24"/>
        </w:rPr>
        <w:t>emerg</w:t>
      </w:r>
      <w:r>
        <w:rPr>
          <w:sz w:val="24"/>
          <w:szCs w:val="24"/>
        </w:rPr>
        <w:t>ed</w:t>
      </w:r>
      <w:r w:rsidRPr="0071463F">
        <w:rPr>
          <w:sz w:val="24"/>
          <w:szCs w:val="24"/>
        </w:rPr>
        <w:t xml:space="preserve"> </w:t>
      </w:r>
      <w:r w:rsidR="00FD0288">
        <w:rPr>
          <w:sz w:val="24"/>
          <w:szCs w:val="24"/>
        </w:rPr>
        <w:t xml:space="preserve">most </w:t>
      </w:r>
      <w:r w:rsidRPr="0071463F">
        <w:rPr>
          <w:sz w:val="24"/>
          <w:szCs w:val="24"/>
        </w:rPr>
        <w:t xml:space="preserve">clearly </w:t>
      </w:r>
      <w:r>
        <w:rPr>
          <w:sz w:val="24"/>
          <w:szCs w:val="24"/>
        </w:rPr>
        <w:t xml:space="preserve">in assessments made </w:t>
      </w:r>
      <w:r w:rsidRPr="0071463F">
        <w:rPr>
          <w:sz w:val="24"/>
          <w:szCs w:val="24"/>
        </w:rPr>
        <w:t xml:space="preserve">at ages 11 and 15 years. In fact, those individuals in the institutions for less than 6 months were </w:t>
      </w:r>
      <w:r>
        <w:rPr>
          <w:sz w:val="24"/>
          <w:szCs w:val="24"/>
        </w:rPr>
        <w:t>in many ways</w:t>
      </w:r>
      <w:r w:rsidRPr="0071463F">
        <w:rPr>
          <w:sz w:val="24"/>
          <w:szCs w:val="24"/>
        </w:rPr>
        <w:t xml:space="preserve"> indistinguishable from typically developing peers. </w:t>
      </w:r>
    </w:p>
    <w:p w14:paraId="704DF0CC" w14:textId="4B52E397" w:rsidR="00BD25B0" w:rsidRPr="0071463F" w:rsidRDefault="00BD25B0" w:rsidP="00FD0288">
      <w:pPr>
        <w:spacing w:line="480" w:lineRule="auto"/>
        <w:ind w:firstLine="720"/>
        <w:rPr>
          <w:sz w:val="24"/>
          <w:szCs w:val="24"/>
        </w:rPr>
      </w:pPr>
      <w:r w:rsidRPr="0071463F">
        <w:rPr>
          <w:sz w:val="24"/>
          <w:szCs w:val="24"/>
        </w:rPr>
        <w:t xml:space="preserve">A </w:t>
      </w:r>
      <w:r w:rsidR="00FD0288">
        <w:rPr>
          <w:sz w:val="24"/>
          <w:szCs w:val="24"/>
        </w:rPr>
        <w:t>further</w:t>
      </w:r>
      <w:r w:rsidRPr="0071463F">
        <w:rPr>
          <w:sz w:val="24"/>
          <w:szCs w:val="24"/>
        </w:rPr>
        <w:t xml:space="preserve"> distinctive element in the deprivation</w:t>
      </w:r>
      <w:r>
        <w:rPr>
          <w:sz w:val="24"/>
          <w:szCs w:val="24"/>
        </w:rPr>
        <w:t>-</w:t>
      </w:r>
      <w:r w:rsidRPr="0071463F">
        <w:rPr>
          <w:sz w:val="24"/>
          <w:szCs w:val="24"/>
        </w:rPr>
        <w:t xml:space="preserve">specific profile is the elevated levels </w:t>
      </w:r>
      <w:r>
        <w:rPr>
          <w:sz w:val="24"/>
          <w:szCs w:val="24"/>
        </w:rPr>
        <w:t xml:space="preserve">of </w:t>
      </w:r>
      <w:r w:rsidRPr="0071463F">
        <w:rPr>
          <w:sz w:val="24"/>
          <w:szCs w:val="24"/>
        </w:rPr>
        <w:t xml:space="preserve">ADHD symptoms consistently </w:t>
      </w:r>
      <w:r>
        <w:rPr>
          <w:sz w:val="24"/>
          <w:szCs w:val="24"/>
        </w:rPr>
        <w:t xml:space="preserve">observed at the </w:t>
      </w:r>
      <w:r w:rsidR="009D0DDA">
        <w:rPr>
          <w:sz w:val="24"/>
          <w:szCs w:val="24"/>
        </w:rPr>
        <w:t xml:space="preserve">age </w:t>
      </w:r>
      <w:r>
        <w:rPr>
          <w:sz w:val="24"/>
          <w:szCs w:val="24"/>
        </w:rPr>
        <w:t xml:space="preserve">6, </w:t>
      </w:r>
      <w:r w:rsidRPr="0071463F">
        <w:rPr>
          <w:sz w:val="24"/>
          <w:szCs w:val="24"/>
        </w:rPr>
        <w:t xml:space="preserve">11 and 15 year follow </w:t>
      </w:r>
      <w:r w:rsidRPr="00F35BBB">
        <w:rPr>
          <w:sz w:val="24"/>
          <w:szCs w:val="24"/>
        </w:rPr>
        <w:t>ups (Kreppner</w:t>
      </w:r>
      <w:r>
        <w:rPr>
          <w:sz w:val="24"/>
          <w:szCs w:val="24"/>
        </w:rPr>
        <w:t xml:space="preserve"> </w:t>
      </w:r>
      <w:r>
        <w:rPr>
          <w:sz w:val="24"/>
          <w:szCs w:val="24"/>
        </w:rPr>
        <w:lastRenderedPageBreak/>
        <w:t>et al.</w:t>
      </w:r>
      <w:r w:rsidRPr="00F35BBB">
        <w:rPr>
          <w:sz w:val="24"/>
          <w:szCs w:val="24"/>
        </w:rPr>
        <w:t xml:space="preserve">, 2001; Stevens et al., 2008; Stevens et al., 2009) – again showing the characteristic </w:t>
      </w:r>
      <w:r w:rsidR="00FD0288">
        <w:rPr>
          <w:sz w:val="24"/>
          <w:szCs w:val="24"/>
        </w:rPr>
        <w:t>step wise increase with duration of deprivation</w:t>
      </w:r>
      <w:r w:rsidRPr="00F35BBB">
        <w:rPr>
          <w:sz w:val="24"/>
          <w:szCs w:val="24"/>
        </w:rPr>
        <w:t>.</w:t>
      </w:r>
      <w:r w:rsidRPr="0071463F">
        <w:rPr>
          <w:sz w:val="24"/>
          <w:szCs w:val="24"/>
        </w:rPr>
        <w:t xml:space="preserve"> At </w:t>
      </w:r>
      <w:r>
        <w:rPr>
          <w:sz w:val="24"/>
          <w:szCs w:val="24"/>
        </w:rPr>
        <w:t>age 15 years individuals who experienced more than 6 months of deprivation were four times more likely to meet DSM-IV diagnostic criteria</w:t>
      </w:r>
      <w:r w:rsidRPr="0071463F">
        <w:rPr>
          <w:sz w:val="24"/>
          <w:szCs w:val="24"/>
        </w:rPr>
        <w:t xml:space="preserve"> </w:t>
      </w:r>
      <w:r>
        <w:rPr>
          <w:sz w:val="24"/>
          <w:szCs w:val="24"/>
        </w:rPr>
        <w:t>for ADHD than those with less</w:t>
      </w:r>
      <w:r w:rsidRPr="0071463F">
        <w:rPr>
          <w:sz w:val="24"/>
          <w:szCs w:val="24"/>
        </w:rPr>
        <w:t xml:space="preserve"> than 6 months deprivation (</w:t>
      </w:r>
      <w:r>
        <w:rPr>
          <w:sz w:val="24"/>
          <w:szCs w:val="24"/>
        </w:rPr>
        <w:t xml:space="preserve">16% versus </w:t>
      </w:r>
      <w:r w:rsidRPr="0071463F">
        <w:rPr>
          <w:sz w:val="24"/>
          <w:szCs w:val="24"/>
        </w:rPr>
        <w:t>4%). Although</w:t>
      </w:r>
      <w:r>
        <w:rPr>
          <w:sz w:val="24"/>
          <w:szCs w:val="24"/>
        </w:rPr>
        <w:t xml:space="preserve"> the</w:t>
      </w:r>
      <w:r w:rsidRPr="0071463F">
        <w:rPr>
          <w:sz w:val="24"/>
          <w:szCs w:val="24"/>
        </w:rPr>
        <w:t xml:space="preserve"> symptom profile </w:t>
      </w:r>
      <w:r>
        <w:rPr>
          <w:sz w:val="24"/>
          <w:szCs w:val="24"/>
        </w:rPr>
        <w:t xml:space="preserve">in these cases </w:t>
      </w:r>
      <w:r w:rsidRPr="0071463F">
        <w:rPr>
          <w:sz w:val="24"/>
          <w:szCs w:val="24"/>
        </w:rPr>
        <w:t>appeared typical of ADHD more generally</w:t>
      </w:r>
      <w:r>
        <w:rPr>
          <w:sz w:val="24"/>
          <w:szCs w:val="24"/>
        </w:rPr>
        <w:t>,</w:t>
      </w:r>
      <w:r w:rsidRPr="0071463F">
        <w:rPr>
          <w:sz w:val="24"/>
          <w:szCs w:val="24"/>
        </w:rPr>
        <w:t xml:space="preserve"> there </w:t>
      </w:r>
      <w:r>
        <w:rPr>
          <w:sz w:val="24"/>
          <w:szCs w:val="24"/>
        </w:rPr>
        <w:t>were</w:t>
      </w:r>
      <w:r w:rsidRPr="0071463F">
        <w:rPr>
          <w:sz w:val="24"/>
          <w:szCs w:val="24"/>
        </w:rPr>
        <w:t xml:space="preserve"> a number of features that </w:t>
      </w:r>
      <w:r>
        <w:rPr>
          <w:sz w:val="24"/>
          <w:szCs w:val="24"/>
        </w:rPr>
        <w:t>appeared to distinguish</w:t>
      </w:r>
      <w:r w:rsidRPr="0071463F">
        <w:rPr>
          <w:sz w:val="24"/>
          <w:szCs w:val="24"/>
        </w:rPr>
        <w:t xml:space="preserve"> deprivation-related from non-deprivation related ADHD</w:t>
      </w:r>
      <w:r>
        <w:rPr>
          <w:sz w:val="24"/>
          <w:szCs w:val="24"/>
        </w:rPr>
        <w:t>: t</w:t>
      </w:r>
      <w:r w:rsidRPr="0071463F">
        <w:rPr>
          <w:sz w:val="24"/>
          <w:szCs w:val="24"/>
        </w:rPr>
        <w:t>he sex difference was less marke</w:t>
      </w:r>
      <w:r>
        <w:rPr>
          <w:sz w:val="24"/>
          <w:szCs w:val="24"/>
        </w:rPr>
        <w:t>d; t</w:t>
      </w:r>
      <w:r w:rsidRPr="0071463F">
        <w:rPr>
          <w:sz w:val="24"/>
          <w:szCs w:val="24"/>
        </w:rPr>
        <w:t>here was a striking absence of comorbid conduct problems</w:t>
      </w:r>
      <w:r>
        <w:rPr>
          <w:sz w:val="24"/>
          <w:szCs w:val="24"/>
        </w:rPr>
        <w:t>,</w:t>
      </w:r>
      <w:r w:rsidRPr="0071463F">
        <w:rPr>
          <w:sz w:val="24"/>
          <w:szCs w:val="24"/>
        </w:rPr>
        <w:t xml:space="preserve"> but high levels of social disinhibition and autistic features</w:t>
      </w:r>
      <w:r>
        <w:rPr>
          <w:sz w:val="24"/>
          <w:szCs w:val="24"/>
        </w:rPr>
        <w:t>; and n</w:t>
      </w:r>
      <w:r w:rsidRPr="00F35BBB">
        <w:rPr>
          <w:sz w:val="24"/>
          <w:szCs w:val="24"/>
        </w:rPr>
        <w:t>europsychological impairment was unusually severe (Sonuga-Barke &amp; Rubia, 2008).</w:t>
      </w:r>
      <w:r w:rsidRPr="0071463F">
        <w:rPr>
          <w:sz w:val="24"/>
          <w:szCs w:val="24"/>
        </w:rPr>
        <w:t xml:space="preserve"> </w:t>
      </w:r>
    </w:p>
    <w:p w14:paraId="791BB0B3" w14:textId="5EFE8B5D" w:rsidR="00BD25B0" w:rsidRPr="0071463F" w:rsidRDefault="00BD25B0" w:rsidP="00FD0288">
      <w:pPr>
        <w:spacing w:line="480" w:lineRule="auto"/>
        <w:ind w:firstLine="720"/>
        <w:rPr>
          <w:sz w:val="24"/>
          <w:szCs w:val="24"/>
        </w:rPr>
      </w:pPr>
      <w:r w:rsidRPr="0071463F">
        <w:rPr>
          <w:sz w:val="24"/>
          <w:szCs w:val="24"/>
        </w:rPr>
        <w:t>In this paper,</w:t>
      </w:r>
      <w:r>
        <w:rPr>
          <w:sz w:val="24"/>
          <w:szCs w:val="24"/>
        </w:rPr>
        <w:t xml:space="preserve"> we </w:t>
      </w:r>
      <w:r w:rsidR="00FD0288">
        <w:rPr>
          <w:sz w:val="24"/>
          <w:szCs w:val="24"/>
        </w:rPr>
        <w:t xml:space="preserve">provide the first evidence relating to </w:t>
      </w:r>
      <w:r w:rsidRPr="0071463F">
        <w:rPr>
          <w:sz w:val="24"/>
          <w:szCs w:val="24"/>
        </w:rPr>
        <w:t>the persistence of deprivation-related ADHD into early adulthood using data from the recently completed ERA young adult follow up assessment carried out when the adoptees were aged 22-25 years of age. Our research questions were; (i) does</w:t>
      </w:r>
      <w:r>
        <w:rPr>
          <w:sz w:val="24"/>
          <w:szCs w:val="24"/>
        </w:rPr>
        <w:t xml:space="preserve"> a history of extend</w:t>
      </w:r>
      <w:r w:rsidRPr="0071463F">
        <w:rPr>
          <w:sz w:val="24"/>
          <w:szCs w:val="24"/>
        </w:rPr>
        <w:t xml:space="preserve">ed deprivation </w:t>
      </w:r>
      <w:r>
        <w:rPr>
          <w:sz w:val="24"/>
          <w:szCs w:val="24"/>
        </w:rPr>
        <w:t xml:space="preserve">in institutions </w:t>
      </w:r>
      <w:r w:rsidRPr="0071463F">
        <w:rPr>
          <w:sz w:val="24"/>
          <w:szCs w:val="24"/>
        </w:rPr>
        <w:t>continue to place adoptees at risk for ADHD in early adulthood and</w:t>
      </w:r>
      <w:r w:rsidR="00FD0288">
        <w:rPr>
          <w:sz w:val="24"/>
          <w:szCs w:val="24"/>
        </w:rPr>
        <w:t xml:space="preserve">, as previously found, does </w:t>
      </w:r>
      <w:r w:rsidRPr="0071463F">
        <w:rPr>
          <w:sz w:val="24"/>
          <w:szCs w:val="24"/>
        </w:rPr>
        <w:t>this manifest</w:t>
      </w:r>
      <w:r w:rsidR="00FD0288">
        <w:rPr>
          <w:sz w:val="24"/>
          <w:szCs w:val="24"/>
        </w:rPr>
        <w:t xml:space="preserve"> as</w:t>
      </w:r>
      <w:r w:rsidRPr="0071463F">
        <w:rPr>
          <w:sz w:val="24"/>
          <w:szCs w:val="24"/>
        </w:rPr>
        <w:t xml:space="preserve"> a step</w:t>
      </w:r>
      <w:r w:rsidR="00FD0288">
        <w:rPr>
          <w:sz w:val="24"/>
          <w:szCs w:val="24"/>
        </w:rPr>
        <w:t>-wise</w:t>
      </w:r>
      <w:r w:rsidRPr="0071463F">
        <w:rPr>
          <w:sz w:val="24"/>
          <w:szCs w:val="24"/>
        </w:rPr>
        <w:t xml:space="preserve"> increase in those experiencing more than 6</w:t>
      </w:r>
      <w:r w:rsidR="00FD0288">
        <w:rPr>
          <w:sz w:val="24"/>
          <w:szCs w:val="24"/>
        </w:rPr>
        <w:t>-9</w:t>
      </w:r>
      <w:r w:rsidRPr="0071463F">
        <w:rPr>
          <w:sz w:val="24"/>
          <w:szCs w:val="24"/>
        </w:rPr>
        <w:t xml:space="preserve"> months deprivation? (ii) Is there a drop in the proportion of adult cases meeting full DSM criteria similar to that seen in </w:t>
      </w:r>
      <w:r>
        <w:rPr>
          <w:sz w:val="24"/>
          <w:szCs w:val="24"/>
        </w:rPr>
        <w:t xml:space="preserve">typical </w:t>
      </w:r>
      <w:r w:rsidRPr="0071463F">
        <w:rPr>
          <w:sz w:val="24"/>
          <w:szCs w:val="24"/>
        </w:rPr>
        <w:t>ADHD clinic samples? (</w:t>
      </w:r>
      <w:proofErr w:type="gramStart"/>
      <w:r w:rsidRPr="0071463F">
        <w:rPr>
          <w:sz w:val="24"/>
          <w:szCs w:val="24"/>
        </w:rPr>
        <w:t>iii</w:t>
      </w:r>
      <w:proofErr w:type="gramEnd"/>
      <w:r w:rsidRPr="0071463F">
        <w:rPr>
          <w:sz w:val="24"/>
          <w:szCs w:val="24"/>
        </w:rPr>
        <w:t xml:space="preserve">) Is there a distinctive distribution of the three clinical presentations </w:t>
      </w:r>
      <w:r>
        <w:rPr>
          <w:sz w:val="24"/>
          <w:szCs w:val="24"/>
        </w:rPr>
        <w:t xml:space="preserve">of ADHD, </w:t>
      </w:r>
      <w:r w:rsidRPr="0071463F">
        <w:rPr>
          <w:sz w:val="24"/>
          <w:szCs w:val="24"/>
        </w:rPr>
        <w:t xml:space="preserve">and does this change between adolescence and early adulthood? </w:t>
      </w:r>
      <w:proofErr w:type="gramStart"/>
      <w:r w:rsidRPr="0071463F">
        <w:rPr>
          <w:sz w:val="24"/>
          <w:szCs w:val="24"/>
        </w:rPr>
        <w:t>(iv) Is</w:t>
      </w:r>
      <w:proofErr w:type="gramEnd"/>
      <w:r w:rsidRPr="0071463F">
        <w:rPr>
          <w:sz w:val="24"/>
          <w:szCs w:val="24"/>
        </w:rPr>
        <w:t xml:space="preserve"> ADHD </w:t>
      </w:r>
      <w:r>
        <w:rPr>
          <w:sz w:val="24"/>
          <w:szCs w:val="24"/>
        </w:rPr>
        <w:t xml:space="preserve">still </w:t>
      </w:r>
      <w:r w:rsidRPr="0071463F">
        <w:rPr>
          <w:sz w:val="24"/>
          <w:szCs w:val="24"/>
        </w:rPr>
        <w:t>equally likely in exposed males and females</w:t>
      </w:r>
      <w:r>
        <w:rPr>
          <w:sz w:val="24"/>
          <w:szCs w:val="24"/>
        </w:rPr>
        <w:t xml:space="preserve"> in adulthood</w:t>
      </w:r>
      <w:r w:rsidRPr="0071463F">
        <w:rPr>
          <w:sz w:val="24"/>
          <w:szCs w:val="24"/>
        </w:rPr>
        <w:t>? (v) Is there anything dist</w:t>
      </w:r>
      <w:r>
        <w:rPr>
          <w:sz w:val="24"/>
          <w:szCs w:val="24"/>
        </w:rPr>
        <w:t>inctive about the pattern of co-</w:t>
      </w:r>
      <w:r w:rsidRPr="0071463F">
        <w:rPr>
          <w:sz w:val="24"/>
          <w:szCs w:val="24"/>
        </w:rPr>
        <w:t>occu</w:t>
      </w:r>
      <w:r>
        <w:rPr>
          <w:sz w:val="24"/>
          <w:szCs w:val="24"/>
        </w:rPr>
        <w:t>r</w:t>
      </w:r>
      <w:r w:rsidRPr="0071463F">
        <w:rPr>
          <w:sz w:val="24"/>
          <w:szCs w:val="24"/>
        </w:rPr>
        <w:t xml:space="preserve">ring disorders observed in deprivation-related adult ADHD? </w:t>
      </w:r>
      <w:proofErr w:type="gramStart"/>
      <w:r w:rsidRPr="0071463F">
        <w:rPr>
          <w:sz w:val="24"/>
          <w:szCs w:val="24"/>
        </w:rPr>
        <w:t xml:space="preserve">(vi) </w:t>
      </w:r>
      <w:r w:rsidR="00FD0288">
        <w:rPr>
          <w:sz w:val="24"/>
          <w:szCs w:val="24"/>
        </w:rPr>
        <w:t>Is</w:t>
      </w:r>
      <w:proofErr w:type="gramEnd"/>
      <w:r w:rsidR="00FD0288">
        <w:rPr>
          <w:sz w:val="24"/>
          <w:szCs w:val="24"/>
        </w:rPr>
        <w:t xml:space="preserve"> </w:t>
      </w:r>
      <w:r w:rsidRPr="0071463F">
        <w:rPr>
          <w:sz w:val="24"/>
          <w:szCs w:val="24"/>
        </w:rPr>
        <w:t xml:space="preserve">deprivation-related ADHD </w:t>
      </w:r>
      <w:r w:rsidR="00FD0288">
        <w:rPr>
          <w:sz w:val="24"/>
          <w:szCs w:val="24"/>
        </w:rPr>
        <w:t>associated with</w:t>
      </w:r>
      <w:r w:rsidRPr="0071463F">
        <w:rPr>
          <w:sz w:val="24"/>
          <w:szCs w:val="24"/>
        </w:rPr>
        <w:t xml:space="preserve"> adult life achievements and </w:t>
      </w:r>
      <w:r>
        <w:rPr>
          <w:sz w:val="24"/>
          <w:szCs w:val="24"/>
        </w:rPr>
        <w:t>quality of life (</w:t>
      </w:r>
      <w:proofErr w:type="spellStart"/>
      <w:r>
        <w:rPr>
          <w:sz w:val="24"/>
          <w:szCs w:val="24"/>
        </w:rPr>
        <w:t>QoL</w:t>
      </w:r>
      <w:proofErr w:type="spellEnd"/>
      <w:r>
        <w:rPr>
          <w:sz w:val="24"/>
          <w:szCs w:val="24"/>
        </w:rPr>
        <w:t>)</w:t>
      </w:r>
      <w:r w:rsidRPr="0071463F">
        <w:rPr>
          <w:sz w:val="24"/>
          <w:szCs w:val="24"/>
        </w:rPr>
        <w:t xml:space="preserve">? </w:t>
      </w:r>
    </w:p>
    <w:p w14:paraId="3656C720" w14:textId="77777777" w:rsidR="00BD25B0" w:rsidRPr="0071463F" w:rsidRDefault="00BD25B0" w:rsidP="00FB63A6">
      <w:pPr>
        <w:spacing w:line="480" w:lineRule="auto"/>
        <w:outlineLvl w:val="0"/>
        <w:rPr>
          <w:sz w:val="24"/>
          <w:szCs w:val="24"/>
        </w:rPr>
      </w:pPr>
      <w:r w:rsidRPr="0071463F">
        <w:rPr>
          <w:b/>
          <w:bCs/>
          <w:sz w:val="24"/>
          <w:szCs w:val="24"/>
        </w:rPr>
        <w:t xml:space="preserve">Methods: </w:t>
      </w:r>
      <w:r w:rsidRPr="0071463F">
        <w:rPr>
          <w:sz w:val="24"/>
          <w:szCs w:val="24"/>
        </w:rPr>
        <w:t xml:space="preserve"> </w:t>
      </w:r>
    </w:p>
    <w:p w14:paraId="3A21F975" w14:textId="7F8D6755" w:rsidR="00BD25B0" w:rsidRPr="0071463F" w:rsidRDefault="00BD25B0" w:rsidP="00611F97">
      <w:pPr>
        <w:spacing w:line="480" w:lineRule="auto"/>
        <w:rPr>
          <w:rFonts w:cs="Arial"/>
          <w:sz w:val="24"/>
          <w:szCs w:val="24"/>
        </w:rPr>
      </w:pPr>
      <w:r w:rsidRPr="0071463F">
        <w:rPr>
          <w:b/>
          <w:bCs/>
          <w:sz w:val="24"/>
          <w:szCs w:val="24"/>
        </w:rPr>
        <w:lastRenderedPageBreak/>
        <w:t>Participants:</w:t>
      </w:r>
      <w:r w:rsidRPr="0071463F">
        <w:rPr>
          <w:sz w:val="24"/>
          <w:szCs w:val="24"/>
        </w:rPr>
        <w:t xml:space="preserve"> 165 Romanian adoptees and 52 comparison UK adoptees with no history of deprivation, and their families, initially entered the study in the mid-1990s. </w:t>
      </w:r>
      <w:r>
        <w:rPr>
          <w:sz w:val="24"/>
          <w:szCs w:val="24"/>
        </w:rPr>
        <w:t>A</w:t>
      </w:r>
      <w:r w:rsidRPr="0071463F">
        <w:rPr>
          <w:sz w:val="24"/>
          <w:szCs w:val="24"/>
        </w:rPr>
        <w:t xml:space="preserve">t age 15 </w:t>
      </w:r>
      <w:r w:rsidR="00611F97">
        <w:rPr>
          <w:sz w:val="24"/>
          <w:szCs w:val="24"/>
        </w:rPr>
        <w:t xml:space="preserve">some </w:t>
      </w:r>
      <w:r>
        <w:rPr>
          <w:sz w:val="24"/>
          <w:szCs w:val="24"/>
        </w:rPr>
        <w:t>outcome data was available for 199</w:t>
      </w:r>
      <w:r w:rsidRPr="0071463F">
        <w:rPr>
          <w:sz w:val="24"/>
          <w:szCs w:val="24"/>
        </w:rPr>
        <w:t xml:space="preserve"> participants (</w:t>
      </w:r>
      <w:r>
        <w:rPr>
          <w:sz w:val="24"/>
          <w:szCs w:val="24"/>
        </w:rPr>
        <w:t>48</w:t>
      </w:r>
      <w:r w:rsidRPr="0071463F">
        <w:rPr>
          <w:sz w:val="24"/>
          <w:szCs w:val="24"/>
        </w:rPr>
        <w:t xml:space="preserve"> UK comparison</w:t>
      </w:r>
      <w:r>
        <w:rPr>
          <w:sz w:val="24"/>
          <w:szCs w:val="24"/>
        </w:rPr>
        <w:t xml:space="preserve"> – 35.4</w:t>
      </w:r>
      <w:r w:rsidRPr="0071463F">
        <w:rPr>
          <w:sz w:val="24"/>
          <w:szCs w:val="24"/>
        </w:rPr>
        <w:t xml:space="preserve">% female; </w:t>
      </w:r>
      <w:r>
        <w:rPr>
          <w:sz w:val="24"/>
          <w:szCs w:val="24"/>
        </w:rPr>
        <w:t>151</w:t>
      </w:r>
      <w:r w:rsidRPr="0071463F">
        <w:rPr>
          <w:sz w:val="24"/>
          <w:szCs w:val="24"/>
        </w:rPr>
        <w:t xml:space="preserve"> Romanian </w:t>
      </w:r>
      <w:r w:rsidR="00E735C8">
        <w:rPr>
          <w:sz w:val="24"/>
          <w:szCs w:val="24"/>
        </w:rPr>
        <w:t>a</w:t>
      </w:r>
      <w:r w:rsidRPr="0071463F">
        <w:rPr>
          <w:sz w:val="24"/>
          <w:szCs w:val="24"/>
        </w:rPr>
        <w:t>doptees -</w:t>
      </w:r>
      <w:r>
        <w:rPr>
          <w:sz w:val="24"/>
          <w:szCs w:val="24"/>
        </w:rPr>
        <w:t xml:space="preserve"> 54.3</w:t>
      </w:r>
      <w:r w:rsidRPr="0071463F">
        <w:rPr>
          <w:sz w:val="24"/>
          <w:szCs w:val="24"/>
        </w:rPr>
        <w:t>% female)</w:t>
      </w:r>
      <w:r>
        <w:rPr>
          <w:sz w:val="24"/>
          <w:szCs w:val="24"/>
        </w:rPr>
        <w:t xml:space="preserve"> while by young adult follow up </w:t>
      </w:r>
      <w:r w:rsidRPr="0071463F">
        <w:rPr>
          <w:sz w:val="24"/>
          <w:szCs w:val="24"/>
        </w:rPr>
        <w:t xml:space="preserve"> (ages 22-25 years) </w:t>
      </w:r>
      <w:r w:rsidR="00611F97">
        <w:rPr>
          <w:sz w:val="24"/>
          <w:szCs w:val="24"/>
        </w:rPr>
        <w:t>this</w:t>
      </w:r>
      <w:r>
        <w:rPr>
          <w:sz w:val="24"/>
          <w:szCs w:val="24"/>
        </w:rPr>
        <w:t xml:space="preserve"> dropped to 164</w:t>
      </w:r>
      <w:r w:rsidRPr="0071463F">
        <w:rPr>
          <w:sz w:val="24"/>
          <w:szCs w:val="24"/>
        </w:rPr>
        <w:t xml:space="preserve"> </w:t>
      </w:r>
      <w:r>
        <w:rPr>
          <w:sz w:val="24"/>
          <w:szCs w:val="24"/>
        </w:rPr>
        <w:t>(42</w:t>
      </w:r>
      <w:r w:rsidRPr="0071463F">
        <w:rPr>
          <w:sz w:val="24"/>
          <w:szCs w:val="24"/>
        </w:rPr>
        <w:t xml:space="preserve"> UK comparison</w:t>
      </w:r>
      <w:r>
        <w:rPr>
          <w:sz w:val="24"/>
          <w:szCs w:val="24"/>
        </w:rPr>
        <w:t xml:space="preserve"> – 38.1</w:t>
      </w:r>
      <w:r w:rsidRPr="0071463F">
        <w:rPr>
          <w:sz w:val="24"/>
          <w:szCs w:val="24"/>
        </w:rPr>
        <w:t xml:space="preserve">% female; </w:t>
      </w:r>
      <w:r>
        <w:rPr>
          <w:sz w:val="24"/>
          <w:szCs w:val="24"/>
        </w:rPr>
        <w:t>122</w:t>
      </w:r>
      <w:r w:rsidRPr="0071463F">
        <w:rPr>
          <w:sz w:val="24"/>
          <w:szCs w:val="24"/>
        </w:rPr>
        <w:t xml:space="preserve"> Romanian </w:t>
      </w:r>
      <w:r w:rsidR="00E735C8">
        <w:rPr>
          <w:sz w:val="24"/>
          <w:szCs w:val="24"/>
        </w:rPr>
        <w:t>a</w:t>
      </w:r>
      <w:r w:rsidRPr="0071463F">
        <w:rPr>
          <w:sz w:val="24"/>
          <w:szCs w:val="24"/>
        </w:rPr>
        <w:t>doptees</w:t>
      </w:r>
      <w:r>
        <w:rPr>
          <w:sz w:val="24"/>
          <w:szCs w:val="24"/>
        </w:rPr>
        <w:t xml:space="preserve"> – 54.1</w:t>
      </w:r>
      <w:r w:rsidRPr="0071463F">
        <w:rPr>
          <w:sz w:val="24"/>
          <w:szCs w:val="24"/>
        </w:rPr>
        <w:t xml:space="preserve">% female). </w:t>
      </w:r>
      <w:r>
        <w:rPr>
          <w:sz w:val="24"/>
          <w:szCs w:val="24"/>
        </w:rPr>
        <w:t>T</w:t>
      </w:r>
      <w:r w:rsidRPr="0071463F">
        <w:rPr>
          <w:sz w:val="24"/>
          <w:szCs w:val="24"/>
        </w:rPr>
        <w:t xml:space="preserve">he average age at </w:t>
      </w:r>
      <w:r>
        <w:rPr>
          <w:sz w:val="24"/>
          <w:szCs w:val="24"/>
        </w:rPr>
        <w:t>young adult follow-up</w:t>
      </w:r>
      <w:r w:rsidRPr="0071463F">
        <w:rPr>
          <w:sz w:val="24"/>
          <w:szCs w:val="24"/>
        </w:rPr>
        <w:t xml:space="preserve"> for the UK comparison group was </w:t>
      </w:r>
      <w:r>
        <w:rPr>
          <w:sz w:val="24"/>
          <w:szCs w:val="24"/>
        </w:rPr>
        <w:t>23.2</w:t>
      </w:r>
      <w:r w:rsidRPr="0071463F">
        <w:rPr>
          <w:sz w:val="24"/>
          <w:szCs w:val="24"/>
        </w:rPr>
        <w:t xml:space="preserve"> </w:t>
      </w:r>
      <w:r>
        <w:rPr>
          <w:sz w:val="24"/>
          <w:szCs w:val="24"/>
        </w:rPr>
        <w:t xml:space="preserve">(22-25, SD=.77) </w:t>
      </w:r>
      <w:r w:rsidRPr="0071463F">
        <w:rPr>
          <w:sz w:val="24"/>
          <w:szCs w:val="24"/>
        </w:rPr>
        <w:t xml:space="preserve">years and for the Romanian Adoptees </w:t>
      </w:r>
      <w:r>
        <w:rPr>
          <w:sz w:val="24"/>
          <w:szCs w:val="24"/>
        </w:rPr>
        <w:t>23.6</w:t>
      </w:r>
      <w:r w:rsidRPr="0071463F">
        <w:rPr>
          <w:sz w:val="24"/>
          <w:szCs w:val="24"/>
        </w:rPr>
        <w:t xml:space="preserve"> </w:t>
      </w:r>
      <w:r>
        <w:rPr>
          <w:sz w:val="24"/>
          <w:szCs w:val="24"/>
        </w:rPr>
        <w:t xml:space="preserve">(22-26, SD=.81) </w:t>
      </w:r>
      <w:r w:rsidRPr="0071463F">
        <w:rPr>
          <w:sz w:val="24"/>
          <w:szCs w:val="24"/>
        </w:rPr>
        <w:t xml:space="preserve">years. Based on age 15 data there was no difference between those remaining in the study </w:t>
      </w:r>
      <w:r>
        <w:rPr>
          <w:sz w:val="24"/>
          <w:szCs w:val="24"/>
        </w:rPr>
        <w:t xml:space="preserve">at the young adult follow up </w:t>
      </w:r>
      <w:r w:rsidRPr="0071463F">
        <w:rPr>
          <w:sz w:val="24"/>
          <w:szCs w:val="24"/>
        </w:rPr>
        <w:t>and those dropping out in terms of duration of deprivation, sex of child, age, IQ or the proportion of cases with deprivation</w:t>
      </w:r>
      <w:r>
        <w:rPr>
          <w:sz w:val="24"/>
          <w:szCs w:val="24"/>
        </w:rPr>
        <w:t>-</w:t>
      </w:r>
      <w:r w:rsidRPr="0071463F">
        <w:rPr>
          <w:sz w:val="24"/>
          <w:szCs w:val="24"/>
        </w:rPr>
        <w:t>related problems (</w:t>
      </w:r>
      <w:r>
        <w:rPr>
          <w:sz w:val="24"/>
          <w:szCs w:val="24"/>
        </w:rPr>
        <w:t>data available from authors</w:t>
      </w:r>
      <w:r w:rsidR="00FA46FE">
        <w:rPr>
          <w:sz w:val="24"/>
          <w:szCs w:val="24"/>
        </w:rPr>
        <w:t>)</w:t>
      </w:r>
      <w:r w:rsidR="00E735C8">
        <w:rPr>
          <w:sz w:val="24"/>
          <w:szCs w:val="24"/>
        </w:rPr>
        <w:t>.</w:t>
      </w:r>
    </w:p>
    <w:p w14:paraId="446BC762" w14:textId="77777777" w:rsidR="00BD25B0" w:rsidRPr="0071463F" w:rsidRDefault="00BD25B0" w:rsidP="00FB63A6">
      <w:pPr>
        <w:spacing w:line="480" w:lineRule="auto"/>
        <w:outlineLvl w:val="0"/>
        <w:rPr>
          <w:b/>
          <w:bCs/>
          <w:sz w:val="24"/>
          <w:szCs w:val="24"/>
        </w:rPr>
      </w:pPr>
      <w:r w:rsidRPr="0071463F">
        <w:rPr>
          <w:b/>
          <w:bCs/>
          <w:sz w:val="24"/>
          <w:szCs w:val="24"/>
        </w:rPr>
        <w:t>Measures</w:t>
      </w:r>
    </w:p>
    <w:p w14:paraId="75CCD82F" w14:textId="77777777" w:rsidR="00BD25B0" w:rsidRPr="0071463F" w:rsidRDefault="00BD25B0" w:rsidP="007B34AC">
      <w:pPr>
        <w:spacing w:line="480" w:lineRule="auto"/>
        <w:rPr>
          <w:rFonts w:cs="Arial"/>
          <w:sz w:val="24"/>
          <w:szCs w:val="24"/>
        </w:rPr>
      </w:pPr>
      <w:r w:rsidRPr="0071463F">
        <w:rPr>
          <w:sz w:val="24"/>
          <w:szCs w:val="24"/>
        </w:rPr>
        <w:t xml:space="preserve">The ERA study included a wide range of interview, questionnaire, cognitive and observational measures at the adolescent and young adult follow-ups. </w:t>
      </w:r>
      <w:r>
        <w:rPr>
          <w:sz w:val="24"/>
          <w:szCs w:val="24"/>
        </w:rPr>
        <w:t xml:space="preserve">Only measures relevant to the current analysis are described here. </w:t>
      </w:r>
    </w:p>
    <w:p w14:paraId="4E8E7E41" w14:textId="77777777" w:rsidR="00BD25B0" w:rsidRPr="0071463F" w:rsidRDefault="00BD25B0" w:rsidP="00FB63A6">
      <w:pPr>
        <w:spacing w:line="480" w:lineRule="auto"/>
        <w:outlineLvl w:val="0"/>
        <w:rPr>
          <w:b/>
          <w:bCs/>
          <w:sz w:val="24"/>
          <w:szCs w:val="24"/>
        </w:rPr>
      </w:pPr>
      <w:r w:rsidRPr="0071463F">
        <w:rPr>
          <w:b/>
          <w:bCs/>
          <w:sz w:val="24"/>
          <w:szCs w:val="24"/>
        </w:rPr>
        <w:t>ADHD</w:t>
      </w:r>
    </w:p>
    <w:p w14:paraId="4B8E7521" w14:textId="77777777" w:rsidR="00BD25B0" w:rsidRPr="0071463F" w:rsidRDefault="00BD25B0" w:rsidP="00771C3D">
      <w:pPr>
        <w:spacing w:line="480" w:lineRule="auto"/>
        <w:rPr>
          <w:sz w:val="24"/>
          <w:szCs w:val="24"/>
        </w:rPr>
      </w:pPr>
      <w:r w:rsidRPr="0071463F">
        <w:rPr>
          <w:b/>
          <w:bCs/>
          <w:sz w:val="24"/>
          <w:szCs w:val="24"/>
        </w:rPr>
        <w:t>General strategy:</w:t>
      </w:r>
      <w:r w:rsidRPr="0071463F">
        <w:rPr>
          <w:sz w:val="24"/>
          <w:szCs w:val="24"/>
        </w:rPr>
        <w:t xml:space="preserve"> ADHD and associated impairment was assessed using different instruments in mid-adolescence and early adulthood. </w:t>
      </w:r>
      <w:r>
        <w:rPr>
          <w:sz w:val="24"/>
          <w:szCs w:val="24"/>
        </w:rPr>
        <w:t>Working within the</w:t>
      </w:r>
      <w:r w:rsidRPr="0071463F">
        <w:rPr>
          <w:sz w:val="24"/>
          <w:szCs w:val="24"/>
        </w:rPr>
        <w:t>s</w:t>
      </w:r>
      <w:r>
        <w:rPr>
          <w:sz w:val="24"/>
          <w:szCs w:val="24"/>
        </w:rPr>
        <w:t>e</w:t>
      </w:r>
      <w:r w:rsidRPr="0071463F">
        <w:rPr>
          <w:sz w:val="24"/>
          <w:szCs w:val="24"/>
        </w:rPr>
        <w:t xml:space="preserve"> constraints</w:t>
      </w:r>
      <w:r>
        <w:rPr>
          <w:sz w:val="24"/>
          <w:szCs w:val="24"/>
        </w:rPr>
        <w:t>,</w:t>
      </w:r>
      <w:r w:rsidRPr="0071463F">
        <w:rPr>
          <w:sz w:val="24"/>
          <w:szCs w:val="24"/>
        </w:rPr>
        <w:t xml:space="preserve"> our aim was to assess levels of continuity and persistence across the adolescent-adult transition while anchoring our estimates to DSM definitions of clinical significance. To this end we adopted a categorical approach to defining ADHD using DSM-5 childhood diagnostic thresholds to identify the presence or absence of the disorder at both follow-ups. </w:t>
      </w:r>
    </w:p>
    <w:p w14:paraId="333053F2" w14:textId="6EC22BAD" w:rsidR="00BD25B0" w:rsidRPr="0071463F" w:rsidRDefault="00BD25B0" w:rsidP="00FA46FE">
      <w:pPr>
        <w:spacing w:line="480" w:lineRule="auto"/>
        <w:ind w:firstLine="720"/>
        <w:rPr>
          <w:sz w:val="24"/>
          <w:szCs w:val="24"/>
        </w:rPr>
      </w:pPr>
      <w:r w:rsidRPr="0071463F">
        <w:rPr>
          <w:b/>
          <w:bCs/>
          <w:sz w:val="24"/>
          <w:szCs w:val="24"/>
        </w:rPr>
        <w:lastRenderedPageBreak/>
        <w:t xml:space="preserve">Adolescence: </w:t>
      </w:r>
      <w:r w:rsidRPr="0071463F">
        <w:rPr>
          <w:sz w:val="24"/>
          <w:szCs w:val="24"/>
        </w:rPr>
        <w:t xml:space="preserve">Data on ADHD was collected from parents as part of a modified Child and Adolescent Psychiatric Assessment (CAPA) interview </w:t>
      </w:r>
      <w:r w:rsidRPr="004E0AD8">
        <w:rPr>
          <w:sz w:val="24"/>
          <w:szCs w:val="24"/>
        </w:rPr>
        <w:t>(</w:t>
      </w:r>
      <w:proofErr w:type="spellStart"/>
      <w:r w:rsidRPr="004E0AD8">
        <w:rPr>
          <w:sz w:val="24"/>
          <w:szCs w:val="24"/>
        </w:rPr>
        <w:t>Angold</w:t>
      </w:r>
      <w:proofErr w:type="spellEnd"/>
      <w:r w:rsidRPr="004E0AD8">
        <w:rPr>
          <w:sz w:val="24"/>
          <w:szCs w:val="24"/>
        </w:rPr>
        <w:t xml:space="preserve"> &amp; Costello, 2000).</w:t>
      </w:r>
      <w:r w:rsidRPr="0071463F">
        <w:rPr>
          <w:sz w:val="24"/>
          <w:szCs w:val="24"/>
        </w:rPr>
        <w:t xml:space="preserve"> This is a well-validated </w:t>
      </w:r>
      <w:r w:rsidR="00FA46FE">
        <w:rPr>
          <w:sz w:val="24"/>
          <w:szCs w:val="24"/>
        </w:rPr>
        <w:t>semi-</w:t>
      </w:r>
      <w:r w:rsidRPr="0071463F">
        <w:rPr>
          <w:sz w:val="24"/>
          <w:szCs w:val="24"/>
        </w:rPr>
        <w:t xml:space="preserve">structured interview covering a range of psychiatric disorders assessed over the last three months. Information was collected about the presence of nine of the 18 DSM-5 ADHD symptoms – 3 relating to inattention, 3 to hyperactivity and 3 to impulsivity. Each symptom was coded on a 0 to 3 </w:t>
      </w:r>
      <w:r>
        <w:rPr>
          <w:sz w:val="24"/>
          <w:szCs w:val="24"/>
        </w:rPr>
        <w:t xml:space="preserve">severity </w:t>
      </w:r>
      <w:r w:rsidRPr="0071463F">
        <w:rPr>
          <w:sz w:val="24"/>
          <w:szCs w:val="24"/>
        </w:rPr>
        <w:t>scale by trained interviewers. Following the standard approach</w:t>
      </w:r>
      <w:r>
        <w:rPr>
          <w:sz w:val="24"/>
          <w:szCs w:val="24"/>
        </w:rPr>
        <w:t xml:space="preserve">, </w:t>
      </w:r>
      <w:r w:rsidRPr="0071463F">
        <w:rPr>
          <w:sz w:val="24"/>
          <w:szCs w:val="24"/>
        </w:rPr>
        <w:t xml:space="preserve">a symptom was </w:t>
      </w:r>
      <w:r>
        <w:rPr>
          <w:sz w:val="24"/>
          <w:szCs w:val="24"/>
        </w:rPr>
        <w:t>judged</w:t>
      </w:r>
      <w:r w:rsidRPr="0071463F">
        <w:rPr>
          <w:sz w:val="24"/>
          <w:szCs w:val="24"/>
        </w:rPr>
        <w:t xml:space="preserve"> present when a score of </w:t>
      </w:r>
      <w:proofErr w:type="gramStart"/>
      <w:r w:rsidRPr="0071463F">
        <w:rPr>
          <w:sz w:val="24"/>
          <w:szCs w:val="24"/>
        </w:rPr>
        <w:t>2</w:t>
      </w:r>
      <w:proofErr w:type="gramEnd"/>
      <w:r w:rsidRPr="0071463F">
        <w:rPr>
          <w:sz w:val="24"/>
          <w:szCs w:val="24"/>
        </w:rPr>
        <w:t xml:space="preserve"> (definite) or more was recorded. ADHD was deemed to be present if either </w:t>
      </w:r>
      <w:r>
        <w:rPr>
          <w:sz w:val="24"/>
          <w:szCs w:val="24"/>
        </w:rPr>
        <w:t xml:space="preserve">at least </w:t>
      </w:r>
      <w:r w:rsidRPr="0071463F">
        <w:rPr>
          <w:sz w:val="24"/>
          <w:szCs w:val="24"/>
        </w:rPr>
        <w:t>2 of 3 symptoms of inattention (ADHD-PI), 4 of 6 symptoms of hyperactivity and/or impulsivity combined (ADHD-PH/I) or both (ADHD-CT) were reported along with “definite” levels of impairment in daily functioning. These thresholds represented pro-rated equivalents of</w:t>
      </w:r>
      <w:r>
        <w:rPr>
          <w:sz w:val="24"/>
          <w:szCs w:val="24"/>
        </w:rPr>
        <w:t xml:space="preserve"> the full DSM-5</w:t>
      </w:r>
      <w:r w:rsidRPr="0071463F">
        <w:rPr>
          <w:sz w:val="24"/>
          <w:szCs w:val="24"/>
        </w:rPr>
        <w:t xml:space="preserve"> 18-item childhood criteria. </w:t>
      </w:r>
    </w:p>
    <w:p w14:paraId="60114666" w14:textId="648D0FDD" w:rsidR="00BD25B0" w:rsidRPr="0071463F" w:rsidRDefault="00BD25B0" w:rsidP="00FA46FE">
      <w:pPr>
        <w:spacing w:line="480" w:lineRule="auto"/>
        <w:ind w:firstLine="720"/>
        <w:rPr>
          <w:rFonts w:cs="Arial"/>
          <w:sz w:val="24"/>
          <w:szCs w:val="24"/>
        </w:rPr>
      </w:pPr>
      <w:r w:rsidRPr="0071463F">
        <w:rPr>
          <w:b/>
          <w:bCs/>
          <w:sz w:val="24"/>
          <w:szCs w:val="24"/>
        </w:rPr>
        <w:t xml:space="preserve">Young adult: </w:t>
      </w:r>
      <w:r w:rsidRPr="0071463F">
        <w:rPr>
          <w:sz w:val="24"/>
          <w:szCs w:val="24"/>
        </w:rPr>
        <w:t>Data on the 18 DSM ADHD symptoms were collected using both self</w:t>
      </w:r>
      <w:r>
        <w:rPr>
          <w:sz w:val="24"/>
          <w:szCs w:val="24"/>
        </w:rPr>
        <w:t>-</w:t>
      </w:r>
      <w:r w:rsidRPr="0071463F">
        <w:rPr>
          <w:sz w:val="24"/>
          <w:szCs w:val="24"/>
        </w:rPr>
        <w:t xml:space="preserve"> and parent</w:t>
      </w:r>
      <w:r>
        <w:rPr>
          <w:sz w:val="24"/>
          <w:szCs w:val="24"/>
        </w:rPr>
        <w:t>-</w:t>
      </w:r>
      <w:r w:rsidRPr="0071463F">
        <w:rPr>
          <w:sz w:val="24"/>
          <w:szCs w:val="24"/>
        </w:rPr>
        <w:t xml:space="preserve">reported ratings from the Conner’s Comprehensive Behaviour Rating Scale (CBRS; </w:t>
      </w:r>
      <w:proofErr w:type="spellStart"/>
      <w:r w:rsidRPr="001C10EA">
        <w:rPr>
          <w:sz w:val="24"/>
          <w:szCs w:val="24"/>
        </w:rPr>
        <w:t>Conners</w:t>
      </w:r>
      <w:proofErr w:type="spellEnd"/>
      <w:r>
        <w:rPr>
          <w:sz w:val="24"/>
          <w:szCs w:val="24"/>
        </w:rPr>
        <w:t xml:space="preserve">, </w:t>
      </w:r>
      <w:proofErr w:type="spellStart"/>
      <w:r>
        <w:rPr>
          <w:sz w:val="24"/>
          <w:szCs w:val="24"/>
        </w:rPr>
        <w:t>Pitkanen</w:t>
      </w:r>
      <w:proofErr w:type="spellEnd"/>
      <w:r>
        <w:rPr>
          <w:sz w:val="24"/>
          <w:szCs w:val="24"/>
        </w:rPr>
        <w:t xml:space="preserve"> &amp; </w:t>
      </w:r>
      <w:proofErr w:type="spellStart"/>
      <w:r>
        <w:rPr>
          <w:sz w:val="24"/>
          <w:szCs w:val="24"/>
        </w:rPr>
        <w:t>Rzepa</w:t>
      </w:r>
      <w:proofErr w:type="spellEnd"/>
      <w:r>
        <w:rPr>
          <w:sz w:val="24"/>
          <w:szCs w:val="24"/>
        </w:rPr>
        <w:t xml:space="preserve">, </w:t>
      </w:r>
      <w:r w:rsidRPr="001C10EA">
        <w:rPr>
          <w:sz w:val="24"/>
          <w:szCs w:val="24"/>
        </w:rPr>
        <w:t>2011). This is a well-validated scale</w:t>
      </w:r>
      <w:r w:rsidRPr="0071463F">
        <w:rPr>
          <w:sz w:val="24"/>
          <w:szCs w:val="24"/>
        </w:rPr>
        <w:t xml:space="preserve"> covering a wide range of mental health and developmental disorder</w:t>
      </w:r>
      <w:r>
        <w:rPr>
          <w:sz w:val="24"/>
          <w:szCs w:val="24"/>
        </w:rPr>
        <w:t>s</w:t>
      </w:r>
      <w:r w:rsidRPr="0071463F">
        <w:rPr>
          <w:sz w:val="24"/>
          <w:szCs w:val="24"/>
        </w:rPr>
        <w:t xml:space="preserve"> of childhood and adolescence. The version included items adapted for use with young adults following permission from the </w:t>
      </w:r>
      <w:r>
        <w:rPr>
          <w:sz w:val="24"/>
          <w:szCs w:val="24"/>
        </w:rPr>
        <w:t>copyright holders</w:t>
      </w:r>
      <w:r w:rsidRPr="0071463F">
        <w:rPr>
          <w:sz w:val="24"/>
          <w:szCs w:val="24"/>
        </w:rPr>
        <w:t xml:space="preserve">. Items were </w:t>
      </w:r>
      <w:r w:rsidRPr="003F7E9E">
        <w:rPr>
          <w:sz w:val="24"/>
          <w:szCs w:val="24"/>
        </w:rPr>
        <w:t xml:space="preserve">rated </w:t>
      </w:r>
      <w:r w:rsidR="00FA46FE" w:rsidRPr="003F7E9E">
        <w:rPr>
          <w:sz w:val="24"/>
          <w:szCs w:val="24"/>
        </w:rPr>
        <w:t xml:space="preserve">in terms of </w:t>
      </w:r>
      <w:r w:rsidR="003F7E9E" w:rsidRPr="003F7E9E">
        <w:rPr>
          <w:sz w:val="24"/>
          <w:szCs w:val="24"/>
        </w:rPr>
        <w:t>“never</w:t>
      </w:r>
      <w:r w:rsidR="00870DF8">
        <w:rPr>
          <w:sz w:val="24"/>
          <w:szCs w:val="24"/>
        </w:rPr>
        <w:t xml:space="preserve">, </w:t>
      </w:r>
      <w:r w:rsidR="003F7E9E">
        <w:rPr>
          <w:sz w:val="24"/>
          <w:szCs w:val="24"/>
        </w:rPr>
        <w:t>seldom” to “</w:t>
      </w:r>
      <w:r w:rsidR="00870DF8">
        <w:rPr>
          <w:sz w:val="24"/>
          <w:szCs w:val="24"/>
        </w:rPr>
        <w:t xml:space="preserve">very often, </w:t>
      </w:r>
      <w:r w:rsidR="003F7E9E">
        <w:rPr>
          <w:sz w:val="24"/>
          <w:szCs w:val="24"/>
        </w:rPr>
        <w:t>very frequently”</w:t>
      </w:r>
      <w:r w:rsidR="00FA46FE">
        <w:rPr>
          <w:sz w:val="24"/>
          <w:szCs w:val="24"/>
        </w:rPr>
        <w:t xml:space="preserve"> </w:t>
      </w:r>
      <w:r w:rsidRPr="0071463F">
        <w:rPr>
          <w:sz w:val="24"/>
          <w:szCs w:val="24"/>
        </w:rPr>
        <w:t xml:space="preserve">over the last month on a scale of 0 to 3. To optimise the equivalence between assessment waves, </w:t>
      </w:r>
      <w:r>
        <w:rPr>
          <w:sz w:val="24"/>
          <w:szCs w:val="24"/>
        </w:rPr>
        <w:t xml:space="preserve">the </w:t>
      </w:r>
      <w:r w:rsidRPr="0071463F">
        <w:rPr>
          <w:sz w:val="24"/>
          <w:szCs w:val="24"/>
        </w:rPr>
        <w:t>early adult assessment of ADHD employed the same nine parent</w:t>
      </w:r>
      <w:r>
        <w:rPr>
          <w:sz w:val="24"/>
          <w:szCs w:val="24"/>
        </w:rPr>
        <w:t>-</w:t>
      </w:r>
      <w:r w:rsidRPr="0071463F">
        <w:rPr>
          <w:sz w:val="24"/>
          <w:szCs w:val="24"/>
        </w:rPr>
        <w:t>rated symptom</w:t>
      </w:r>
      <w:r>
        <w:rPr>
          <w:sz w:val="24"/>
          <w:szCs w:val="24"/>
        </w:rPr>
        <w:t>s</w:t>
      </w:r>
      <w:r w:rsidRPr="0071463F">
        <w:rPr>
          <w:sz w:val="24"/>
          <w:szCs w:val="24"/>
        </w:rPr>
        <w:t xml:space="preserve"> </w:t>
      </w:r>
      <w:r>
        <w:rPr>
          <w:sz w:val="24"/>
          <w:szCs w:val="24"/>
        </w:rPr>
        <w:t>that were</w:t>
      </w:r>
      <w:r w:rsidRPr="0071463F">
        <w:rPr>
          <w:sz w:val="24"/>
          <w:szCs w:val="24"/>
        </w:rPr>
        <w:t xml:space="preserve"> available in </w:t>
      </w:r>
      <w:r>
        <w:rPr>
          <w:sz w:val="24"/>
          <w:szCs w:val="24"/>
        </w:rPr>
        <w:t xml:space="preserve">the </w:t>
      </w:r>
      <w:r w:rsidRPr="0071463F">
        <w:rPr>
          <w:sz w:val="24"/>
          <w:szCs w:val="24"/>
        </w:rPr>
        <w:t>adolescen</w:t>
      </w:r>
      <w:r>
        <w:rPr>
          <w:sz w:val="24"/>
          <w:szCs w:val="24"/>
        </w:rPr>
        <w:t>t dataset</w:t>
      </w:r>
      <w:r w:rsidRPr="0071463F">
        <w:rPr>
          <w:sz w:val="24"/>
          <w:szCs w:val="24"/>
        </w:rPr>
        <w:t>. A</w:t>
      </w:r>
      <w:r>
        <w:rPr>
          <w:sz w:val="24"/>
          <w:szCs w:val="24"/>
        </w:rPr>
        <w:t xml:space="preserve"> </w:t>
      </w:r>
      <w:r w:rsidRPr="0071463F">
        <w:rPr>
          <w:sz w:val="24"/>
          <w:szCs w:val="24"/>
        </w:rPr>
        <w:t xml:space="preserve">symptom was deemed present </w:t>
      </w:r>
      <w:r w:rsidR="00FA46FE">
        <w:rPr>
          <w:sz w:val="24"/>
          <w:szCs w:val="24"/>
        </w:rPr>
        <w:t>using the standard approach (</w:t>
      </w:r>
      <w:r w:rsidRPr="0071463F">
        <w:rPr>
          <w:sz w:val="24"/>
          <w:szCs w:val="24"/>
        </w:rPr>
        <w:t xml:space="preserve">a score of 2 (often) or </w:t>
      </w:r>
      <w:r>
        <w:rPr>
          <w:sz w:val="24"/>
          <w:szCs w:val="24"/>
        </w:rPr>
        <w:t>higher</w:t>
      </w:r>
      <w:r w:rsidR="00FA46FE">
        <w:rPr>
          <w:sz w:val="24"/>
          <w:szCs w:val="24"/>
        </w:rPr>
        <w:t>)</w:t>
      </w:r>
      <w:r w:rsidRPr="0071463F">
        <w:rPr>
          <w:sz w:val="24"/>
          <w:szCs w:val="24"/>
        </w:rPr>
        <w:t>. The same diagnostic thresholds were employed as in adolescence</w:t>
      </w:r>
      <w:r>
        <w:rPr>
          <w:sz w:val="24"/>
          <w:szCs w:val="24"/>
        </w:rPr>
        <w:t>,</w:t>
      </w:r>
      <w:r w:rsidRPr="0071463F">
        <w:rPr>
          <w:sz w:val="24"/>
          <w:szCs w:val="24"/>
        </w:rPr>
        <w:t xml:space="preserve"> and a rating of “always” in at least two setting</w:t>
      </w:r>
      <w:r>
        <w:rPr>
          <w:sz w:val="24"/>
          <w:szCs w:val="24"/>
        </w:rPr>
        <w:t>s</w:t>
      </w:r>
      <w:r w:rsidRPr="0071463F">
        <w:rPr>
          <w:sz w:val="24"/>
          <w:szCs w:val="24"/>
        </w:rPr>
        <w:t xml:space="preserve"> was required for impairment. </w:t>
      </w:r>
      <w:r>
        <w:rPr>
          <w:sz w:val="24"/>
          <w:szCs w:val="24"/>
        </w:rPr>
        <w:t xml:space="preserve">The sub-scales for inattention and hyperactivity/ </w:t>
      </w:r>
      <w:r>
        <w:rPr>
          <w:sz w:val="24"/>
          <w:szCs w:val="24"/>
        </w:rPr>
        <w:lastRenderedPageBreak/>
        <w:t>impulsivity both had acceptable reliability, with Cronbach’s alphas of .76 and .80 respectively.</w:t>
      </w:r>
    </w:p>
    <w:p w14:paraId="11C6AEF1" w14:textId="77777777" w:rsidR="00BD25B0" w:rsidRPr="0071463F" w:rsidRDefault="00BD25B0" w:rsidP="00FB63A6">
      <w:pPr>
        <w:spacing w:line="480" w:lineRule="auto"/>
        <w:outlineLvl w:val="0"/>
        <w:rPr>
          <w:b/>
          <w:bCs/>
          <w:sz w:val="24"/>
          <w:szCs w:val="24"/>
        </w:rPr>
      </w:pPr>
      <w:r w:rsidRPr="0071463F">
        <w:rPr>
          <w:b/>
          <w:bCs/>
          <w:sz w:val="24"/>
          <w:szCs w:val="24"/>
        </w:rPr>
        <w:t>Co-occurring developmental and mental health problems</w:t>
      </w:r>
    </w:p>
    <w:p w14:paraId="0E321F02" w14:textId="4B47DC52" w:rsidR="00BD25B0" w:rsidRPr="0071463F" w:rsidRDefault="00BD25B0" w:rsidP="00CA283A">
      <w:pPr>
        <w:spacing w:line="480" w:lineRule="auto"/>
        <w:rPr>
          <w:rFonts w:cs="Arial"/>
          <w:sz w:val="24"/>
          <w:szCs w:val="24"/>
        </w:rPr>
      </w:pPr>
      <w:r w:rsidRPr="001C10EA">
        <w:rPr>
          <w:b/>
          <w:bCs/>
          <w:sz w:val="24"/>
          <w:szCs w:val="24"/>
        </w:rPr>
        <w:t xml:space="preserve">Autism Spectrum Disorder (ASD): </w:t>
      </w:r>
      <w:r w:rsidRPr="001C10EA">
        <w:rPr>
          <w:sz w:val="24"/>
          <w:szCs w:val="24"/>
        </w:rPr>
        <w:t>The Social Communication Questionnaire (SCQ; Rutter</w:t>
      </w:r>
      <w:r>
        <w:rPr>
          <w:sz w:val="24"/>
          <w:szCs w:val="24"/>
        </w:rPr>
        <w:t>, Bailey &amp; Lord,</w:t>
      </w:r>
      <w:r w:rsidRPr="001C10EA">
        <w:rPr>
          <w:sz w:val="24"/>
          <w:szCs w:val="24"/>
        </w:rPr>
        <w:t xml:space="preserve"> 2003) was completed by parents at both mid-adolescent and young adult follow up</w:t>
      </w:r>
      <w:r>
        <w:rPr>
          <w:sz w:val="24"/>
          <w:szCs w:val="24"/>
        </w:rPr>
        <w:t>s</w:t>
      </w:r>
      <w:r w:rsidRPr="001C10EA">
        <w:rPr>
          <w:sz w:val="24"/>
          <w:szCs w:val="24"/>
        </w:rPr>
        <w:t>. It is a widely used and clinically validated 35 item screen for ASD symptoms that maps onto DSM diagnostic criteria. In the current analysis the standard cut off of 15 was used as this has been shown to have good sensitivity and specificity as an ASD screen</w:t>
      </w:r>
      <w:r w:rsidRPr="001C10EA">
        <w:t xml:space="preserve"> </w:t>
      </w:r>
      <w:r>
        <w:t>(</w:t>
      </w:r>
      <w:proofErr w:type="spellStart"/>
      <w:r w:rsidRPr="001C10EA">
        <w:rPr>
          <w:sz w:val="24"/>
          <w:szCs w:val="24"/>
        </w:rPr>
        <w:t>Witwer</w:t>
      </w:r>
      <w:proofErr w:type="spellEnd"/>
      <w:r w:rsidRPr="001C10EA">
        <w:rPr>
          <w:sz w:val="24"/>
          <w:szCs w:val="24"/>
        </w:rPr>
        <w:t xml:space="preserve"> &amp; </w:t>
      </w:r>
      <w:proofErr w:type="spellStart"/>
      <w:r w:rsidRPr="001C10EA">
        <w:rPr>
          <w:sz w:val="24"/>
          <w:szCs w:val="24"/>
        </w:rPr>
        <w:t>Lecavalier</w:t>
      </w:r>
      <w:proofErr w:type="spellEnd"/>
      <w:r w:rsidRPr="001C10EA">
        <w:rPr>
          <w:sz w:val="24"/>
          <w:szCs w:val="24"/>
        </w:rPr>
        <w:t>, 2007). This cut off identifies approx</w:t>
      </w:r>
      <w:r w:rsidR="00E32BC8">
        <w:rPr>
          <w:sz w:val="24"/>
          <w:szCs w:val="24"/>
        </w:rPr>
        <w:t>imately</w:t>
      </w:r>
      <w:r w:rsidRPr="001C10EA">
        <w:rPr>
          <w:sz w:val="24"/>
          <w:szCs w:val="24"/>
        </w:rPr>
        <w:t xml:space="preserve"> 4-5 percent of the </w:t>
      </w:r>
      <w:r>
        <w:rPr>
          <w:sz w:val="24"/>
          <w:szCs w:val="24"/>
        </w:rPr>
        <w:t xml:space="preserve">childhood </w:t>
      </w:r>
      <w:r w:rsidRPr="001C10EA">
        <w:rPr>
          <w:sz w:val="24"/>
          <w:szCs w:val="24"/>
        </w:rPr>
        <w:t xml:space="preserve">population </w:t>
      </w:r>
      <w:r>
        <w:rPr>
          <w:sz w:val="24"/>
          <w:szCs w:val="24"/>
        </w:rPr>
        <w:t xml:space="preserve">as </w:t>
      </w:r>
      <w:r w:rsidRPr="001C10EA">
        <w:rPr>
          <w:sz w:val="24"/>
          <w:szCs w:val="24"/>
        </w:rPr>
        <w:t>ASD</w:t>
      </w:r>
      <w:r>
        <w:rPr>
          <w:sz w:val="24"/>
          <w:szCs w:val="24"/>
        </w:rPr>
        <w:t xml:space="preserve"> in childhood</w:t>
      </w:r>
      <w:r w:rsidRPr="001C10EA">
        <w:rPr>
          <w:sz w:val="24"/>
          <w:szCs w:val="24"/>
        </w:rPr>
        <w:t xml:space="preserve"> (Chandler et al., 2007).</w:t>
      </w:r>
      <w:r w:rsidRPr="008143A3">
        <w:rPr>
          <w:sz w:val="24"/>
          <w:szCs w:val="24"/>
        </w:rPr>
        <w:t xml:space="preserve"> </w:t>
      </w:r>
      <w:r>
        <w:rPr>
          <w:sz w:val="24"/>
          <w:szCs w:val="24"/>
        </w:rPr>
        <w:t>The scale has also been validated in adulthood (Chowdhury, 2007).</w:t>
      </w:r>
    </w:p>
    <w:p w14:paraId="33DC3FD5" w14:textId="5A9F180B" w:rsidR="00BD25B0" w:rsidRPr="0071463F" w:rsidRDefault="00BD25B0" w:rsidP="007261EB">
      <w:pPr>
        <w:spacing w:line="480" w:lineRule="auto"/>
        <w:rPr>
          <w:sz w:val="24"/>
          <w:szCs w:val="24"/>
        </w:rPr>
      </w:pPr>
      <w:r w:rsidRPr="001C10EA">
        <w:rPr>
          <w:b/>
          <w:bCs/>
          <w:sz w:val="24"/>
          <w:szCs w:val="24"/>
        </w:rPr>
        <w:t>Disinhibited Social Engagement (DSE</w:t>
      </w:r>
      <w:r>
        <w:rPr>
          <w:b/>
          <w:bCs/>
          <w:sz w:val="24"/>
          <w:szCs w:val="24"/>
        </w:rPr>
        <w:t>,</w:t>
      </w:r>
      <w:r w:rsidRPr="001C10EA">
        <w:rPr>
          <w:b/>
          <w:bCs/>
          <w:sz w:val="24"/>
          <w:szCs w:val="24"/>
        </w:rPr>
        <w:t xml:space="preserve"> formerly known as disinhibited attachment): </w:t>
      </w:r>
      <w:r w:rsidRPr="001C10EA">
        <w:rPr>
          <w:sz w:val="24"/>
          <w:szCs w:val="24"/>
        </w:rPr>
        <w:t xml:space="preserve">This was assessed during both the mid-adolescent and young adult follow ups using three questions to parents </w:t>
      </w:r>
      <w:r w:rsidR="00611F97">
        <w:rPr>
          <w:sz w:val="24"/>
          <w:szCs w:val="24"/>
        </w:rPr>
        <w:t xml:space="preserve">based on those </w:t>
      </w:r>
      <w:r w:rsidRPr="001C10EA">
        <w:rPr>
          <w:sz w:val="24"/>
          <w:szCs w:val="24"/>
        </w:rPr>
        <w:t>previously used during the ages 6 and 11 year follow ups</w:t>
      </w:r>
      <w:r>
        <w:rPr>
          <w:sz w:val="24"/>
          <w:szCs w:val="24"/>
        </w:rPr>
        <w:t>,</w:t>
      </w:r>
      <w:r w:rsidRPr="001C10EA">
        <w:rPr>
          <w:sz w:val="24"/>
          <w:szCs w:val="24"/>
        </w:rPr>
        <w:t xml:space="preserve"> </w:t>
      </w:r>
      <w:r>
        <w:rPr>
          <w:sz w:val="24"/>
          <w:szCs w:val="24"/>
        </w:rPr>
        <w:t xml:space="preserve">but adapted to be developmentally appropriate </w:t>
      </w:r>
      <w:r w:rsidRPr="001C10EA">
        <w:rPr>
          <w:sz w:val="24"/>
          <w:szCs w:val="24"/>
        </w:rPr>
        <w:t>(Kreppner et al., 2010; Kumsta et al., 2010</w:t>
      </w:r>
      <w:r>
        <w:rPr>
          <w:sz w:val="24"/>
          <w:szCs w:val="24"/>
        </w:rPr>
        <w:t>;</w:t>
      </w:r>
      <w:r w:rsidRPr="00366B1D">
        <w:rPr>
          <w:sz w:val="24"/>
          <w:szCs w:val="24"/>
        </w:rPr>
        <w:t xml:space="preserve"> </w:t>
      </w:r>
      <w:r w:rsidRPr="001C10EA">
        <w:rPr>
          <w:sz w:val="24"/>
          <w:szCs w:val="24"/>
        </w:rPr>
        <w:t>Rutter et al., 2007). The interview questions were;</w:t>
      </w:r>
      <w:r>
        <w:rPr>
          <w:sz w:val="24"/>
          <w:szCs w:val="24"/>
        </w:rPr>
        <w:t xml:space="preserve"> “Seems too </w:t>
      </w:r>
      <w:r w:rsidRPr="001C10EA">
        <w:rPr>
          <w:sz w:val="24"/>
          <w:szCs w:val="24"/>
        </w:rPr>
        <w:t>friendly with strangers or too eager to approach strangers?”; “Ma</w:t>
      </w:r>
      <w:r>
        <w:rPr>
          <w:sz w:val="24"/>
          <w:szCs w:val="24"/>
        </w:rPr>
        <w:t>kes</w:t>
      </w:r>
      <w:r w:rsidRPr="001C10EA">
        <w:rPr>
          <w:sz w:val="24"/>
          <w:szCs w:val="24"/>
        </w:rPr>
        <w:t xml:space="preserve"> very personal comments or asked intrusive questions of others</w:t>
      </w:r>
      <w:r>
        <w:rPr>
          <w:sz w:val="24"/>
          <w:szCs w:val="24"/>
        </w:rPr>
        <w:t xml:space="preserve"> they’ve just met?</w:t>
      </w:r>
      <w:proofErr w:type="gramStart"/>
      <w:r>
        <w:rPr>
          <w:sz w:val="24"/>
          <w:szCs w:val="24"/>
        </w:rPr>
        <w:t>”;</w:t>
      </w:r>
      <w:proofErr w:type="gramEnd"/>
      <w:r>
        <w:rPr>
          <w:sz w:val="24"/>
          <w:szCs w:val="24"/>
        </w:rPr>
        <w:t xml:space="preserve"> and “Seems</w:t>
      </w:r>
      <w:r w:rsidRPr="001C10EA">
        <w:rPr>
          <w:sz w:val="24"/>
          <w:szCs w:val="24"/>
        </w:rPr>
        <w:t xml:space="preserve"> </w:t>
      </w:r>
      <w:r>
        <w:rPr>
          <w:sz w:val="24"/>
          <w:szCs w:val="24"/>
        </w:rPr>
        <w:t>unaware of social boundaries</w:t>
      </w:r>
      <w:r w:rsidRPr="001C10EA">
        <w:rPr>
          <w:sz w:val="24"/>
          <w:szCs w:val="24"/>
        </w:rPr>
        <w:t xml:space="preserve">, or the closeness of interaction with whom they are not familiar?”. </w:t>
      </w:r>
      <w:proofErr w:type="gramStart"/>
      <w:r w:rsidRPr="001C10EA">
        <w:rPr>
          <w:sz w:val="24"/>
          <w:szCs w:val="24"/>
        </w:rPr>
        <w:t>In addition, as at the age 15 follow up, the researchers conducting the</w:t>
      </w:r>
      <w:r>
        <w:rPr>
          <w:sz w:val="24"/>
          <w:szCs w:val="24"/>
        </w:rPr>
        <w:t xml:space="preserve"> young adult </w:t>
      </w:r>
      <w:r w:rsidR="007261EB">
        <w:rPr>
          <w:sz w:val="24"/>
          <w:szCs w:val="24"/>
        </w:rPr>
        <w:t xml:space="preserve">assessment </w:t>
      </w:r>
      <w:r w:rsidRPr="001C10EA">
        <w:rPr>
          <w:sz w:val="24"/>
          <w:szCs w:val="24"/>
        </w:rPr>
        <w:t>rated participants</w:t>
      </w:r>
      <w:r w:rsidR="007261EB">
        <w:rPr>
          <w:sz w:val="24"/>
          <w:szCs w:val="24"/>
        </w:rPr>
        <w:t>’ behaviour during the interview</w:t>
      </w:r>
      <w:r w:rsidRPr="001C10EA">
        <w:rPr>
          <w:sz w:val="24"/>
          <w:szCs w:val="24"/>
        </w:rPr>
        <w:t xml:space="preserve"> </w:t>
      </w:r>
      <w:r w:rsidR="00611F97">
        <w:rPr>
          <w:sz w:val="24"/>
          <w:szCs w:val="24"/>
        </w:rPr>
        <w:t>against</w:t>
      </w:r>
      <w:r w:rsidRPr="001C10EA">
        <w:rPr>
          <w:sz w:val="24"/>
          <w:szCs w:val="24"/>
        </w:rPr>
        <w:t xml:space="preserve"> observational </w:t>
      </w:r>
      <w:r w:rsidR="00611F97">
        <w:rPr>
          <w:sz w:val="24"/>
          <w:szCs w:val="24"/>
        </w:rPr>
        <w:t>codes</w:t>
      </w:r>
      <w:r w:rsidRPr="00F92074">
        <w:rPr>
          <w:sz w:val="24"/>
          <w:szCs w:val="24"/>
        </w:rPr>
        <w:t xml:space="preserve">: </w:t>
      </w:r>
      <w:r w:rsidR="007261EB">
        <w:rPr>
          <w:sz w:val="24"/>
          <w:szCs w:val="24"/>
        </w:rPr>
        <w:t xml:space="preserve">In this case the codes were </w:t>
      </w:r>
      <w:r w:rsidRPr="00F92074">
        <w:rPr>
          <w:sz w:val="24"/>
          <w:szCs w:val="24"/>
        </w:rPr>
        <w:t>“</w:t>
      </w:r>
      <w:r>
        <w:rPr>
          <w:sz w:val="24"/>
          <w:szCs w:val="24"/>
        </w:rPr>
        <w:t>socially disinhibited</w:t>
      </w:r>
      <w:r w:rsidR="00FA46FE">
        <w:rPr>
          <w:sz w:val="24"/>
          <w:szCs w:val="24"/>
        </w:rPr>
        <w:t>”,</w:t>
      </w:r>
      <w:r w:rsidRPr="00F92074">
        <w:rPr>
          <w:sz w:val="24"/>
          <w:szCs w:val="24"/>
        </w:rPr>
        <w:t xml:space="preserve"> “</w:t>
      </w:r>
      <w:r>
        <w:rPr>
          <w:sz w:val="24"/>
          <w:szCs w:val="24"/>
        </w:rPr>
        <w:t xml:space="preserve">making socially intrusive </w:t>
      </w:r>
      <w:r w:rsidRPr="00F92074">
        <w:rPr>
          <w:sz w:val="24"/>
          <w:szCs w:val="24"/>
        </w:rPr>
        <w:t xml:space="preserve">spontaneous </w:t>
      </w:r>
      <w:r w:rsidRPr="003F7E9E">
        <w:rPr>
          <w:sz w:val="24"/>
          <w:szCs w:val="24"/>
        </w:rPr>
        <w:t>comments”</w:t>
      </w:r>
      <w:r w:rsidR="00FA46FE" w:rsidRPr="003F7E9E">
        <w:rPr>
          <w:sz w:val="24"/>
          <w:szCs w:val="24"/>
        </w:rPr>
        <w:t>, “</w:t>
      </w:r>
      <w:r w:rsidR="003F7E9E" w:rsidRPr="003F7E9E">
        <w:rPr>
          <w:sz w:val="24"/>
          <w:szCs w:val="24"/>
        </w:rPr>
        <w:t>unsolicited physical contact</w:t>
      </w:r>
      <w:r w:rsidR="00FA46FE" w:rsidRPr="003F7E9E">
        <w:rPr>
          <w:sz w:val="24"/>
          <w:szCs w:val="24"/>
        </w:rPr>
        <w:t>” and “</w:t>
      </w:r>
      <w:r w:rsidR="007261EB">
        <w:rPr>
          <w:sz w:val="24"/>
          <w:szCs w:val="24"/>
        </w:rPr>
        <w:t xml:space="preserve">committing </w:t>
      </w:r>
      <w:r w:rsidR="003F7E9E" w:rsidRPr="003F7E9E">
        <w:rPr>
          <w:sz w:val="24"/>
          <w:szCs w:val="24"/>
        </w:rPr>
        <w:t>physical violation of boundaries</w:t>
      </w:r>
      <w:r w:rsidR="007261EB">
        <w:rPr>
          <w:sz w:val="24"/>
          <w:szCs w:val="24"/>
        </w:rPr>
        <w:t xml:space="preserve">” as at age 15 </w:t>
      </w:r>
      <w:r w:rsidRPr="00F92074">
        <w:rPr>
          <w:sz w:val="24"/>
          <w:szCs w:val="24"/>
        </w:rPr>
        <w:t xml:space="preserve">DSE was </w:t>
      </w:r>
      <w:r w:rsidRPr="00F92074">
        <w:rPr>
          <w:sz w:val="24"/>
          <w:szCs w:val="24"/>
        </w:rPr>
        <w:lastRenderedPageBreak/>
        <w:t>deem</w:t>
      </w:r>
      <w:r w:rsidRPr="001C10EA">
        <w:rPr>
          <w:sz w:val="24"/>
          <w:szCs w:val="24"/>
        </w:rPr>
        <w:t>ed present when a positive response was made to at least one item</w:t>
      </w:r>
      <w:r w:rsidR="00FA46FE">
        <w:rPr>
          <w:sz w:val="24"/>
          <w:szCs w:val="24"/>
        </w:rPr>
        <w:t xml:space="preserve"> (Kreppner et al., 2010)</w:t>
      </w:r>
      <w:r w:rsidRPr="001C10EA">
        <w:rPr>
          <w:sz w:val="24"/>
          <w:szCs w:val="24"/>
        </w:rPr>
        <w:t>.</w:t>
      </w:r>
      <w:proofErr w:type="gramEnd"/>
      <w:r w:rsidRPr="0071463F">
        <w:rPr>
          <w:sz w:val="24"/>
          <w:szCs w:val="24"/>
        </w:rPr>
        <w:t xml:space="preserve"> </w:t>
      </w:r>
    </w:p>
    <w:p w14:paraId="23899962" w14:textId="08DE1CF2" w:rsidR="00BD25B0" w:rsidRPr="0071463F" w:rsidRDefault="00BD25B0" w:rsidP="00BB6E94">
      <w:pPr>
        <w:spacing w:line="480" w:lineRule="auto"/>
        <w:rPr>
          <w:sz w:val="24"/>
          <w:szCs w:val="24"/>
        </w:rPr>
      </w:pPr>
      <w:r w:rsidRPr="001C10EA">
        <w:rPr>
          <w:b/>
          <w:bCs/>
          <w:sz w:val="24"/>
          <w:szCs w:val="24"/>
        </w:rPr>
        <w:t xml:space="preserve">Cognitive Impairment (CI): </w:t>
      </w:r>
      <w:r>
        <w:rPr>
          <w:sz w:val="24"/>
          <w:szCs w:val="24"/>
        </w:rPr>
        <w:t>Shortened versions of t</w:t>
      </w:r>
      <w:r w:rsidRPr="001C10EA">
        <w:rPr>
          <w:sz w:val="24"/>
          <w:szCs w:val="24"/>
        </w:rPr>
        <w:t>he WISC</w:t>
      </w:r>
      <w:r>
        <w:rPr>
          <w:sz w:val="24"/>
          <w:szCs w:val="24"/>
        </w:rPr>
        <w:t>-III, UK version</w:t>
      </w:r>
      <w:r w:rsidRPr="001C10EA">
        <w:rPr>
          <w:sz w:val="24"/>
          <w:szCs w:val="24"/>
        </w:rPr>
        <w:t xml:space="preserve"> (Wechsler, 1974) and WASI (</w:t>
      </w:r>
      <w:r>
        <w:rPr>
          <w:sz w:val="24"/>
          <w:szCs w:val="24"/>
        </w:rPr>
        <w:t xml:space="preserve">two-subscale version, </w:t>
      </w:r>
      <w:r w:rsidRPr="001C10EA">
        <w:rPr>
          <w:sz w:val="24"/>
          <w:szCs w:val="24"/>
        </w:rPr>
        <w:t xml:space="preserve">Wechsler, 1999) </w:t>
      </w:r>
      <w:r>
        <w:rPr>
          <w:sz w:val="24"/>
          <w:szCs w:val="24"/>
        </w:rPr>
        <w:t>were</w:t>
      </w:r>
      <w:r w:rsidRPr="001C10EA">
        <w:rPr>
          <w:sz w:val="24"/>
          <w:szCs w:val="24"/>
        </w:rPr>
        <w:t xml:space="preserve"> administered in adolescence and early adulthood respectively. As in previous ERA follow-up waves CI was deemed present if an individual had a</w:t>
      </w:r>
      <w:r>
        <w:rPr>
          <w:sz w:val="24"/>
          <w:szCs w:val="24"/>
        </w:rPr>
        <w:t xml:space="preserve"> measured</w:t>
      </w:r>
      <w:r w:rsidRPr="001C10EA">
        <w:rPr>
          <w:sz w:val="24"/>
          <w:szCs w:val="24"/>
        </w:rPr>
        <w:t xml:space="preserve"> IQ of less than 80.</w:t>
      </w:r>
      <w:r w:rsidRPr="0071463F">
        <w:rPr>
          <w:sz w:val="24"/>
          <w:szCs w:val="24"/>
        </w:rPr>
        <w:t xml:space="preserve"> </w:t>
      </w:r>
    </w:p>
    <w:p w14:paraId="70CE179F" w14:textId="5FCBA4B8" w:rsidR="00BD25B0" w:rsidRPr="0071463F" w:rsidRDefault="00BD25B0" w:rsidP="007A2CFD">
      <w:pPr>
        <w:spacing w:line="480" w:lineRule="auto"/>
        <w:rPr>
          <w:sz w:val="24"/>
          <w:szCs w:val="24"/>
        </w:rPr>
      </w:pPr>
      <w:r w:rsidRPr="0071463F">
        <w:rPr>
          <w:b/>
          <w:bCs/>
          <w:sz w:val="24"/>
          <w:szCs w:val="24"/>
        </w:rPr>
        <w:t>Mood and conduct problems</w:t>
      </w:r>
      <w:r>
        <w:rPr>
          <w:b/>
          <w:bCs/>
          <w:sz w:val="24"/>
          <w:szCs w:val="24"/>
        </w:rPr>
        <w:t xml:space="preserve"> in young adulthood</w:t>
      </w:r>
      <w:r w:rsidRPr="0071463F">
        <w:rPr>
          <w:b/>
          <w:bCs/>
          <w:sz w:val="24"/>
          <w:szCs w:val="24"/>
        </w:rPr>
        <w:t xml:space="preserve">: </w:t>
      </w:r>
      <w:r w:rsidRPr="0071463F">
        <w:rPr>
          <w:sz w:val="24"/>
          <w:szCs w:val="24"/>
        </w:rPr>
        <w:t xml:space="preserve">Generalised anxiety, major depression and conduct disorder </w:t>
      </w:r>
      <w:r>
        <w:rPr>
          <w:sz w:val="24"/>
          <w:szCs w:val="24"/>
        </w:rPr>
        <w:t xml:space="preserve">(CD) </w:t>
      </w:r>
      <w:r w:rsidRPr="0071463F">
        <w:rPr>
          <w:sz w:val="24"/>
          <w:szCs w:val="24"/>
        </w:rPr>
        <w:t>w</w:t>
      </w:r>
      <w:r>
        <w:rPr>
          <w:sz w:val="24"/>
          <w:szCs w:val="24"/>
        </w:rPr>
        <w:t>ere</w:t>
      </w:r>
      <w:r w:rsidRPr="0071463F">
        <w:rPr>
          <w:sz w:val="24"/>
          <w:szCs w:val="24"/>
        </w:rPr>
        <w:t xml:space="preserve"> assessed using the self-rated CBRS in young adulthood using standard</w:t>
      </w:r>
      <w:r>
        <w:rPr>
          <w:sz w:val="24"/>
          <w:szCs w:val="24"/>
        </w:rPr>
        <w:t>ized</w:t>
      </w:r>
      <w:r w:rsidRPr="0071463F">
        <w:rPr>
          <w:sz w:val="24"/>
          <w:szCs w:val="24"/>
        </w:rPr>
        <w:t xml:space="preserve"> T-scores. </w:t>
      </w:r>
      <w:r w:rsidR="0060005F">
        <w:rPr>
          <w:sz w:val="24"/>
          <w:szCs w:val="24"/>
        </w:rPr>
        <w:t>In line with established guidelines, t</w:t>
      </w:r>
      <w:r w:rsidRPr="0071463F">
        <w:rPr>
          <w:sz w:val="24"/>
          <w:szCs w:val="24"/>
        </w:rPr>
        <w:t>he young person</w:t>
      </w:r>
      <w:r w:rsidR="0060005F">
        <w:rPr>
          <w:sz w:val="24"/>
          <w:szCs w:val="24"/>
        </w:rPr>
        <w:t>’s report</w:t>
      </w:r>
      <w:r w:rsidRPr="0071463F">
        <w:rPr>
          <w:sz w:val="24"/>
          <w:szCs w:val="24"/>
        </w:rPr>
        <w:t xml:space="preserve">, rather than the parent version was </w:t>
      </w:r>
      <w:r w:rsidR="0060005F">
        <w:rPr>
          <w:sz w:val="24"/>
          <w:szCs w:val="24"/>
        </w:rPr>
        <w:t>used (American Psychiatric Association, 2006).</w:t>
      </w:r>
      <w:r w:rsidRPr="0071463F">
        <w:rPr>
          <w:sz w:val="24"/>
          <w:szCs w:val="24"/>
        </w:rPr>
        <w:t xml:space="preserve"> </w:t>
      </w:r>
    </w:p>
    <w:p w14:paraId="2D6D127E" w14:textId="44393D7F" w:rsidR="00BD25B0" w:rsidRPr="0071463F" w:rsidRDefault="00BD25B0" w:rsidP="00FA46FE">
      <w:pPr>
        <w:spacing w:line="480" w:lineRule="auto"/>
        <w:rPr>
          <w:sz w:val="24"/>
          <w:szCs w:val="24"/>
        </w:rPr>
      </w:pPr>
      <w:r>
        <w:rPr>
          <w:b/>
          <w:bCs/>
          <w:sz w:val="24"/>
          <w:szCs w:val="24"/>
        </w:rPr>
        <w:t>Quality of Life (</w:t>
      </w:r>
      <w:proofErr w:type="spellStart"/>
      <w:r>
        <w:rPr>
          <w:b/>
          <w:bCs/>
          <w:sz w:val="24"/>
          <w:szCs w:val="24"/>
        </w:rPr>
        <w:t>QoL</w:t>
      </w:r>
      <w:proofErr w:type="spellEnd"/>
      <w:r>
        <w:rPr>
          <w:b/>
          <w:bCs/>
          <w:sz w:val="24"/>
          <w:szCs w:val="24"/>
        </w:rPr>
        <w:t>)</w:t>
      </w:r>
      <w:r w:rsidRPr="0071463F">
        <w:rPr>
          <w:b/>
          <w:bCs/>
          <w:sz w:val="24"/>
          <w:szCs w:val="24"/>
        </w:rPr>
        <w:t xml:space="preserve">: </w:t>
      </w:r>
      <w:r w:rsidRPr="0071463F">
        <w:rPr>
          <w:sz w:val="24"/>
          <w:szCs w:val="24"/>
        </w:rPr>
        <w:t xml:space="preserve">The Satisfaction with Life Scale </w:t>
      </w:r>
      <w:r>
        <w:rPr>
          <w:sz w:val="24"/>
          <w:szCs w:val="24"/>
        </w:rPr>
        <w:t>(</w:t>
      </w:r>
      <w:proofErr w:type="spellStart"/>
      <w:r>
        <w:rPr>
          <w:sz w:val="24"/>
          <w:szCs w:val="24"/>
        </w:rPr>
        <w:t>Diener</w:t>
      </w:r>
      <w:proofErr w:type="spellEnd"/>
      <w:r w:rsidRPr="0071463F">
        <w:rPr>
          <w:sz w:val="24"/>
          <w:szCs w:val="24"/>
        </w:rPr>
        <w:t>,</w:t>
      </w:r>
      <w:r>
        <w:rPr>
          <w:sz w:val="24"/>
          <w:szCs w:val="24"/>
        </w:rPr>
        <w:t xml:space="preserve"> Emmons, Larsen &amp; Griffin,</w:t>
      </w:r>
      <w:r w:rsidRPr="0071463F">
        <w:rPr>
          <w:sz w:val="24"/>
          <w:szCs w:val="24"/>
        </w:rPr>
        <w:t xml:space="preserve"> 1985) is a widely used</w:t>
      </w:r>
      <w:r>
        <w:rPr>
          <w:sz w:val="24"/>
          <w:szCs w:val="24"/>
        </w:rPr>
        <w:t>,</w:t>
      </w:r>
      <w:r w:rsidRPr="0071463F">
        <w:rPr>
          <w:sz w:val="24"/>
          <w:szCs w:val="24"/>
        </w:rPr>
        <w:t xml:space="preserve"> reliable and well validated </w:t>
      </w:r>
      <w:r>
        <w:rPr>
          <w:sz w:val="24"/>
          <w:szCs w:val="24"/>
        </w:rPr>
        <w:t>self-report measure of</w:t>
      </w:r>
      <w:r w:rsidRPr="0071463F">
        <w:rPr>
          <w:sz w:val="24"/>
          <w:szCs w:val="24"/>
        </w:rPr>
        <w:t xml:space="preserve"> </w:t>
      </w:r>
      <w:r>
        <w:rPr>
          <w:sz w:val="24"/>
          <w:szCs w:val="24"/>
        </w:rPr>
        <w:t xml:space="preserve">perceived </w:t>
      </w:r>
      <w:proofErr w:type="spellStart"/>
      <w:r>
        <w:rPr>
          <w:sz w:val="24"/>
          <w:szCs w:val="24"/>
        </w:rPr>
        <w:t>QoL</w:t>
      </w:r>
      <w:proofErr w:type="spellEnd"/>
      <w:r>
        <w:rPr>
          <w:sz w:val="24"/>
          <w:szCs w:val="24"/>
        </w:rPr>
        <w:t xml:space="preserve">. On a scale from 1- Strongly Disagree, to </w:t>
      </w:r>
      <w:proofErr w:type="gramStart"/>
      <w:r>
        <w:rPr>
          <w:sz w:val="24"/>
          <w:szCs w:val="24"/>
        </w:rPr>
        <w:t>5</w:t>
      </w:r>
      <w:proofErr w:type="gramEnd"/>
      <w:r>
        <w:rPr>
          <w:sz w:val="24"/>
          <w:szCs w:val="24"/>
        </w:rPr>
        <w:t xml:space="preserve"> – Strongly Agree, participants were asked </w:t>
      </w:r>
      <w:r w:rsidRPr="0071463F">
        <w:rPr>
          <w:sz w:val="24"/>
          <w:szCs w:val="24"/>
        </w:rPr>
        <w:t xml:space="preserve">whether </w:t>
      </w:r>
      <w:r>
        <w:rPr>
          <w:sz w:val="24"/>
          <w:szCs w:val="24"/>
        </w:rPr>
        <w:t>they</w:t>
      </w:r>
      <w:r w:rsidRPr="0071463F">
        <w:rPr>
          <w:sz w:val="24"/>
          <w:szCs w:val="24"/>
        </w:rPr>
        <w:t>;</w:t>
      </w:r>
      <w:r>
        <w:rPr>
          <w:sz w:val="24"/>
          <w:szCs w:val="24"/>
        </w:rPr>
        <w:t xml:space="preserve"> (i) see</w:t>
      </w:r>
      <w:r w:rsidRPr="0071463F">
        <w:rPr>
          <w:sz w:val="24"/>
          <w:szCs w:val="24"/>
        </w:rPr>
        <w:t xml:space="preserve"> thei</w:t>
      </w:r>
      <w:r>
        <w:rPr>
          <w:sz w:val="24"/>
          <w:szCs w:val="24"/>
        </w:rPr>
        <w:t>r current life as ideal; (ii) are</w:t>
      </w:r>
      <w:r w:rsidRPr="0071463F">
        <w:rPr>
          <w:sz w:val="24"/>
          <w:szCs w:val="24"/>
        </w:rPr>
        <w:t xml:space="preserve"> satisfied with life; (iii) would live life again in the same way; (iv) find</w:t>
      </w:r>
      <w:r>
        <w:rPr>
          <w:sz w:val="24"/>
          <w:szCs w:val="24"/>
        </w:rPr>
        <w:t xml:space="preserve"> life excellent and; (v) think</w:t>
      </w:r>
      <w:r w:rsidRPr="0071463F">
        <w:rPr>
          <w:sz w:val="24"/>
          <w:szCs w:val="24"/>
        </w:rPr>
        <w:t xml:space="preserve"> they have secured the important things in life. </w:t>
      </w:r>
      <w:proofErr w:type="spellStart"/>
      <w:r>
        <w:rPr>
          <w:sz w:val="24"/>
          <w:szCs w:val="24"/>
        </w:rPr>
        <w:t>QoL</w:t>
      </w:r>
      <w:proofErr w:type="spellEnd"/>
      <w:r w:rsidRPr="0071463F">
        <w:rPr>
          <w:sz w:val="24"/>
          <w:szCs w:val="24"/>
        </w:rPr>
        <w:t xml:space="preserve"> is measured by a single </w:t>
      </w:r>
      <w:r>
        <w:rPr>
          <w:sz w:val="24"/>
          <w:szCs w:val="24"/>
        </w:rPr>
        <w:t>sum</w:t>
      </w:r>
      <w:r w:rsidRPr="0071463F">
        <w:rPr>
          <w:sz w:val="24"/>
          <w:szCs w:val="24"/>
        </w:rPr>
        <w:t xml:space="preserve"> score, with higher scores indicating </w:t>
      </w:r>
      <w:r>
        <w:rPr>
          <w:sz w:val="24"/>
          <w:szCs w:val="24"/>
        </w:rPr>
        <w:t xml:space="preserve">better perceived </w:t>
      </w:r>
      <w:proofErr w:type="spellStart"/>
      <w:r>
        <w:rPr>
          <w:sz w:val="24"/>
          <w:szCs w:val="24"/>
        </w:rPr>
        <w:t>QoL</w:t>
      </w:r>
      <w:proofErr w:type="spellEnd"/>
      <w:r w:rsidRPr="0071463F">
        <w:rPr>
          <w:sz w:val="24"/>
          <w:szCs w:val="24"/>
        </w:rPr>
        <w:t xml:space="preserve">. </w:t>
      </w:r>
    </w:p>
    <w:p w14:paraId="4C6B3C9F" w14:textId="11953A70" w:rsidR="00BD25B0" w:rsidRDefault="00BD25B0" w:rsidP="004F4DD4">
      <w:pPr>
        <w:spacing w:line="480" w:lineRule="auto"/>
        <w:rPr>
          <w:sz w:val="24"/>
          <w:szCs w:val="24"/>
        </w:rPr>
      </w:pPr>
      <w:r w:rsidRPr="0071463F">
        <w:rPr>
          <w:b/>
          <w:bCs/>
          <w:sz w:val="24"/>
          <w:szCs w:val="24"/>
        </w:rPr>
        <w:t xml:space="preserve">Young adult </w:t>
      </w:r>
      <w:r>
        <w:rPr>
          <w:b/>
          <w:bCs/>
          <w:sz w:val="24"/>
          <w:szCs w:val="24"/>
        </w:rPr>
        <w:t xml:space="preserve">life </w:t>
      </w:r>
      <w:r w:rsidRPr="0071463F">
        <w:rPr>
          <w:b/>
          <w:bCs/>
          <w:sz w:val="24"/>
          <w:szCs w:val="24"/>
        </w:rPr>
        <w:t xml:space="preserve">circumstance: </w:t>
      </w:r>
      <w:r w:rsidRPr="0071463F">
        <w:rPr>
          <w:sz w:val="24"/>
          <w:szCs w:val="24"/>
        </w:rPr>
        <w:t xml:space="preserve">Key indicators of young adult life achievement and functioning were derived from young adult and parent reports. These were </w:t>
      </w:r>
      <w:r>
        <w:rPr>
          <w:sz w:val="24"/>
          <w:szCs w:val="24"/>
        </w:rPr>
        <w:t xml:space="preserve">(i) </w:t>
      </w:r>
      <w:r w:rsidRPr="0071463F">
        <w:rPr>
          <w:sz w:val="24"/>
          <w:szCs w:val="24"/>
        </w:rPr>
        <w:t>curren</w:t>
      </w:r>
      <w:r>
        <w:rPr>
          <w:sz w:val="24"/>
          <w:szCs w:val="24"/>
        </w:rPr>
        <w:t>tly being unemployed</w:t>
      </w:r>
      <w:r w:rsidRPr="0071463F">
        <w:rPr>
          <w:sz w:val="24"/>
          <w:szCs w:val="24"/>
        </w:rPr>
        <w:t xml:space="preserve">, </w:t>
      </w:r>
      <w:r>
        <w:rPr>
          <w:sz w:val="24"/>
          <w:szCs w:val="24"/>
        </w:rPr>
        <w:t xml:space="preserve">(ii) having </w:t>
      </w:r>
      <w:r w:rsidRPr="0071463F">
        <w:rPr>
          <w:sz w:val="24"/>
          <w:szCs w:val="24"/>
        </w:rPr>
        <w:t xml:space="preserve">lower educational achievement (i.e., GCSE’s or less), and </w:t>
      </w:r>
      <w:r>
        <w:rPr>
          <w:sz w:val="24"/>
          <w:szCs w:val="24"/>
        </w:rPr>
        <w:t>(iii) being</w:t>
      </w:r>
      <w:r w:rsidRPr="0071463F">
        <w:rPr>
          <w:sz w:val="24"/>
          <w:szCs w:val="24"/>
        </w:rPr>
        <w:t xml:space="preserve"> married/ cohabiting. These were coded in a binary form (</w:t>
      </w:r>
      <w:proofErr w:type="gramStart"/>
      <w:r w:rsidRPr="0071463F">
        <w:rPr>
          <w:sz w:val="24"/>
          <w:szCs w:val="24"/>
        </w:rPr>
        <w:t>0</w:t>
      </w:r>
      <w:proofErr w:type="gramEnd"/>
      <w:r w:rsidRPr="0071463F">
        <w:rPr>
          <w:sz w:val="24"/>
          <w:szCs w:val="24"/>
        </w:rPr>
        <w:t xml:space="preserve"> doesn’t apply, 1 applies). </w:t>
      </w:r>
    </w:p>
    <w:p w14:paraId="2C829386" w14:textId="28624AE1" w:rsidR="00866FE6" w:rsidRDefault="00866FE6" w:rsidP="004F4DD4">
      <w:pPr>
        <w:spacing w:line="480" w:lineRule="auto"/>
        <w:rPr>
          <w:b/>
          <w:bCs/>
          <w:sz w:val="24"/>
          <w:szCs w:val="24"/>
        </w:rPr>
      </w:pPr>
      <w:r w:rsidRPr="00866FE6">
        <w:rPr>
          <w:b/>
          <w:bCs/>
          <w:sz w:val="24"/>
          <w:szCs w:val="24"/>
        </w:rPr>
        <w:t>Procedure</w:t>
      </w:r>
    </w:p>
    <w:p w14:paraId="5DDF735A" w14:textId="18E9EDDD" w:rsidR="00866FE6" w:rsidRPr="00866FE6" w:rsidRDefault="00866FE6" w:rsidP="004F4DD4">
      <w:pPr>
        <w:spacing w:line="480" w:lineRule="auto"/>
        <w:rPr>
          <w:sz w:val="24"/>
          <w:szCs w:val="24"/>
        </w:rPr>
      </w:pPr>
      <w:r w:rsidRPr="00866FE6">
        <w:rPr>
          <w:sz w:val="24"/>
          <w:szCs w:val="24"/>
        </w:rPr>
        <w:lastRenderedPageBreak/>
        <w:t xml:space="preserve">Ethical approval </w:t>
      </w:r>
      <w:proofErr w:type="gramStart"/>
      <w:r w:rsidRPr="00866FE6">
        <w:rPr>
          <w:sz w:val="24"/>
          <w:szCs w:val="24"/>
        </w:rPr>
        <w:t>was received</w:t>
      </w:r>
      <w:proofErr w:type="gramEnd"/>
      <w:r w:rsidRPr="00866FE6">
        <w:rPr>
          <w:sz w:val="24"/>
          <w:szCs w:val="24"/>
        </w:rPr>
        <w:t xml:space="preserve"> from the University of Southampton Research Ethics Committee. Informed consent </w:t>
      </w:r>
      <w:proofErr w:type="gramStart"/>
      <w:r w:rsidRPr="00866FE6">
        <w:rPr>
          <w:sz w:val="24"/>
          <w:szCs w:val="24"/>
        </w:rPr>
        <w:t>was received</w:t>
      </w:r>
      <w:proofErr w:type="gramEnd"/>
      <w:r w:rsidRPr="00866FE6">
        <w:rPr>
          <w:sz w:val="24"/>
          <w:szCs w:val="24"/>
        </w:rPr>
        <w:t xml:space="preserve"> from all participants. Assessment was carried out during face-to-face interviews in </w:t>
      </w:r>
      <w:proofErr w:type="gramStart"/>
      <w:r w:rsidRPr="00866FE6">
        <w:rPr>
          <w:sz w:val="24"/>
          <w:szCs w:val="24"/>
        </w:rPr>
        <w:t>participants</w:t>
      </w:r>
      <w:proofErr w:type="gramEnd"/>
      <w:r w:rsidRPr="00866FE6">
        <w:rPr>
          <w:sz w:val="24"/>
          <w:szCs w:val="24"/>
        </w:rPr>
        <w:t xml:space="preserve"> homes</w:t>
      </w:r>
      <w:r>
        <w:rPr>
          <w:sz w:val="24"/>
          <w:szCs w:val="24"/>
        </w:rPr>
        <w:t xml:space="preserve">. Questionnaires </w:t>
      </w:r>
      <w:proofErr w:type="gramStart"/>
      <w:r>
        <w:rPr>
          <w:sz w:val="24"/>
          <w:szCs w:val="24"/>
        </w:rPr>
        <w:t>were completed on line or returned via the post</w:t>
      </w:r>
      <w:proofErr w:type="gramEnd"/>
      <w:r>
        <w:rPr>
          <w:sz w:val="24"/>
          <w:szCs w:val="24"/>
        </w:rPr>
        <w:t xml:space="preserve">. </w:t>
      </w:r>
    </w:p>
    <w:p w14:paraId="4901793A" w14:textId="77777777" w:rsidR="00BD25B0" w:rsidRPr="0071463F" w:rsidRDefault="00BD25B0" w:rsidP="00FB63A6">
      <w:pPr>
        <w:spacing w:line="480" w:lineRule="auto"/>
        <w:outlineLvl w:val="0"/>
        <w:rPr>
          <w:b/>
          <w:bCs/>
          <w:sz w:val="24"/>
          <w:szCs w:val="24"/>
        </w:rPr>
      </w:pPr>
      <w:r w:rsidRPr="0071463F">
        <w:rPr>
          <w:b/>
          <w:bCs/>
          <w:sz w:val="24"/>
          <w:szCs w:val="24"/>
        </w:rPr>
        <w:t>Results</w:t>
      </w:r>
    </w:p>
    <w:p w14:paraId="58947B43" w14:textId="7EDE9893" w:rsidR="00BD25B0" w:rsidRDefault="00BD25B0" w:rsidP="00CB3913">
      <w:pPr>
        <w:spacing w:line="480" w:lineRule="auto"/>
        <w:rPr>
          <w:rFonts w:cs="Arial"/>
          <w:sz w:val="24"/>
          <w:szCs w:val="24"/>
        </w:rPr>
      </w:pPr>
      <w:r w:rsidRPr="0071463F">
        <w:rPr>
          <w:sz w:val="24"/>
          <w:szCs w:val="24"/>
        </w:rPr>
        <w:t xml:space="preserve">Figure 1 </w:t>
      </w:r>
      <w:r>
        <w:rPr>
          <w:sz w:val="24"/>
          <w:szCs w:val="24"/>
        </w:rPr>
        <w:t>compares</w:t>
      </w:r>
      <w:r w:rsidRPr="0071463F">
        <w:rPr>
          <w:sz w:val="24"/>
          <w:szCs w:val="24"/>
        </w:rPr>
        <w:t xml:space="preserve"> the proportion of individuals meeting ADHD thresholds in adolescence and early adulthood </w:t>
      </w:r>
      <w:r>
        <w:rPr>
          <w:sz w:val="24"/>
          <w:szCs w:val="24"/>
        </w:rPr>
        <w:t>in the UK adoptee group and three groups of Romanian adoptees</w:t>
      </w:r>
      <w:r w:rsidR="004F4DD4">
        <w:rPr>
          <w:sz w:val="24"/>
          <w:szCs w:val="24"/>
        </w:rPr>
        <w:t xml:space="preserve"> using all available data</w:t>
      </w:r>
      <w:r>
        <w:rPr>
          <w:sz w:val="24"/>
          <w:szCs w:val="24"/>
        </w:rPr>
        <w:t xml:space="preserve">: </w:t>
      </w:r>
      <w:r w:rsidRPr="009750BF">
        <w:rPr>
          <w:color w:val="000000"/>
          <w:sz w:val="24"/>
          <w:szCs w:val="24"/>
        </w:rPr>
        <w:t>Those with less than 6 months institutional deprivation, those with between 6 and 24 months of institutional deprivation and those with over 24 months of deprivation.</w:t>
      </w:r>
      <w:r w:rsidRPr="009750BF">
        <w:rPr>
          <w:color w:val="FF0000"/>
          <w:sz w:val="24"/>
          <w:szCs w:val="24"/>
        </w:rPr>
        <w:t xml:space="preserve"> </w:t>
      </w:r>
      <w:r>
        <w:rPr>
          <w:sz w:val="24"/>
          <w:szCs w:val="24"/>
        </w:rPr>
        <w:t>The under 6 months deprivation group contained a number of individuals who experienced no institutional care as they were adopted straight from family homes (17 in adolescence and 11 in young adulthood). These individuals did not differ in terms of levels of ADHD from the other members of this group (</w:t>
      </w:r>
      <w:r w:rsidRPr="00E61933">
        <w:rPr>
          <w:sz w:val="24"/>
          <w:szCs w:val="24"/>
        </w:rPr>
        <w:t xml:space="preserve">p=.71 for inattention; p=.39 for hyperactive/ impulsive). </w:t>
      </w:r>
      <w:r w:rsidRPr="004D384D">
        <w:rPr>
          <w:sz w:val="24"/>
          <w:szCs w:val="24"/>
        </w:rPr>
        <w:t xml:space="preserve">Data on ADHD symptoms </w:t>
      </w:r>
      <w:r>
        <w:rPr>
          <w:sz w:val="24"/>
          <w:szCs w:val="24"/>
        </w:rPr>
        <w:t xml:space="preserve">were </w:t>
      </w:r>
      <w:r w:rsidRPr="004D384D">
        <w:rPr>
          <w:sz w:val="24"/>
          <w:szCs w:val="24"/>
        </w:rPr>
        <w:t>available for 193 in</w:t>
      </w:r>
      <w:r w:rsidR="00573307">
        <w:rPr>
          <w:sz w:val="24"/>
          <w:szCs w:val="24"/>
        </w:rPr>
        <w:t>dividuals in adolescence and 137</w:t>
      </w:r>
      <w:r w:rsidRPr="004D384D">
        <w:rPr>
          <w:sz w:val="24"/>
          <w:szCs w:val="24"/>
        </w:rPr>
        <w:t xml:space="preserve"> individuals in young adulthood. </w:t>
      </w:r>
    </w:p>
    <w:p w14:paraId="5349A755" w14:textId="3F699459" w:rsidR="00BD25B0" w:rsidRPr="0071463F" w:rsidRDefault="00BD25B0" w:rsidP="00CA283A">
      <w:pPr>
        <w:spacing w:line="480" w:lineRule="auto"/>
        <w:ind w:firstLine="720"/>
        <w:rPr>
          <w:sz w:val="24"/>
          <w:szCs w:val="24"/>
        </w:rPr>
      </w:pPr>
      <w:r w:rsidRPr="004D384D">
        <w:rPr>
          <w:sz w:val="24"/>
          <w:szCs w:val="24"/>
        </w:rPr>
        <w:t>At both ages there was a similarly small proportion of ADHD cases in the UK comparison group</w:t>
      </w:r>
      <w:r w:rsidRPr="0071463F">
        <w:rPr>
          <w:sz w:val="24"/>
          <w:szCs w:val="24"/>
        </w:rPr>
        <w:t xml:space="preserve"> and the group with less than 6 months</w:t>
      </w:r>
      <w:r>
        <w:rPr>
          <w:sz w:val="24"/>
          <w:szCs w:val="24"/>
        </w:rPr>
        <w:t>’</w:t>
      </w:r>
      <w:r w:rsidR="001B13E0">
        <w:rPr>
          <w:sz w:val="24"/>
          <w:szCs w:val="24"/>
        </w:rPr>
        <w:t xml:space="preserve"> deprivation</w:t>
      </w:r>
      <w:r w:rsidRPr="0071463F">
        <w:rPr>
          <w:sz w:val="24"/>
          <w:szCs w:val="24"/>
        </w:rPr>
        <w:t xml:space="preserve"> (adolescen</w:t>
      </w:r>
      <w:r>
        <w:rPr>
          <w:sz w:val="24"/>
          <w:szCs w:val="24"/>
        </w:rPr>
        <w:t>ce</w:t>
      </w:r>
      <w:r w:rsidR="001B13E0">
        <w:rPr>
          <w:sz w:val="24"/>
          <w:szCs w:val="24"/>
        </w:rPr>
        <w:t xml:space="preserve">: </w:t>
      </w:r>
      <w:r w:rsidR="00573307">
        <w:rPr>
          <w:sz w:val="24"/>
          <w:szCs w:val="24"/>
        </w:rPr>
        <w:t>4.3</w:t>
      </w:r>
      <w:r w:rsidR="00CA283A">
        <w:rPr>
          <w:sz w:val="24"/>
          <w:szCs w:val="24"/>
        </w:rPr>
        <w:t>%</w:t>
      </w:r>
      <w:r w:rsidR="00573307">
        <w:rPr>
          <w:sz w:val="24"/>
          <w:szCs w:val="24"/>
        </w:rPr>
        <w:t xml:space="preserve"> versus 6.6</w:t>
      </w:r>
      <w:r w:rsidR="00CA283A">
        <w:rPr>
          <w:sz w:val="24"/>
          <w:szCs w:val="24"/>
        </w:rPr>
        <w:t>%</w:t>
      </w:r>
      <w:r w:rsidR="00FF4EE2">
        <w:rPr>
          <w:sz w:val="24"/>
          <w:szCs w:val="24"/>
        </w:rPr>
        <w:t xml:space="preserve">- </w:t>
      </w:r>
      <w:r w:rsidRPr="000F53A1">
        <w:rPr>
          <w:rFonts w:ascii="Symbol" w:hAnsi="Symbol" w:cs="Symbol"/>
          <w:sz w:val="24"/>
          <w:szCs w:val="24"/>
        </w:rPr>
        <w:t></w:t>
      </w:r>
      <w:r w:rsidRPr="0071463F">
        <w:rPr>
          <w:sz w:val="24"/>
          <w:szCs w:val="24"/>
          <w:vertAlign w:val="superscript"/>
        </w:rPr>
        <w:t>2</w:t>
      </w:r>
      <w:r w:rsidRPr="0071463F">
        <w:rPr>
          <w:sz w:val="24"/>
          <w:szCs w:val="24"/>
        </w:rPr>
        <w:t>=0.27</w:t>
      </w:r>
      <w:r w:rsidR="00573307">
        <w:rPr>
          <w:sz w:val="24"/>
          <w:szCs w:val="24"/>
        </w:rPr>
        <w:t xml:space="preserve"> (</w:t>
      </w:r>
      <w:proofErr w:type="spellStart"/>
      <w:r w:rsidR="00573307">
        <w:rPr>
          <w:sz w:val="24"/>
          <w:szCs w:val="24"/>
        </w:rPr>
        <w:t>df</w:t>
      </w:r>
      <w:proofErr w:type="spellEnd"/>
      <w:r w:rsidR="00573307">
        <w:rPr>
          <w:sz w:val="24"/>
          <w:szCs w:val="24"/>
        </w:rPr>
        <w:t>=1)</w:t>
      </w:r>
      <w:r w:rsidRPr="0071463F">
        <w:rPr>
          <w:sz w:val="24"/>
          <w:szCs w:val="24"/>
        </w:rPr>
        <w:t>, p=0.61; early adult</w:t>
      </w:r>
      <w:r>
        <w:rPr>
          <w:sz w:val="24"/>
          <w:szCs w:val="24"/>
        </w:rPr>
        <w:t>hood</w:t>
      </w:r>
      <w:r w:rsidR="00573307">
        <w:rPr>
          <w:sz w:val="24"/>
          <w:szCs w:val="24"/>
        </w:rPr>
        <w:t>: 2.8</w:t>
      </w:r>
      <w:r w:rsidR="00CA283A">
        <w:rPr>
          <w:sz w:val="24"/>
          <w:szCs w:val="24"/>
        </w:rPr>
        <w:t xml:space="preserve">% </w:t>
      </w:r>
      <w:r w:rsidR="00573307">
        <w:rPr>
          <w:sz w:val="24"/>
          <w:szCs w:val="24"/>
        </w:rPr>
        <w:t>versus 4.7</w:t>
      </w:r>
      <w:r w:rsidR="00CA283A">
        <w:rPr>
          <w:sz w:val="24"/>
          <w:szCs w:val="24"/>
        </w:rPr>
        <w:t xml:space="preserve">% </w:t>
      </w:r>
      <w:r w:rsidR="00FF4EE2">
        <w:rPr>
          <w:sz w:val="24"/>
          <w:szCs w:val="24"/>
        </w:rPr>
        <w:t xml:space="preserve">- </w:t>
      </w:r>
      <w:r w:rsidRPr="000F53A1">
        <w:rPr>
          <w:rFonts w:ascii="Symbol" w:hAnsi="Symbol" w:cs="Symbol"/>
          <w:sz w:val="24"/>
          <w:szCs w:val="24"/>
        </w:rPr>
        <w:t></w:t>
      </w:r>
      <w:r w:rsidRPr="0071463F">
        <w:rPr>
          <w:sz w:val="24"/>
          <w:szCs w:val="24"/>
          <w:vertAlign w:val="superscript"/>
        </w:rPr>
        <w:t>2</w:t>
      </w:r>
      <w:r w:rsidRPr="0071463F">
        <w:rPr>
          <w:sz w:val="24"/>
          <w:szCs w:val="24"/>
        </w:rPr>
        <w:t>=0.19</w:t>
      </w:r>
      <w:r w:rsidR="00573307">
        <w:rPr>
          <w:sz w:val="24"/>
          <w:szCs w:val="24"/>
        </w:rPr>
        <w:t xml:space="preserve"> (</w:t>
      </w:r>
      <w:proofErr w:type="spellStart"/>
      <w:r w:rsidR="00573307">
        <w:rPr>
          <w:sz w:val="24"/>
          <w:szCs w:val="24"/>
        </w:rPr>
        <w:t>df</w:t>
      </w:r>
      <w:proofErr w:type="spellEnd"/>
      <w:r w:rsidR="00573307">
        <w:rPr>
          <w:sz w:val="24"/>
          <w:szCs w:val="24"/>
        </w:rPr>
        <w:t>=1), p=0.66</w:t>
      </w:r>
      <w:r w:rsidRPr="0071463F">
        <w:rPr>
          <w:sz w:val="24"/>
          <w:szCs w:val="24"/>
        </w:rPr>
        <w:t>)</w:t>
      </w:r>
      <w:r>
        <w:rPr>
          <w:sz w:val="24"/>
          <w:szCs w:val="24"/>
        </w:rPr>
        <w:t>,</w:t>
      </w:r>
      <w:r w:rsidRPr="0071463F">
        <w:rPr>
          <w:sz w:val="24"/>
          <w:szCs w:val="24"/>
        </w:rPr>
        <w:t xml:space="preserve"> with </w:t>
      </w:r>
      <w:r>
        <w:rPr>
          <w:sz w:val="24"/>
          <w:szCs w:val="24"/>
        </w:rPr>
        <w:t>proportions</w:t>
      </w:r>
      <w:r w:rsidRPr="0071463F">
        <w:rPr>
          <w:sz w:val="24"/>
          <w:szCs w:val="24"/>
        </w:rPr>
        <w:t xml:space="preserve"> in all cases being </w:t>
      </w:r>
      <w:r>
        <w:rPr>
          <w:sz w:val="24"/>
          <w:szCs w:val="24"/>
        </w:rPr>
        <w:t xml:space="preserve">in line with population-based </w:t>
      </w:r>
      <w:r w:rsidRPr="0071463F">
        <w:rPr>
          <w:sz w:val="24"/>
          <w:szCs w:val="24"/>
        </w:rPr>
        <w:t xml:space="preserve">prevalence </w:t>
      </w:r>
      <w:r>
        <w:rPr>
          <w:sz w:val="24"/>
          <w:szCs w:val="24"/>
        </w:rPr>
        <w:t xml:space="preserve">estimates </w:t>
      </w:r>
      <w:r w:rsidRPr="0071463F">
        <w:rPr>
          <w:sz w:val="24"/>
          <w:szCs w:val="24"/>
        </w:rPr>
        <w:t>(i.e., around 5</w:t>
      </w:r>
      <w:r w:rsidR="00CA283A">
        <w:rPr>
          <w:sz w:val="24"/>
          <w:szCs w:val="24"/>
        </w:rPr>
        <w:t>%</w:t>
      </w:r>
      <w:r w:rsidRPr="0071463F">
        <w:rPr>
          <w:sz w:val="24"/>
          <w:szCs w:val="24"/>
        </w:rPr>
        <w:t xml:space="preserve">). There was no difference in the ADHD rates for the Romanian adoptees </w:t>
      </w:r>
      <w:r>
        <w:rPr>
          <w:sz w:val="24"/>
          <w:szCs w:val="24"/>
        </w:rPr>
        <w:t>experiencing</w:t>
      </w:r>
      <w:r w:rsidRPr="0071463F">
        <w:rPr>
          <w:sz w:val="24"/>
          <w:szCs w:val="24"/>
        </w:rPr>
        <w:t xml:space="preserve"> 6-24 month and </w:t>
      </w:r>
      <w:r>
        <w:rPr>
          <w:sz w:val="24"/>
          <w:szCs w:val="24"/>
        </w:rPr>
        <w:t xml:space="preserve">over </w:t>
      </w:r>
      <w:r w:rsidRPr="0071463F">
        <w:rPr>
          <w:sz w:val="24"/>
          <w:szCs w:val="24"/>
        </w:rPr>
        <w:t xml:space="preserve">24 months </w:t>
      </w:r>
      <w:r>
        <w:rPr>
          <w:sz w:val="24"/>
          <w:szCs w:val="24"/>
        </w:rPr>
        <w:t>institutional deprivation</w:t>
      </w:r>
      <w:r w:rsidRPr="0071463F">
        <w:rPr>
          <w:sz w:val="24"/>
          <w:szCs w:val="24"/>
        </w:rPr>
        <w:t xml:space="preserve"> (adolescen</w:t>
      </w:r>
      <w:r>
        <w:rPr>
          <w:sz w:val="24"/>
          <w:szCs w:val="24"/>
        </w:rPr>
        <w:t>ce</w:t>
      </w:r>
      <w:r w:rsidR="00573307">
        <w:rPr>
          <w:sz w:val="24"/>
          <w:szCs w:val="24"/>
        </w:rPr>
        <w:t>: 21.4</w:t>
      </w:r>
      <w:r w:rsidR="00CA283A">
        <w:rPr>
          <w:sz w:val="24"/>
          <w:szCs w:val="24"/>
        </w:rPr>
        <w:t>%</w:t>
      </w:r>
      <w:r w:rsidR="00FF4EE2">
        <w:rPr>
          <w:sz w:val="24"/>
          <w:szCs w:val="24"/>
        </w:rPr>
        <w:t xml:space="preserve"> versus</w:t>
      </w:r>
      <w:r w:rsidR="00573307">
        <w:rPr>
          <w:sz w:val="24"/>
          <w:szCs w:val="24"/>
        </w:rPr>
        <w:t xml:space="preserve"> 16.7</w:t>
      </w:r>
      <w:r w:rsidR="00CA283A">
        <w:rPr>
          <w:sz w:val="24"/>
          <w:szCs w:val="24"/>
        </w:rPr>
        <w:t>%</w:t>
      </w:r>
      <w:r w:rsidR="00FF4EE2">
        <w:rPr>
          <w:sz w:val="24"/>
          <w:szCs w:val="24"/>
        </w:rPr>
        <w:t xml:space="preserve">- </w:t>
      </w:r>
      <w:r w:rsidRPr="000F53A1">
        <w:rPr>
          <w:rFonts w:ascii="Symbol" w:hAnsi="Symbol" w:cs="Symbol"/>
          <w:sz w:val="24"/>
          <w:szCs w:val="24"/>
        </w:rPr>
        <w:t></w:t>
      </w:r>
      <w:r w:rsidRPr="0071463F">
        <w:rPr>
          <w:sz w:val="24"/>
          <w:szCs w:val="24"/>
          <w:vertAlign w:val="superscript"/>
        </w:rPr>
        <w:t>2</w:t>
      </w:r>
      <w:r w:rsidR="00573307">
        <w:rPr>
          <w:sz w:val="24"/>
          <w:szCs w:val="24"/>
        </w:rPr>
        <w:t>=0.31</w:t>
      </w:r>
      <w:r w:rsidR="00D358AD">
        <w:rPr>
          <w:sz w:val="24"/>
          <w:szCs w:val="24"/>
        </w:rPr>
        <w:t xml:space="preserve"> (</w:t>
      </w:r>
      <w:proofErr w:type="spellStart"/>
      <w:r w:rsidR="00D358AD">
        <w:rPr>
          <w:sz w:val="24"/>
          <w:szCs w:val="24"/>
        </w:rPr>
        <w:t>df</w:t>
      </w:r>
      <w:proofErr w:type="spellEnd"/>
      <w:r w:rsidR="00D358AD">
        <w:rPr>
          <w:sz w:val="24"/>
          <w:szCs w:val="24"/>
        </w:rPr>
        <w:t>=1)</w:t>
      </w:r>
      <w:r w:rsidR="00573307">
        <w:rPr>
          <w:sz w:val="24"/>
          <w:szCs w:val="24"/>
        </w:rPr>
        <w:t>, p=0.58</w:t>
      </w:r>
      <w:r w:rsidRPr="0071463F">
        <w:rPr>
          <w:sz w:val="24"/>
          <w:szCs w:val="24"/>
        </w:rPr>
        <w:t>; young adult</w:t>
      </w:r>
      <w:r>
        <w:rPr>
          <w:sz w:val="24"/>
          <w:szCs w:val="24"/>
        </w:rPr>
        <w:t>hood</w:t>
      </w:r>
      <w:r w:rsidRPr="0071463F">
        <w:rPr>
          <w:sz w:val="24"/>
          <w:szCs w:val="24"/>
        </w:rPr>
        <w:t xml:space="preserve"> </w:t>
      </w:r>
      <w:r w:rsidR="00573307">
        <w:rPr>
          <w:sz w:val="24"/>
          <w:szCs w:val="24"/>
        </w:rPr>
        <w:t>34</w:t>
      </w:r>
      <w:r w:rsidR="00FF4EE2">
        <w:rPr>
          <w:sz w:val="24"/>
          <w:szCs w:val="24"/>
        </w:rPr>
        <w:t>.</w:t>
      </w:r>
      <w:r w:rsidR="00573307">
        <w:rPr>
          <w:sz w:val="24"/>
          <w:szCs w:val="24"/>
        </w:rPr>
        <w:t>4</w:t>
      </w:r>
      <w:r w:rsidR="00CA283A">
        <w:rPr>
          <w:sz w:val="24"/>
          <w:szCs w:val="24"/>
        </w:rPr>
        <w:t xml:space="preserve">% </w:t>
      </w:r>
      <w:r w:rsidR="00573307">
        <w:rPr>
          <w:sz w:val="24"/>
          <w:szCs w:val="24"/>
        </w:rPr>
        <w:t>versus 23</w:t>
      </w:r>
      <w:r w:rsidR="00FF4EE2">
        <w:rPr>
          <w:sz w:val="24"/>
          <w:szCs w:val="24"/>
        </w:rPr>
        <w:t>.</w:t>
      </w:r>
      <w:r w:rsidR="00573307">
        <w:rPr>
          <w:sz w:val="24"/>
          <w:szCs w:val="24"/>
        </w:rPr>
        <w:t>1</w:t>
      </w:r>
      <w:r w:rsidR="00CA283A">
        <w:rPr>
          <w:sz w:val="24"/>
          <w:szCs w:val="24"/>
        </w:rPr>
        <w:t xml:space="preserve">% </w:t>
      </w:r>
      <w:r w:rsidR="00FF4EE2">
        <w:rPr>
          <w:sz w:val="24"/>
          <w:szCs w:val="24"/>
        </w:rPr>
        <w:t>–</w:t>
      </w:r>
      <w:r w:rsidRPr="000F53A1">
        <w:rPr>
          <w:rFonts w:ascii="Symbol" w:hAnsi="Symbol" w:cs="Symbol"/>
          <w:sz w:val="24"/>
          <w:szCs w:val="24"/>
        </w:rPr>
        <w:t></w:t>
      </w:r>
      <w:r w:rsidRPr="0071463F">
        <w:rPr>
          <w:sz w:val="24"/>
          <w:szCs w:val="24"/>
          <w:vertAlign w:val="superscript"/>
        </w:rPr>
        <w:t>2</w:t>
      </w:r>
      <w:r w:rsidRPr="0071463F">
        <w:rPr>
          <w:sz w:val="24"/>
          <w:szCs w:val="24"/>
        </w:rPr>
        <w:t>=0.88</w:t>
      </w:r>
      <w:r w:rsidR="00D358AD">
        <w:rPr>
          <w:sz w:val="24"/>
          <w:szCs w:val="24"/>
        </w:rPr>
        <w:t xml:space="preserve"> (</w:t>
      </w:r>
      <w:proofErr w:type="spellStart"/>
      <w:r w:rsidR="00D358AD">
        <w:rPr>
          <w:sz w:val="24"/>
          <w:szCs w:val="24"/>
        </w:rPr>
        <w:t>df</w:t>
      </w:r>
      <w:proofErr w:type="spellEnd"/>
      <w:r w:rsidR="00D358AD">
        <w:rPr>
          <w:sz w:val="24"/>
          <w:szCs w:val="24"/>
        </w:rPr>
        <w:t>=1)</w:t>
      </w:r>
      <w:r w:rsidRPr="0071463F">
        <w:rPr>
          <w:sz w:val="24"/>
          <w:szCs w:val="24"/>
        </w:rPr>
        <w:t xml:space="preserve">, p=0.35). There was however a highly significant difference between </w:t>
      </w:r>
      <w:r w:rsidRPr="0071463F">
        <w:rPr>
          <w:sz w:val="24"/>
          <w:szCs w:val="24"/>
        </w:rPr>
        <w:lastRenderedPageBreak/>
        <w:t xml:space="preserve">the combined group of UK and Romanian adoptees with less than 6 months institutional care (termed the </w:t>
      </w:r>
      <w:r w:rsidRPr="0071463F">
        <w:rPr>
          <w:i/>
          <w:iCs/>
          <w:sz w:val="24"/>
          <w:szCs w:val="24"/>
        </w:rPr>
        <w:t>low-risk</w:t>
      </w:r>
      <w:r w:rsidRPr="0071463F">
        <w:rPr>
          <w:sz w:val="24"/>
          <w:szCs w:val="24"/>
        </w:rPr>
        <w:t xml:space="preserve"> group</w:t>
      </w:r>
      <w:r>
        <w:rPr>
          <w:sz w:val="24"/>
          <w:szCs w:val="24"/>
        </w:rPr>
        <w:t xml:space="preserve"> hereafter</w:t>
      </w:r>
      <w:r w:rsidRPr="0071463F">
        <w:rPr>
          <w:sz w:val="24"/>
          <w:szCs w:val="24"/>
        </w:rPr>
        <w:t xml:space="preserve">) and the combined group of those with more </w:t>
      </w:r>
      <w:r>
        <w:rPr>
          <w:sz w:val="24"/>
          <w:szCs w:val="24"/>
        </w:rPr>
        <w:t xml:space="preserve">than </w:t>
      </w:r>
      <w:r w:rsidRPr="0071463F">
        <w:rPr>
          <w:sz w:val="24"/>
          <w:szCs w:val="24"/>
        </w:rPr>
        <w:t xml:space="preserve">six months in the institutions (termed the </w:t>
      </w:r>
      <w:r w:rsidRPr="0071463F">
        <w:rPr>
          <w:i/>
          <w:iCs/>
          <w:sz w:val="24"/>
          <w:szCs w:val="24"/>
        </w:rPr>
        <w:t>high-risk</w:t>
      </w:r>
      <w:r w:rsidRPr="0071463F">
        <w:rPr>
          <w:sz w:val="24"/>
          <w:szCs w:val="24"/>
        </w:rPr>
        <w:t xml:space="preserve"> group</w:t>
      </w:r>
      <w:r>
        <w:rPr>
          <w:sz w:val="24"/>
          <w:szCs w:val="24"/>
        </w:rPr>
        <w:t xml:space="preserve"> henceforth</w:t>
      </w:r>
      <w:r w:rsidRPr="0071463F">
        <w:rPr>
          <w:sz w:val="24"/>
          <w:szCs w:val="24"/>
        </w:rPr>
        <w:t>) (adolescen</w:t>
      </w:r>
      <w:r>
        <w:rPr>
          <w:sz w:val="24"/>
          <w:szCs w:val="24"/>
        </w:rPr>
        <w:t>ce</w:t>
      </w:r>
      <w:r w:rsidRPr="0071463F">
        <w:rPr>
          <w:sz w:val="24"/>
          <w:szCs w:val="24"/>
        </w:rPr>
        <w:t xml:space="preserve"> </w:t>
      </w:r>
      <w:r w:rsidRPr="000F53A1">
        <w:rPr>
          <w:rFonts w:ascii="Symbol" w:hAnsi="Symbol" w:cs="Symbol"/>
          <w:sz w:val="24"/>
          <w:szCs w:val="24"/>
        </w:rPr>
        <w:t></w:t>
      </w:r>
      <w:r w:rsidRPr="0071463F">
        <w:rPr>
          <w:sz w:val="24"/>
          <w:szCs w:val="24"/>
          <w:vertAlign w:val="superscript"/>
        </w:rPr>
        <w:t>2</w:t>
      </w:r>
      <w:r w:rsidRPr="0071463F">
        <w:rPr>
          <w:sz w:val="24"/>
          <w:szCs w:val="24"/>
        </w:rPr>
        <w:t>=8.48</w:t>
      </w:r>
      <w:r w:rsidR="00D358AD">
        <w:rPr>
          <w:sz w:val="24"/>
          <w:szCs w:val="24"/>
        </w:rPr>
        <w:t xml:space="preserve"> (</w:t>
      </w:r>
      <w:proofErr w:type="spellStart"/>
      <w:r w:rsidR="00D358AD">
        <w:rPr>
          <w:sz w:val="24"/>
          <w:szCs w:val="24"/>
        </w:rPr>
        <w:t>df</w:t>
      </w:r>
      <w:proofErr w:type="spellEnd"/>
      <w:r w:rsidR="00D358AD">
        <w:rPr>
          <w:sz w:val="24"/>
          <w:szCs w:val="24"/>
        </w:rPr>
        <w:t>=1)</w:t>
      </w:r>
      <w:r w:rsidRPr="0071463F">
        <w:rPr>
          <w:sz w:val="24"/>
          <w:szCs w:val="24"/>
        </w:rPr>
        <w:t>, p&lt;.005; young adult</w:t>
      </w:r>
      <w:r>
        <w:rPr>
          <w:sz w:val="24"/>
          <w:szCs w:val="24"/>
        </w:rPr>
        <w:t>hood</w:t>
      </w:r>
      <w:r w:rsidRPr="0071463F">
        <w:rPr>
          <w:sz w:val="24"/>
          <w:szCs w:val="24"/>
        </w:rPr>
        <w:t xml:space="preserve"> </w:t>
      </w:r>
      <w:r w:rsidRPr="000F53A1">
        <w:rPr>
          <w:rFonts w:ascii="Symbol" w:hAnsi="Symbol" w:cs="Symbol"/>
          <w:sz w:val="24"/>
          <w:szCs w:val="24"/>
        </w:rPr>
        <w:t></w:t>
      </w:r>
      <w:r w:rsidRPr="0071463F">
        <w:rPr>
          <w:sz w:val="24"/>
          <w:szCs w:val="24"/>
          <w:vertAlign w:val="superscript"/>
        </w:rPr>
        <w:t>2</w:t>
      </w:r>
      <w:r w:rsidRPr="0071463F">
        <w:rPr>
          <w:sz w:val="24"/>
          <w:szCs w:val="24"/>
        </w:rPr>
        <w:t>=17.46</w:t>
      </w:r>
      <w:r w:rsidR="00D358AD">
        <w:rPr>
          <w:sz w:val="24"/>
          <w:szCs w:val="24"/>
        </w:rPr>
        <w:t xml:space="preserve"> (</w:t>
      </w:r>
      <w:proofErr w:type="spellStart"/>
      <w:r w:rsidR="00D358AD">
        <w:rPr>
          <w:sz w:val="24"/>
          <w:szCs w:val="24"/>
        </w:rPr>
        <w:t>df</w:t>
      </w:r>
      <w:proofErr w:type="spellEnd"/>
      <w:r w:rsidR="00D358AD">
        <w:rPr>
          <w:sz w:val="24"/>
          <w:szCs w:val="24"/>
        </w:rPr>
        <w:t>=1)</w:t>
      </w:r>
      <w:r w:rsidRPr="0071463F">
        <w:rPr>
          <w:sz w:val="24"/>
          <w:szCs w:val="24"/>
        </w:rPr>
        <w:t xml:space="preserve">, p&lt;.001). This confirmed the </w:t>
      </w:r>
      <w:r w:rsidR="001B13E0">
        <w:rPr>
          <w:sz w:val="24"/>
          <w:szCs w:val="24"/>
        </w:rPr>
        <w:t>existence of the step-wise increase in risk associated with extended deprivation seen during previous follow-ups</w:t>
      </w:r>
      <w:r w:rsidRPr="0071463F">
        <w:rPr>
          <w:sz w:val="24"/>
          <w:szCs w:val="24"/>
        </w:rPr>
        <w:t xml:space="preserve">. In order to maximize statistical power all subsequent analyses compared </w:t>
      </w:r>
      <w:r>
        <w:rPr>
          <w:sz w:val="24"/>
          <w:szCs w:val="24"/>
        </w:rPr>
        <w:t xml:space="preserve">these </w:t>
      </w:r>
      <w:r w:rsidRPr="0071463F">
        <w:rPr>
          <w:sz w:val="24"/>
          <w:szCs w:val="24"/>
        </w:rPr>
        <w:t>low</w:t>
      </w:r>
      <w:r>
        <w:rPr>
          <w:sz w:val="24"/>
          <w:szCs w:val="24"/>
        </w:rPr>
        <w:t>-</w:t>
      </w:r>
      <w:r w:rsidRPr="0071463F">
        <w:rPr>
          <w:sz w:val="24"/>
          <w:szCs w:val="24"/>
        </w:rPr>
        <w:t xml:space="preserve"> and high-risk groups. </w:t>
      </w:r>
    </w:p>
    <w:p w14:paraId="4BA55A98" w14:textId="2EF05878" w:rsidR="00BD25B0" w:rsidRPr="0071463F" w:rsidRDefault="00BD25B0" w:rsidP="00E61933">
      <w:pPr>
        <w:spacing w:line="480" w:lineRule="auto"/>
        <w:ind w:firstLine="720"/>
        <w:rPr>
          <w:sz w:val="24"/>
          <w:szCs w:val="24"/>
        </w:rPr>
      </w:pPr>
      <w:r w:rsidRPr="0071463F">
        <w:rPr>
          <w:sz w:val="24"/>
          <w:szCs w:val="24"/>
        </w:rPr>
        <w:t xml:space="preserve">Table 1 compares low- and high-risk groups in terms of the proportion of individuals with different ADHD presentations at the </w:t>
      </w:r>
      <w:r>
        <w:rPr>
          <w:sz w:val="24"/>
          <w:szCs w:val="24"/>
        </w:rPr>
        <w:t>adolescent and young adult follow-ups</w:t>
      </w:r>
      <w:r w:rsidRPr="0071463F">
        <w:rPr>
          <w:sz w:val="24"/>
          <w:szCs w:val="24"/>
        </w:rPr>
        <w:t xml:space="preserve">. </w:t>
      </w:r>
      <w:r>
        <w:rPr>
          <w:sz w:val="24"/>
          <w:szCs w:val="24"/>
        </w:rPr>
        <w:t>The effects of deprivation on</w:t>
      </w:r>
      <w:r w:rsidRPr="0071463F">
        <w:rPr>
          <w:sz w:val="24"/>
          <w:szCs w:val="24"/>
        </w:rPr>
        <w:t xml:space="preserve"> </w:t>
      </w:r>
      <w:r w:rsidRPr="004D384D">
        <w:rPr>
          <w:sz w:val="24"/>
          <w:szCs w:val="24"/>
        </w:rPr>
        <w:t>ADHD appeared markedly stronger in early adulthood than adolescence</w:t>
      </w:r>
      <w:r>
        <w:rPr>
          <w:sz w:val="24"/>
          <w:szCs w:val="24"/>
        </w:rPr>
        <w:t>,</w:t>
      </w:r>
      <w:r w:rsidRPr="004D384D">
        <w:rPr>
          <w:sz w:val="24"/>
          <w:szCs w:val="24"/>
        </w:rPr>
        <w:t xml:space="preserve"> with a risk ratio of 1:3.9 for the former and 1:7.7 for the latter. In order to test whether this increase in risk over development was statistically significant we ran a generalized estimating equations</w:t>
      </w:r>
      <w:r w:rsidRPr="0071463F">
        <w:rPr>
          <w:sz w:val="24"/>
          <w:szCs w:val="24"/>
        </w:rPr>
        <w:t xml:space="preserve"> model to test for effects of group (high versus low risk) as a between</w:t>
      </w:r>
      <w:r>
        <w:rPr>
          <w:sz w:val="24"/>
          <w:szCs w:val="24"/>
        </w:rPr>
        <w:t>-</w:t>
      </w:r>
      <w:r w:rsidRPr="0071463F">
        <w:rPr>
          <w:sz w:val="24"/>
          <w:szCs w:val="24"/>
        </w:rPr>
        <w:t xml:space="preserve">subject variable and assessment age (adolescent versus early adult) as a repeated measure. </w:t>
      </w:r>
      <w:proofErr w:type="spellStart"/>
      <w:r w:rsidRPr="0071463F">
        <w:rPr>
          <w:sz w:val="24"/>
          <w:szCs w:val="24"/>
        </w:rPr>
        <w:t>Sidak</w:t>
      </w:r>
      <w:proofErr w:type="spellEnd"/>
      <w:r>
        <w:rPr>
          <w:sz w:val="24"/>
          <w:szCs w:val="24"/>
        </w:rPr>
        <w:t>-</w:t>
      </w:r>
      <w:r w:rsidRPr="0071463F">
        <w:rPr>
          <w:sz w:val="24"/>
          <w:szCs w:val="24"/>
        </w:rPr>
        <w:t>corrected pairwise comparisons of ADHD frequency between groups and assessment age were tested based on estimated marginal means. As shown above</w:t>
      </w:r>
      <w:r>
        <w:rPr>
          <w:sz w:val="24"/>
          <w:szCs w:val="24"/>
        </w:rPr>
        <w:t>,</w:t>
      </w:r>
      <w:r w:rsidRPr="0071463F">
        <w:rPr>
          <w:sz w:val="24"/>
          <w:szCs w:val="24"/>
        </w:rPr>
        <w:t xml:space="preserve"> ADHD </w:t>
      </w:r>
      <w:r>
        <w:rPr>
          <w:sz w:val="24"/>
          <w:szCs w:val="24"/>
        </w:rPr>
        <w:t>was</w:t>
      </w:r>
      <w:r w:rsidRPr="0071463F">
        <w:rPr>
          <w:sz w:val="24"/>
          <w:szCs w:val="24"/>
        </w:rPr>
        <w:t xml:space="preserve"> significantly </w:t>
      </w:r>
      <w:r>
        <w:rPr>
          <w:sz w:val="24"/>
          <w:szCs w:val="24"/>
        </w:rPr>
        <w:t>more frequent</w:t>
      </w:r>
      <w:r w:rsidRPr="0071463F">
        <w:rPr>
          <w:sz w:val="24"/>
          <w:szCs w:val="24"/>
        </w:rPr>
        <w:t xml:space="preserve"> in the high-risk group at both assessment waves (</w:t>
      </w:r>
      <w:r>
        <w:rPr>
          <w:sz w:val="24"/>
          <w:szCs w:val="24"/>
        </w:rPr>
        <w:t>adolescent</w:t>
      </w:r>
      <w:r w:rsidRPr="0071463F">
        <w:rPr>
          <w:sz w:val="24"/>
          <w:szCs w:val="24"/>
        </w:rPr>
        <w:t xml:space="preserve">: difference = .14; SE = .048; p = .024; </w:t>
      </w:r>
      <w:r>
        <w:rPr>
          <w:sz w:val="24"/>
          <w:szCs w:val="24"/>
        </w:rPr>
        <w:t>young adult</w:t>
      </w:r>
      <w:r w:rsidRPr="0071463F">
        <w:rPr>
          <w:sz w:val="24"/>
          <w:szCs w:val="24"/>
        </w:rPr>
        <w:t>: difference = .26; SE = .061; p = .001)</w:t>
      </w:r>
      <w:r>
        <w:rPr>
          <w:sz w:val="24"/>
          <w:szCs w:val="24"/>
        </w:rPr>
        <w:t xml:space="preserve"> but</w:t>
      </w:r>
      <w:r w:rsidRPr="0071463F">
        <w:rPr>
          <w:sz w:val="24"/>
          <w:szCs w:val="24"/>
        </w:rPr>
        <w:t xml:space="preserve"> </w:t>
      </w:r>
      <w:r>
        <w:rPr>
          <w:sz w:val="24"/>
          <w:szCs w:val="24"/>
        </w:rPr>
        <w:t>t</w:t>
      </w:r>
      <w:r w:rsidRPr="0071463F">
        <w:rPr>
          <w:sz w:val="24"/>
          <w:szCs w:val="24"/>
        </w:rPr>
        <w:t>he interaction of group by age</w:t>
      </w:r>
      <w:r>
        <w:rPr>
          <w:sz w:val="24"/>
          <w:szCs w:val="24"/>
        </w:rPr>
        <w:t xml:space="preserve"> </w:t>
      </w:r>
      <w:r w:rsidRPr="0071463F">
        <w:rPr>
          <w:sz w:val="24"/>
          <w:szCs w:val="24"/>
        </w:rPr>
        <w:t>did not reach statistical significance (p = .12</w:t>
      </w:r>
      <w:r>
        <w:rPr>
          <w:sz w:val="24"/>
          <w:szCs w:val="24"/>
        </w:rPr>
        <w:t>)</w:t>
      </w:r>
      <w:r w:rsidRPr="0071463F">
        <w:rPr>
          <w:sz w:val="24"/>
          <w:szCs w:val="24"/>
        </w:rPr>
        <w:t xml:space="preserve">. </w:t>
      </w:r>
      <w:r>
        <w:rPr>
          <w:sz w:val="24"/>
          <w:szCs w:val="24"/>
        </w:rPr>
        <w:t>However, w</w:t>
      </w:r>
      <w:r w:rsidRPr="0071463F">
        <w:rPr>
          <w:sz w:val="24"/>
          <w:szCs w:val="24"/>
        </w:rPr>
        <w:t xml:space="preserve">hen only those participants with data at both time points (low risk n = 78; high risk n = 53) were included in the analysis </w:t>
      </w:r>
      <w:r>
        <w:rPr>
          <w:sz w:val="24"/>
          <w:szCs w:val="24"/>
        </w:rPr>
        <w:t>there was a significantly</w:t>
      </w:r>
      <w:r w:rsidRPr="0071463F">
        <w:rPr>
          <w:sz w:val="24"/>
          <w:szCs w:val="24"/>
        </w:rPr>
        <w:t xml:space="preserve"> higher frequency of</w:t>
      </w:r>
      <w:r w:rsidR="00495BFB">
        <w:rPr>
          <w:sz w:val="24"/>
          <w:szCs w:val="24"/>
        </w:rPr>
        <w:t xml:space="preserve"> ADHD in</w:t>
      </w:r>
      <w:r w:rsidRPr="0071463F">
        <w:rPr>
          <w:sz w:val="24"/>
          <w:szCs w:val="24"/>
        </w:rPr>
        <w:t xml:space="preserve"> </w:t>
      </w:r>
      <w:r>
        <w:rPr>
          <w:sz w:val="24"/>
          <w:szCs w:val="24"/>
        </w:rPr>
        <w:t>the</w:t>
      </w:r>
      <w:r w:rsidRPr="0071463F">
        <w:rPr>
          <w:sz w:val="24"/>
          <w:szCs w:val="24"/>
        </w:rPr>
        <w:t xml:space="preserve"> high-risk group </w:t>
      </w:r>
      <w:r>
        <w:rPr>
          <w:sz w:val="24"/>
          <w:szCs w:val="24"/>
        </w:rPr>
        <w:t xml:space="preserve">in the young adult group only </w:t>
      </w:r>
      <w:r w:rsidRPr="0071463F">
        <w:rPr>
          <w:sz w:val="24"/>
          <w:szCs w:val="24"/>
        </w:rPr>
        <w:t>(</w:t>
      </w:r>
      <w:r>
        <w:rPr>
          <w:sz w:val="24"/>
          <w:szCs w:val="24"/>
        </w:rPr>
        <w:t xml:space="preserve">adolescent </w:t>
      </w:r>
      <w:r w:rsidRPr="0071463F">
        <w:rPr>
          <w:sz w:val="24"/>
          <w:szCs w:val="24"/>
        </w:rPr>
        <w:t xml:space="preserve">difference = .11; SE = .062; </w:t>
      </w:r>
      <w:r>
        <w:rPr>
          <w:sz w:val="24"/>
          <w:szCs w:val="24"/>
        </w:rPr>
        <w:t>p = .35</w:t>
      </w:r>
      <w:r w:rsidR="00495BFB">
        <w:rPr>
          <w:sz w:val="24"/>
          <w:szCs w:val="24"/>
        </w:rPr>
        <w:t xml:space="preserve">; young adulthood </w:t>
      </w:r>
      <w:r w:rsidR="00495BFB" w:rsidRPr="0071463F">
        <w:rPr>
          <w:sz w:val="24"/>
          <w:szCs w:val="24"/>
        </w:rPr>
        <w:t xml:space="preserve">difference = .24; SE = .066; </w:t>
      </w:r>
      <w:r w:rsidR="00495BFB">
        <w:rPr>
          <w:sz w:val="24"/>
          <w:szCs w:val="24"/>
        </w:rPr>
        <w:t>p = .001</w:t>
      </w:r>
      <w:r>
        <w:rPr>
          <w:sz w:val="24"/>
          <w:szCs w:val="24"/>
        </w:rPr>
        <w:t>). T</w:t>
      </w:r>
      <w:r w:rsidRPr="0071463F">
        <w:rPr>
          <w:sz w:val="24"/>
          <w:szCs w:val="24"/>
        </w:rPr>
        <w:t xml:space="preserve">he group by age </w:t>
      </w:r>
      <w:r>
        <w:rPr>
          <w:sz w:val="24"/>
          <w:szCs w:val="24"/>
        </w:rPr>
        <w:t xml:space="preserve">interaction term </w:t>
      </w:r>
      <w:r w:rsidRPr="0071463F">
        <w:rPr>
          <w:sz w:val="24"/>
          <w:szCs w:val="24"/>
        </w:rPr>
        <w:t xml:space="preserve">indicated a trend towards </w:t>
      </w:r>
      <w:r>
        <w:rPr>
          <w:sz w:val="24"/>
          <w:szCs w:val="24"/>
        </w:rPr>
        <w:t xml:space="preserve">a significant increase in risk in young adulthood </w:t>
      </w:r>
      <w:r>
        <w:rPr>
          <w:sz w:val="24"/>
          <w:szCs w:val="24"/>
        </w:rPr>
        <w:lastRenderedPageBreak/>
        <w:t xml:space="preserve">compared to adolescence </w:t>
      </w:r>
      <w:r w:rsidRPr="0071463F">
        <w:rPr>
          <w:sz w:val="24"/>
          <w:szCs w:val="24"/>
        </w:rPr>
        <w:t>(p = .053). There was also a high level of continuity at the individual case level with 70% of adolescent ADHD cases continuing to meet full diagnostic criteria in adulthood. ADHD-PI predominated at both follow up points</w:t>
      </w:r>
      <w:r w:rsidR="00D358AD">
        <w:rPr>
          <w:sz w:val="24"/>
          <w:szCs w:val="24"/>
        </w:rPr>
        <w:t>; adolescence</w:t>
      </w:r>
      <w:r w:rsidRPr="0071463F">
        <w:rPr>
          <w:sz w:val="24"/>
          <w:szCs w:val="24"/>
        </w:rPr>
        <w:t xml:space="preserve"> </w:t>
      </w:r>
      <w:r>
        <w:rPr>
          <w:sz w:val="24"/>
          <w:szCs w:val="24"/>
        </w:rPr>
        <w:t>(</w:t>
      </w:r>
      <w:r w:rsidRPr="000F53A1">
        <w:rPr>
          <w:rFonts w:ascii="Symbol" w:hAnsi="Symbol" w:cs="Symbol"/>
          <w:sz w:val="24"/>
          <w:szCs w:val="24"/>
        </w:rPr>
        <w:t></w:t>
      </w:r>
      <w:r w:rsidRPr="0071463F">
        <w:rPr>
          <w:sz w:val="24"/>
          <w:szCs w:val="24"/>
          <w:vertAlign w:val="superscript"/>
        </w:rPr>
        <w:t>2</w:t>
      </w:r>
      <w:r w:rsidR="00D358AD">
        <w:rPr>
          <w:sz w:val="24"/>
          <w:szCs w:val="24"/>
        </w:rPr>
        <w:t>=8.62 (</w:t>
      </w:r>
      <w:proofErr w:type="spellStart"/>
      <w:proofErr w:type="gramStart"/>
      <w:r w:rsidR="00D358AD">
        <w:rPr>
          <w:sz w:val="24"/>
          <w:szCs w:val="24"/>
        </w:rPr>
        <w:t>df</w:t>
      </w:r>
      <w:proofErr w:type="spellEnd"/>
      <w:r w:rsidR="00D358AD">
        <w:rPr>
          <w:sz w:val="24"/>
          <w:szCs w:val="24"/>
        </w:rPr>
        <w:t>=</w:t>
      </w:r>
      <w:proofErr w:type="gramEnd"/>
      <w:r w:rsidR="00D358AD">
        <w:rPr>
          <w:sz w:val="24"/>
          <w:szCs w:val="24"/>
        </w:rPr>
        <w:t>2), p&lt;.05</w:t>
      </w:r>
      <w:r w:rsidRPr="0071463F">
        <w:rPr>
          <w:sz w:val="24"/>
          <w:szCs w:val="24"/>
        </w:rPr>
        <w:t>)</w:t>
      </w:r>
      <w:r w:rsidR="00D358AD">
        <w:rPr>
          <w:sz w:val="24"/>
          <w:szCs w:val="24"/>
        </w:rPr>
        <w:t xml:space="preserve"> and young adulthood (</w:t>
      </w:r>
      <w:r w:rsidR="00D358AD" w:rsidRPr="000F53A1">
        <w:rPr>
          <w:rFonts w:ascii="Symbol" w:hAnsi="Symbol" w:cs="Symbol"/>
          <w:sz w:val="24"/>
          <w:szCs w:val="24"/>
        </w:rPr>
        <w:t></w:t>
      </w:r>
      <w:r w:rsidR="00D358AD" w:rsidRPr="0071463F">
        <w:rPr>
          <w:sz w:val="24"/>
          <w:szCs w:val="24"/>
          <w:vertAlign w:val="superscript"/>
        </w:rPr>
        <w:t>2</w:t>
      </w:r>
      <w:r w:rsidR="00D358AD">
        <w:rPr>
          <w:sz w:val="24"/>
          <w:szCs w:val="24"/>
        </w:rPr>
        <w:t>=17.81 (</w:t>
      </w:r>
      <w:proofErr w:type="spellStart"/>
      <w:r w:rsidR="00D358AD">
        <w:rPr>
          <w:sz w:val="24"/>
          <w:szCs w:val="24"/>
        </w:rPr>
        <w:t>df</w:t>
      </w:r>
      <w:proofErr w:type="spellEnd"/>
      <w:r w:rsidR="00D358AD">
        <w:rPr>
          <w:sz w:val="24"/>
          <w:szCs w:val="24"/>
        </w:rPr>
        <w:t>=2), p&lt;.001</w:t>
      </w:r>
      <w:r w:rsidR="00D358AD" w:rsidRPr="0071463F">
        <w:rPr>
          <w:sz w:val="24"/>
          <w:szCs w:val="24"/>
        </w:rPr>
        <w:t>)</w:t>
      </w:r>
      <w:r w:rsidRPr="0071463F">
        <w:rPr>
          <w:sz w:val="24"/>
          <w:szCs w:val="24"/>
        </w:rPr>
        <w:t xml:space="preserve">. In adolescence, 75% of ADHD cases had a predominantly inattentive presentation while this declined to 59% in the young adult group. </w:t>
      </w:r>
    </w:p>
    <w:p w14:paraId="5FB3520B" w14:textId="1BE557C2" w:rsidR="00BD25B0" w:rsidRPr="0071463F" w:rsidRDefault="00BD25B0" w:rsidP="007261EB">
      <w:pPr>
        <w:spacing w:line="480" w:lineRule="auto"/>
        <w:ind w:firstLine="720"/>
        <w:rPr>
          <w:rFonts w:cs="Arial"/>
          <w:sz w:val="24"/>
          <w:szCs w:val="24"/>
        </w:rPr>
      </w:pPr>
      <w:r w:rsidRPr="0071463F">
        <w:rPr>
          <w:sz w:val="24"/>
          <w:szCs w:val="24"/>
        </w:rPr>
        <w:t xml:space="preserve">Table 2 </w:t>
      </w:r>
      <w:r>
        <w:rPr>
          <w:sz w:val="24"/>
          <w:szCs w:val="24"/>
        </w:rPr>
        <w:t xml:space="preserve">divides the young adult sample into </w:t>
      </w:r>
      <w:r w:rsidRPr="0071463F">
        <w:rPr>
          <w:sz w:val="24"/>
          <w:szCs w:val="24"/>
        </w:rPr>
        <w:t>th</w:t>
      </w:r>
      <w:r>
        <w:rPr>
          <w:sz w:val="24"/>
          <w:szCs w:val="24"/>
        </w:rPr>
        <w:t>re</w:t>
      </w:r>
      <w:r w:rsidRPr="0071463F">
        <w:rPr>
          <w:sz w:val="24"/>
          <w:szCs w:val="24"/>
        </w:rPr>
        <w:t xml:space="preserve">e </w:t>
      </w:r>
      <w:r>
        <w:rPr>
          <w:sz w:val="24"/>
          <w:szCs w:val="24"/>
        </w:rPr>
        <w:t>groups: (i) The low risk group</w:t>
      </w:r>
      <w:r w:rsidR="00FF4EE2">
        <w:rPr>
          <w:sz w:val="24"/>
          <w:szCs w:val="24"/>
        </w:rPr>
        <w:t xml:space="preserve"> (including the small number of ADHD)</w:t>
      </w:r>
      <w:r>
        <w:rPr>
          <w:sz w:val="24"/>
          <w:szCs w:val="24"/>
        </w:rPr>
        <w:t xml:space="preserve">, (ii) the high- risk group without ADHD and (iii) the high-risk group with ADHD. The groups are compared </w:t>
      </w:r>
      <w:r w:rsidRPr="00862C3B">
        <w:rPr>
          <w:sz w:val="24"/>
          <w:szCs w:val="24"/>
        </w:rPr>
        <w:t>on a number of variables including sex, clinical engagement</w:t>
      </w:r>
      <w:r w:rsidR="00FF4EE2">
        <w:rPr>
          <w:sz w:val="24"/>
          <w:szCs w:val="24"/>
        </w:rPr>
        <w:t xml:space="preserve"> (e.g., diagnosed or treated specifically for ADHD)</w:t>
      </w:r>
      <w:r w:rsidRPr="00862C3B">
        <w:rPr>
          <w:sz w:val="24"/>
          <w:szCs w:val="24"/>
        </w:rPr>
        <w:t>, co-occurring problems and early adult circumstances</w:t>
      </w:r>
      <w:r>
        <w:rPr>
          <w:sz w:val="24"/>
          <w:szCs w:val="24"/>
        </w:rPr>
        <w:t>.</w:t>
      </w:r>
      <w:r w:rsidRPr="0071463F">
        <w:rPr>
          <w:sz w:val="24"/>
          <w:szCs w:val="24"/>
        </w:rPr>
        <w:t xml:space="preserve"> There was no difference between the three groups in ratio </w:t>
      </w:r>
      <w:r>
        <w:rPr>
          <w:sz w:val="24"/>
          <w:szCs w:val="24"/>
        </w:rPr>
        <w:t xml:space="preserve">of males to females </w:t>
      </w:r>
      <w:r w:rsidRPr="0071463F">
        <w:rPr>
          <w:sz w:val="24"/>
          <w:szCs w:val="24"/>
        </w:rPr>
        <w:t>with roughly similar number</w:t>
      </w:r>
      <w:r>
        <w:rPr>
          <w:sz w:val="24"/>
          <w:szCs w:val="24"/>
        </w:rPr>
        <w:t>s</w:t>
      </w:r>
      <w:r w:rsidRPr="0071463F">
        <w:rPr>
          <w:sz w:val="24"/>
          <w:szCs w:val="24"/>
        </w:rPr>
        <w:t xml:space="preserve"> of </w:t>
      </w:r>
      <w:r w:rsidR="007261EB">
        <w:rPr>
          <w:sz w:val="24"/>
          <w:szCs w:val="24"/>
        </w:rPr>
        <w:t>the sexes</w:t>
      </w:r>
      <w:r w:rsidRPr="0071463F">
        <w:rPr>
          <w:sz w:val="24"/>
          <w:szCs w:val="24"/>
        </w:rPr>
        <w:t xml:space="preserve"> meeting diagnostic criteria for ADHD. The </w:t>
      </w:r>
      <w:r>
        <w:rPr>
          <w:sz w:val="24"/>
          <w:szCs w:val="24"/>
        </w:rPr>
        <w:t>high-</w:t>
      </w:r>
      <w:r w:rsidRPr="0071463F">
        <w:rPr>
          <w:sz w:val="24"/>
          <w:szCs w:val="24"/>
        </w:rPr>
        <w:t xml:space="preserve">risk ADHD group were more likely than the </w:t>
      </w:r>
      <w:r>
        <w:rPr>
          <w:sz w:val="24"/>
          <w:szCs w:val="24"/>
        </w:rPr>
        <w:t xml:space="preserve">low risk group and the high-risk group without ADHD </w:t>
      </w:r>
      <w:r w:rsidRPr="0071463F">
        <w:rPr>
          <w:sz w:val="24"/>
          <w:szCs w:val="24"/>
        </w:rPr>
        <w:t xml:space="preserve">to have received a clinical ADHD diagnosis and/ or treatment for ADHD (41%). </w:t>
      </w:r>
      <w:r>
        <w:rPr>
          <w:sz w:val="24"/>
          <w:szCs w:val="24"/>
        </w:rPr>
        <w:t>T</w:t>
      </w:r>
      <w:r w:rsidRPr="0071463F">
        <w:rPr>
          <w:sz w:val="24"/>
          <w:szCs w:val="24"/>
        </w:rPr>
        <w:t xml:space="preserve">he high-risk </w:t>
      </w:r>
      <w:r>
        <w:rPr>
          <w:sz w:val="24"/>
          <w:szCs w:val="24"/>
        </w:rPr>
        <w:t xml:space="preserve">group with ADHD </w:t>
      </w:r>
      <w:r w:rsidRPr="0071463F">
        <w:rPr>
          <w:sz w:val="24"/>
          <w:szCs w:val="24"/>
        </w:rPr>
        <w:t xml:space="preserve">had the highest levels of both </w:t>
      </w:r>
      <w:r>
        <w:rPr>
          <w:sz w:val="24"/>
          <w:szCs w:val="24"/>
        </w:rPr>
        <w:t xml:space="preserve">DSE </w:t>
      </w:r>
      <w:r w:rsidRPr="0071463F">
        <w:rPr>
          <w:sz w:val="24"/>
          <w:szCs w:val="24"/>
        </w:rPr>
        <w:t xml:space="preserve">and </w:t>
      </w:r>
      <w:r>
        <w:rPr>
          <w:sz w:val="24"/>
          <w:szCs w:val="24"/>
        </w:rPr>
        <w:t>ASD</w:t>
      </w:r>
      <w:r w:rsidRPr="0071463F">
        <w:rPr>
          <w:sz w:val="24"/>
          <w:szCs w:val="24"/>
        </w:rPr>
        <w:t>. Nearly 60% of individuals with ADHD displayed the former and 15% the lat</w:t>
      </w:r>
      <w:r>
        <w:rPr>
          <w:sz w:val="24"/>
          <w:szCs w:val="24"/>
        </w:rPr>
        <w:t>t</w:t>
      </w:r>
      <w:r w:rsidRPr="0071463F">
        <w:rPr>
          <w:sz w:val="24"/>
          <w:szCs w:val="24"/>
        </w:rPr>
        <w:t>e</w:t>
      </w:r>
      <w:r>
        <w:rPr>
          <w:sz w:val="24"/>
          <w:szCs w:val="24"/>
        </w:rPr>
        <w:t>r. I</w:t>
      </w:r>
      <w:r w:rsidRPr="0071463F">
        <w:rPr>
          <w:sz w:val="24"/>
          <w:szCs w:val="24"/>
        </w:rPr>
        <w:t xml:space="preserve">n both cases this </w:t>
      </w:r>
      <w:r>
        <w:rPr>
          <w:sz w:val="24"/>
          <w:szCs w:val="24"/>
        </w:rPr>
        <w:t xml:space="preserve">difference was </w:t>
      </w:r>
      <w:r w:rsidRPr="0071463F">
        <w:rPr>
          <w:sz w:val="24"/>
          <w:szCs w:val="24"/>
        </w:rPr>
        <w:t>statistically significant</w:t>
      </w:r>
      <w:r>
        <w:rPr>
          <w:sz w:val="24"/>
          <w:szCs w:val="24"/>
        </w:rPr>
        <w:t xml:space="preserve">. </w:t>
      </w:r>
      <w:r w:rsidRPr="0071463F">
        <w:rPr>
          <w:sz w:val="24"/>
          <w:szCs w:val="24"/>
        </w:rPr>
        <w:t xml:space="preserve">Levels of DSE and </w:t>
      </w:r>
      <w:r>
        <w:rPr>
          <w:sz w:val="24"/>
          <w:szCs w:val="24"/>
        </w:rPr>
        <w:t>ASD</w:t>
      </w:r>
      <w:r w:rsidRPr="0071463F">
        <w:rPr>
          <w:sz w:val="24"/>
          <w:szCs w:val="24"/>
        </w:rPr>
        <w:t xml:space="preserve"> were also elevated in the high-risk non-ADHD group but </w:t>
      </w:r>
      <w:r>
        <w:rPr>
          <w:sz w:val="24"/>
          <w:szCs w:val="24"/>
        </w:rPr>
        <w:t xml:space="preserve">the </w:t>
      </w:r>
      <w:r w:rsidRPr="0071463F">
        <w:rPr>
          <w:sz w:val="24"/>
          <w:szCs w:val="24"/>
        </w:rPr>
        <w:t>two high</w:t>
      </w:r>
      <w:r w:rsidR="0010588E">
        <w:rPr>
          <w:sz w:val="24"/>
          <w:szCs w:val="24"/>
        </w:rPr>
        <w:t>-</w:t>
      </w:r>
      <w:r w:rsidRPr="0071463F">
        <w:rPr>
          <w:sz w:val="24"/>
          <w:szCs w:val="24"/>
        </w:rPr>
        <w:t xml:space="preserve">risk groups did not differ </w:t>
      </w:r>
      <w:r>
        <w:rPr>
          <w:sz w:val="24"/>
          <w:szCs w:val="24"/>
        </w:rPr>
        <w:t>statistically from each other</w:t>
      </w:r>
      <w:r w:rsidRPr="0071463F">
        <w:rPr>
          <w:sz w:val="24"/>
          <w:szCs w:val="24"/>
        </w:rPr>
        <w:t xml:space="preserve">. Compared to previous follow-ups the rates of </w:t>
      </w:r>
      <w:r>
        <w:rPr>
          <w:sz w:val="24"/>
          <w:szCs w:val="24"/>
        </w:rPr>
        <w:t>CI</w:t>
      </w:r>
      <w:r w:rsidRPr="0071463F">
        <w:rPr>
          <w:sz w:val="24"/>
          <w:szCs w:val="24"/>
        </w:rPr>
        <w:t xml:space="preserve"> were generally low and did not </w:t>
      </w:r>
      <w:r>
        <w:rPr>
          <w:sz w:val="24"/>
          <w:szCs w:val="24"/>
        </w:rPr>
        <w:t xml:space="preserve">now </w:t>
      </w:r>
      <w:r w:rsidRPr="0071463F">
        <w:rPr>
          <w:sz w:val="24"/>
          <w:szCs w:val="24"/>
        </w:rPr>
        <w:t xml:space="preserve">vary as a function of </w:t>
      </w:r>
      <w:r>
        <w:rPr>
          <w:sz w:val="24"/>
          <w:szCs w:val="24"/>
        </w:rPr>
        <w:t xml:space="preserve">ADHD </w:t>
      </w:r>
      <w:r w:rsidRPr="0071463F">
        <w:rPr>
          <w:sz w:val="24"/>
          <w:szCs w:val="24"/>
        </w:rPr>
        <w:t xml:space="preserve">group. </w:t>
      </w:r>
      <w:r w:rsidR="00FF4EE2">
        <w:rPr>
          <w:sz w:val="24"/>
          <w:szCs w:val="24"/>
        </w:rPr>
        <w:t>On the basis of a comparison of dimensional measures t</w:t>
      </w:r>
      <w:r w:rsidRPr="0071463F">
        <w:rPr>
          <w:sz w:val="24"/>
          <w:szCs w:val="24"/>
        </w:rPr>
        <w:t xml:space="preserve">he high-risk ADHD group also had significantly elevated levels of depression and anxiety compared to the low risk group </w:t>
      </w:r>
      <w:r w:rsidRPr="00C37551">
        <w:rPr>
          <w:sz w:val="24"/>
          <w:szCs w:val="24"/>
        </w:rPr>
        <w:t>but not compared to the high-risk non-ADHD group.</w:t>
      </w:r>
      <w:r w:rsidRPr="0071463F">
        <w:rPr>
          <w:sz w:val="24"/>
          <w:szCs w:val="24"/>
        </w:rPr>
        <w:t xml:space="preserve"> </w:t>
      </w:r>
      <w:r>
        <w:rPr>
          <w:sz w:val="24"/>
          <w:szCs w:val="24"/>
        </w:rPr>
        <w:t>Furthermore, t</w:t>
      </w:r>
      <w:r w:rsidRPr="0071463F">
        <w:rPr>
          <w:sz w:val="24"/>
          <w:szCs w:val="24"/>
        </w:rPr>
        <w:t xml:space="preserve">he percentage of ADHD cases exceeding the standard CBRS cut-offs were </w:t>
      </w:r>
      <w:r w:rsidRPr="00C37551">
        <w:rPr>
          <w:sz w:val="24"/>
          <w:szCs w:val="24"/>
        </w:rPr>
        <w:t>approx</w:t>
      </w:r>
      <w:r>
        <w:rPr>
          <w:sz w:val="24"/>
          <w:szCs w:val="24"/>
        </w:rPr>
        <w:t>imately</w:t>
      </w:r>
      <w:r w:rsidRPr="00C37551">
        <w:rPr>
          <w:sz w:val="24"/>
          <w:szCs w:val="24"/>
        </w:rPr>
        <w:t xml:space="preserve"> 45</w:t>
      </w:r>
      <w:r w:rsidR="00FF4EE2">
        <w:rPr>
          <w:sz w:val="24"/>
          <w:szCs w:val="24"/>
        </w:rPr>
        <w:t>%</w:t>
      </w:r>
      <w:r w:rsidRPr="00C37551">
        <w:rPr>
          <w:sz w:val="24"/>
          <w:szCs w:val="24"/>
        </w:rPr>
        <w:t xml:space="preserve"> and 55%</w:t>
      </w:r>
      <w:r w:rsidRPr="0071463F">
        <w:rPr>
          <w:sz w:val="24"/>
          <w:szCs w:val="24"/>
        </w:rPr>
        <w:t xml:space="preserve"> for depression and anxiety respectively – </w:t>
      </w:r>
      <w:r w:rsidR="00162411">
        <w:rPr>
          <w:sz w:val="24"/>
          <w:szCs w:val="24"/>
        </w:rPr>
        <w:t xml:space="preserve">around </w:t>
      </w:r>
      <w:r>
        <w:rPr>
          <w:sz w:val="24"/>
          <w:szCs w:val="24"/>
        </w:rPr>
        <w:lastRenderedPageBreak/>
        <w:t xml:space="preserve">twice </w:t>
      </w:r>
      <w:r w:rsidRPr="0071463F">
        <w:rPr>
          <w:sz w:val="24"/>
          <w:szCs w:val="24"/>
        </w:rPr>
        <w:t>as many as found in the low risk group</w:t>
      </w:r>
      <w:r w:rsidR="00FF4EE2">
        <w:rPr>
          <w:sz w:val="24"/>
          <w:szCs w:val="24"/>
        </w:rPr>
        <w:t xml:space="preserve"> (</w:t>
      </w:r>
      <w:r w:rsidR="00D358AD">
        <w:rPr>
          <w:sz w:val="24"/>
          <w:szCs w:val="24"/>
        </w:rPr>
        <w:t>26.4</w:t>
      </w:r>
      <w:r w:rsidR="00FF4EE2">
        <w:rPr>
          <w:sz w:val="24"/>
          <w:szCs w:val="24"/>
        </w:rPr>
        <w:t xml:space="preserve">% and </w:t>
      </w:r>
      <w:r w:rsidR="00D358AD">
        <w:rPr>
          <w:sz w:val="24"/>
          <w:szCs w:val="24"/>
        </w:rPr>
        <w:t>23.3</w:t>
      </w:r>
      <w:r w:rsidR="00FF4EE2">
        <w:rPr>
          <w:sz w:val="24"/>
          <w:szCs w:val="24"/>
        </w:rPr>
        <w:t>%)</w:t>
      </w:r>
      <w:r w:rsidRPr="0071463F">
        <w:rPr>
          <w:sz w:val="24"/>
          <w:szCs w:val="24"/>
        </w:rPr>
        <w:t>. Strikingly</w:t>
      </w:r>
      <w:r>
        <w:rPr>
          <w:sz w:val="24"/>
          <w:szCs w:val="24"/>
        </w:rPr>
        <w:t>,</w:t>
      </w:r>
      <w:r w:rsidRPr="0071463F">
        <w:rPr>
          <w:sz w:val="24"/>
          <w:szCs w:val="24"/>
        </w:rPr>
        <w:t xml:space="preserve"> </w:t>
      </w:r>
      <w:r>
        <w:rPr>
          <w:sz w:val="24"/>
          <w:szCs w:val="24"/>
        </w:rPr>
        <w:t xml:space="preserve">however, </w:t>
      </w:r>
      <w:r w:rsidRPr="0071463F">
        <w:rPr>
          <w:sz w:val="24"/>
          <w:szCs w:val="24"/>
        </w:rPr>
        <w:t xml:space="preserve">ADHD in the ERA sample was not associated with </w:t>
      </w:r>
      <w:r>
        <w:rPr>
          <w:sz w:val="24"/>
          <w:szCs w:val="24"/>
        </w:rPr>
        <w:t>CD, with only 18.2% meeting standa</w:t>
      </w:r>
      <w:r w:rsidR="009A3AFB">
        <w:rPr>
          <w:sz w:val="24"/>
          <w:szCs w:val="24"/>
        </w:rPr>
        <w:t>rd CBRS cut offs compared to 9.7</w:t>
      </w:r>
      <w:r>
        <w:rPr>
          <w:sz w:val="24"/>
          <w:szCs w:val="24"/>
        </w:rPr>
        <w:t xml:space="preserve">% in the </w:t>
      </w:r>
      <w:r w:rsidR="009A3AFB">
        <w:rPr>
          <w:sz w:val="24"/>
          <w:szCs w:val="24"/>
        </w:rPr>
        <w:t>high-risk non-ADHD group and 8.3</w:t>
      </w:r>
      <w:r>
        <w:rPr>
          <w:sz w:val="24"/>
          <w:szCs w:val="24"/>
        </w:rPr>
        <w:t>% in the low risk group (</w:t>
      </w:r>
      <w:r w:rsidR="009A3AFB">
        <w:rPr>
          <w:sz w:val="24"/>
          <w:szCs w:val="24"/>
        </w:rPr>
        <w:t>p=.30</w:t>
      </w:r>
      <w:r w:rsidR="00FF4EE2">
        <w:rPr>
          <w:sz w:val="24"/>
          <w:szCs w:val="24"/>
        </w:rPr>
        <w:t xml:space="preserve"> for high risk ADHD versus the low risk group</w:t>
      </w:r>
      <w:r>
        <w:rPr>
          <w:sz w:val="24"/>
          <w:szCs w:val="24"/>
        </w:rPr>
        <w:t xml:space="preserve">). </w:t>
      </w:r>
      <w:r w:rsidRPr="0071463F">
        <w:rPr>
          <w:sz w:val="24"/>
          <w:szCs w:val="24"/>
        </w:rPr>
        <w:t>When considering current life circumstance</w:t>
      </w:r>
      <w:r>
        <w:rPr>
          <w:sz w:val="24"/>
          <w:szCs w:val="24"/>
        </w:rPr>
        <w:t>s</w:t>
      </w:r>
      <w:r w:rsidRPr="0071463F">
        <w:rPr>
          <w:sz w:val="24"/>
          <w:szCs w:val="24"/>
        </w:rPr>
        <w:t>, the very high rates of unemployment (</w:t>
      </w:r>
      <w:r>
        <w:rPr>
          <w:sz w:val="24"/>
          <w:szCs w:val="24"/>
        </w:rPr>
        <w:t>almost</w:t>
      </w:r>
      <w:r w:rsidRPr="0071463F">
        <w:rPr>
          <w:sz w:val="24"/>
          <w:szCs w:val="24"/>
        </w:rPr>
        <w:t xml:space="preserve"> 90</w:t>
      </w:r>
      <w:r w:rsidR="00C05A99">
        <w:rPr>
          <w:sz w:val="24"/>
          <w:szCs w:val="24"/>
        </w:rPr>
        <w:t>%</w:t>
      </w:r>
      <w:r w:rsidRPr="0071463F">
        <w:rPr>
          <w:sz w:val="24"/>
          <w:szCs w:val="24"/>
        </w:rPr>
        <w:t>) and low e</w:t>
      </w:r>
      <w:r w:rsidR="00CA283A">
        <w:rPr>
          <w:sz w:val="24"/>
          <w:szCs w:val="24"/>
        </w:rPr>
        <w:t>ducational achievement (over 70%</w:t>
      </w:r>
      <w:r w:rsidRPr="0071463F">
        <w:rPr>
          <w:sz w:val="24"/>
          <w:szCs w:val="24"/>
        </w:rPr>
        <w:t xml:space="preserve">) in the </w:t>
      </w:r>
      <w:r>
        <w:rPr>
          <w:sz w:val="24"/>
          <w:szCs w:val="24"/>
        </w:rPr>
        <w:t xml:space="preserve">high risk </w:t>
      </w:r>
      <w:r w:rsidRPr="0071463F">
        <w:rPr>
          <w:sz w:val="24"/>
          <w:szCs w:val="24"/>
        </w:rPr>
        <w:t xml:space="preserve">ADHD group were significantly greater than in both other groups. Furthermore, </w:t>
      </w:r>
      <w:proofErr w:type="spellStart"/>
      <w:r>
        <w:rPr>
          <w:sz w:val="24"/>
          <w:szCs w:val="24"/>
        </w:rPr>
        <w:t>QoL</w:t>
      </w:r>
      <w:proofErr w:type="spellEnd"/>
      <w:r w:rsidRPr="0071463F">
        <w:rPr>
          <w:sz w:val="24"/>
          <w:szCs w:val="24"/>
        </w:rPr>
        <w:t xml:space="preserve"> was lower in the </w:t>
      </w:r>
      <w:r>
        <w:rPr>
          <w:sz w:val="24"/>
          <w:szCs w:val="24"/>
        </w:rPr>
        <w:t xml:space="preserve">high risk </w:t>
      </w:r>
      <w:r w:rsidRPr="0071463F">
        <w:rPr>
          <w:sz w:val="24"/>
          <w:szCs w:val="24"/>
        </w:rPr>
        <w:t xml:space="preserve">ADHD than the non-ADHD group. </w:t>
      </w:r>
    </w:p>
    <w:p w14:paraId="7D5F4782" w14:textId="77777777" w:rsidR="00BD25B0" w:rsidRPr="0071463F" w:rsidRDefault="00BD25B0" w:rsidP="00FB63A6">
      <w:pPr>
        <w:spacing w:line="480" w:lineRule="auto"/>
        <w:outlineLvl w:val="0"/>
        <w:rPr>
          <w:b/>
          <w:bCs/>
          <w:sz w:val="24"/>
          <w:szCs w:val="24"/>
        </w:rPr>
      </w:pPr>
      <w:r w:rsidRPr="0071463F">
        <w:rPr>
          <w:b/>
          <w:bCs/>
          <w:sz w:val="24"/>
          <w:szCs w:val="24"/>
        </w:rPr>
        <w:t xml:space="preserve">Discussion </w:t>
      </w:r>
    </w:p>
    <w:p w14:paraId="4B474C6C" w14:textId="65A24742" w:rsidR="00BD25B0" w:rsidRPr="0071463F" w:rsidRDefault="00BD25B0" w:rsidP="005575FF">
      <w:pPr>
        <w:spacing w:line="480" w:lineRule="auto"/>
        <w:rPr>
          <w:sz w:val="24"/>
          <w:szCs w:val="24"/>
        </w:rPr>
      </w:pPr>
      <w:r w:rsidRPr="0071463F">
        <w:rPr>
          <w:sz w:val="24"/>
          <w:szCs w:val="24"/>
        </w:rPr>
        <w:t>While adult ADHD following severe deprivation shares features with ADHD in typical clinical populations, it is also different in important ways. First, compared to ADHD found in typical clinical groups it appears to be strikingly persistent across the transition from adolescence to adulthood</w:t>
      </w:r>
      <w:r w:rsidR="005575FF">
        <w:rPr>
          <w:sz w:val="24"/>
          <w:szCs w:val="24"/>
        </w:rPr>
        <w:t xml:space="preserve"> (Faraone et al., 2006)</w:t>
      </w:r>
      <w:r w:rsidRPr="0071463F">
        <w:rPr>
          <w:sz w:val="24"/>
          <w:szCs w:val="24"/>
        </w:rPr>
        <w:t xml:space="preserve"> – a pattern of persistence previously seen in the ERA sample </w:t>
      </w:r>
      <w:r>
        <w:rPr>
          <w:sz w:val="24"/>
          <w:szCs w:val="24"/>
        </w:rPr>
        <w:t>across</w:t>
      </w:r>
      <w:r w:rsidRPr="0071463F">
        <w:rPr>
          <w:sz w:val="24"/>
          <w:szCs w:val="24"/>
        </w:rPr>
        <w:t xml:space="preserve"> childhood and early </w:t>
      </w:r>
      <w:r w:rsidRPr="000A40A9">
        <w:rPr>
          <w:sz w:val="24"/>
          <w:szCs w:val="24"/>
        </w:rPr>
        <w:t>adolescence (Stevens et al., 2009).</w:t>
      </w:r>
      <w:r w:rsidRPr="0071463F">
        <w:rPr>
          <w:sz w:val="24"/>
          <w:szCs w:val="24"/>
        </w:rPr>
        <w:t xml:space="preserve"> This is manifest both in the unusually high levels of continuity of ADHD at the level of the individual </w:t>
      </w:r>
      <w:r>
        <w:rPr>
          <w:sz w:val="24"/>
          <w:szCs w:val="24"/>
        </w:rPr>
        <w:t xml:space="preserve">case </w:t>
      </w:r>
      <w:r w:rsidRPr="0071463F">
        <w:rPr>
          <w:sz w:val="24"/>
          <w:szCs w:val="24"/>
        </w:rPr>
        <w:t xml:space="preserve">and the very high rates of ADHD at the group level. Two aspects of this persistence are especially notable. First, </w:t>
      </w:r>
      <w:r>
        <w:rPr>
          <w:sz w:val="24"/>
          <w:szCs w:val="24"/>
        </w:rPr>
        <w:t>it</w:t>
      </w:r>
      <w:r w:rsidRPr="0071463F">
        <w:rPr>
          <w:sz w:val="24"/>
          <w:szCs w:val="24"/>
        </w:rPr>
        <w:t xml:space="preserve"> is observed at the level of symptoms and not just impairment</w:t>
      </w:r>
      <w:r>
        <w:rPr>
          <w:sz w:val="24"/>
          <w:szCs w:val="24"/>
        </w:rPr>
        <w:t>,</w:t>
      </w:r>
      <w:r w:rsidRPr="0071463F">
        <w:rPr>
          <w:sz w:val="24"/>
          <w:szCs w:val="24"/>
        </w:rPr>
        <w:t xml:space="preserve"> whereas in typical clinical populations symptom</w:t>
      </w:r>
      <w:r>
        <w:rPr>
          <w:sz w:val="24"/>
          <w:szCs w:val="24"/>
        </w:rPr>
        <w:t>s</w:t>
      </w:r>
      <w:r w:rsidRPr="0071463F">
        <w:rPr>
          <w:sz w:val="24"/>
          <w:szCs w:val="24"/>
        </w:rPr>
        <w:t xml:space="preserve"> often drop to sub-clinical levels although impairment </w:t>
      </w:r>
      <w:r>
        <w:rPr>
          <w:sz w:val="24"/>
          <w:szCs w:val="24"/>
        </w:rPr>
        <w:t>remains</w:t>
      </w:r>
      <w:r w:rsidRPr="0071463F">
        <w:rPr>
          <w:sz w:val="24"/>
          <w:szCs w:val="24"/>
        </w:rPr>
        <w:t xml:space="preserve"> common </w:t>
      </w:r>
      <w:r w:rsidRPr="000A40A9">
        <w:rPr>
          <w:sz w:val="24"/>
          <w:szCs w:val="24"/>
        </w:rPr>
        <w:t>(</w:t>
      </w:r>
      <w:r>
        <w:rPr>
          <w:sz w:val="24"/>
          <w:szCs w:val="24"/>
        </w:rPr>
        <w:t>Faraone et al., 2006</w:t>
      </w:r>
      <w:r w:rsidRPr="000A40A9">
        <w:rPr>
          <w:sz w:val="24"/>
          <w:szCs w:val="24"/>
        </w:rPr>
        <w:t>).</w:t>
      </w:r>
      <w:r w:rsidRPr="0071463F">
        <w:rPr>
          <w:sz w:val="24"/>
          <w:szCs w:val="24"/>
        </w:rPr>
        <w:t xml:space="preserve"> Second, the risk associated with deprivation in young adulthood was greater than in adolescence (although</w:t>
      </w:r>
      <w:r w:rsidR="002700A4">
        <w:rPr>
          <w:sz w:val="24"/>
          <w:szCs w:val="24"/>
        </w:rPr>
        <w:t xml:space="preserve"> not statistically significant</w:t>
      </w:r>
      <w:r w:rsidRPr="0071463F">
        <w:rPr>
          <w:sz w:val="24"/>
          <w:szCs w:val="24"/>
        </w:rPr>
        <w:t xml:space="preserve">). We can draw a number of inferences from these observations. First, in general, they reinforce the </w:t>
      </w:r>
      <w:r>
        <w:rPr>
          <w:sz w:val="24"/>
          <w:szCs w:val="24"/>
        </w:rPr>
        <w:t>notion</w:t>
      </w:r>
      <w:r w:rsidRPr="0071463F">
        <w:rPr>
          <w:sz w:val="24"/>
          <w:szCs w:val="24"/>
        </w:rPr>
        <w:t xml:space="preserve"> that early exposure to severe adversity can have a powerful detrimental effect on long-term mental health and </w:t>
      </w:r>
      <w:r w:rsidRPr="004D384D">
        <w:rPr>
          <w:sz w:val="24"/>
          <w:szCs w:val="24"/>
        </w:rPr>
        <w:t>wellbeing (Rutter &amp; O’Connor, 2004): In this case stretching across important periods of the lifespan - from the very earliest</w:t>
      </w:r>
      <w:r w:rsidRPr="0071463F">
        <w:rPr>
          <w:sz w:val="24"/>
          <w:szCs w:val="24"/>
        </w:rPr>
        <w:t xml:space="preserve"> years of life to adulthood. </w:t>
      </w:r>
      <w:r w:rsidRPr="0071463F">
        <w:rPr>
          <w:sz w:val="24"/>
          <w:szCs w:val="24"/>
        </w:rPr>
        <w:lastRenderedPageBreak/>
        <w:t xml:space="preserve">Crucially these effects are found despite the fact that </w:t>
      </w:r>
      <w:r>
        <w:rPr>
          <w:sz w:val="24"/>
          <w:szCs w:val="24"/>
        </w:rPr>
        <w:t>deprived</w:t>
      </w:r>
      <w:r w:rsidRPr="0071463F">
        <w:rPr>
          <w:sz w:val="24"/>
          <w:szCs w:val="24"/>
        </w:rPr>
        <w:t xml:space="preserve"> individuals, post exposure, </w:t>
      </w:r>
      <w:r>
        <w:rPr>
          <w:sz w:val="24"/>
          <w:szCs w:val="24"/>
        </w:rPr>
        <w:t>had spent</w:t>
      </w:r>
      <w:r w:rsidRPr="0071463F">
        <w:rPr>
          <w:sz w:val="24"/>
          <w:szCs w:val="24"/>
        </w:rPr>
        <w:t xml:space="preserve"> </w:t>
      </w:r>
      <w:r>
        <w:rPr>
          <w:sz w:val="24"/>
          <w:szCs w:val="24"/>
        </w:rPr>
        <w:t>the vast majority of their lives</w:t>
      </w:r>
      <w:r w:rsidRPr="0071463F">
        <w:rPr>
          <w:sz w:val="24"/>
          <w:szCs w:val="24"/>
        </w:rPr>
        <w:t xml:space="preserve"> in loving, supportive and well-resourced families. Given this pattern of long term hyper-persistent risk it seems highly likely that </w:t>
      </w:r>
      <w:r w:rsidRPr="000A40A9">
        <w:rPr>
          <w:sz w:val="24"/>
          <w:szCs w:val="24"/>
        </w:rPr>
        <w:t>deprivation-related ADHD results from early established deep</w:t>
      </w:r>
      <w:r>
        <w:rPr>
          <w:sz w:val="24"/>
          <w:szCs w:val="24"/>
        </w:rPr>
        <w:t>-</w:t>
      </w:r>
      <w:r w:rsidRPr="000A40A9">
        <w:rPr>
          <w:sz w:val="24"/>
          <w:szCs w:val="24"/>
        </w:rPr>
        <w:t>seated neurobiological alterations (see N</w:t>
      </w:r>
      <w:r>
        <w:rPr>
          <w:sz w:val="24"/>
          <w:szCs w:val="24"/>
        </w:rPr>
        <w:t>elson</w:t>
      </w:r>
      <w:r w:rsidRPr="000A40A9">
        <w:rPr>
          <w:sz w:val="24"/>
          <w:szCs w:val="24"/>
        </w:rPr>
        <w:t>,</w:t>
      </w:r>
      <w:r>
        <w:rPr>
          <w:sz w:val="24"/>
          <w:szCs w:val="24"/>
        </w:rPr>
        <w:t xml:space="preserve"> </w:t>
      </w:r>
      <w:proofErr w:type="spellStart"/>
      <w:r>
        <w:rPr>
          <w:sz w:val="24"/>
          <w:szCs w:val="24"/>
        </w:rPr>
        <w:t>Bos</w:t>
      </w:r>
      <w:proofErr w:type="spellEnd"/>
      <w:r>
        <w:rPr>
          <w:sz w:val="24"/>
          <w:szCs w:val="24"/>
        </w:rPr>
        <w:t>, Gunner &amp; Sonuga-Barke,</w:t>
      </w:r>
      <w:r w:rsidRPr="000A40A9">
        <w:rPr>
          <w:sz w:val="24"/>
          <w:szCs w:val="24"/>
        </w:rPr>
        <w:t xml:space="preserve"> 2011 for a discussion).</w:t>
      </w:r>
      <w:r w:rsidRPr="0071463F">
        <w:rPr>
          <w:sz w:val="24"/>
          <w:szCs w:val="24"/>
        </w:rPr>
        <w:t xml:space="preserve"> Whether the pathway from early deprivation to adult ADHD is mediated by structural and functional alterations in brain regions known to be involved in ADHD pathophysiology, or has its own neural signature, remains to be seen and is the subject of ongoing research. Second, and related to the above, the data provide the first suggestion in the literature that deprivation-related ADHD, perhaps as a particular example of an environmentally</w:t>
      </w:r>
      <w:r>
        <w:rPr>
          <w:sz w:val="24"/>
          <w:szCs w:val="24"/>
        </w:rPr>
        <w:t>-</w:t>
      </w:r>
      <w:r w:rsidRPr="0071463F">
        <w:rPr>
          <w:sz w:val="24"/>
          <w:szCs w:val="24"/>
        </w:rPr>
        <w:t xml:space="preserve">driven </w:t>
      </w:r>
      <w:r>
        <w:rPr>
          <w:sz w:val="24"/>
          <w:szCs w:val="24"/>
        </w:rPr>
        <w:t>variant</w:t>
      </w:r>
      <w:r w:rsidRPr="0071463F">
        <w:rPr>
          <w:sz w:val="24"/>
          <w:szCs w:val="24"/>
        </w:rPr>
        <w:t xml:space="preserve"> of the condition, may </w:t>
      </w:r>
      <w:r>
        <w:rPr>
          <w:sz w:val="24"/>
          <w:szCs w:val="24"/>
        </w:rPr>
        <w:t xml:space="preserve">represent </w:t>
      </w:r>
      <w:r w:rsidRPr="0071463F">
        <w:rPr>
          <w:sz w:val="24"/>
          <w:szCs w:val="24"/>
        </w:rPr>
        <w:t xml:space="preserve">a </w:t>
      </w:r>
      <w:r>
        <w:rPr>
          <w:sz w:val="24"/>
          <w:szCs w:val="24"/>
        </w:rPr>
        <w:t xml:space="preserve">more </w:t>
      </w:r>
      <w:r w:rsidRPr="0071463F">
        <w:rPr>
          <w:sz w:val="24"/>
          <w:szCs w:val="24"/>
        </w:rPr>
        <w:t>persistent form of the condition than those seen in typical clinical practice. If true this would have both clinical and scientific implications. From a scientific perspective it may</w:t>
      </w:r>
      <w:r>
        <w:rPr>
          <w:sz w:val="24"/>
          <w:szCs w:val="24"/>
        </w:rPr>
        <w:t xml:space="preserve"> </w:t>
      </w:r>
      <w:r w:rsidRPr="0071463F">
        <w:rPr>
          <w:sz w:val="24"/>
          <w:szCs w:val="24"/>
        </w:rPr>
        <w:t xml:space="preserve">be that, somewhat paradoxically, ADHD established following </w:t>
      </w:r>
      <w:r w:rsidR="005575FF">
        <w:rPr>
          <w:sz w:val="24"/>
          <w:szCs w:val="24"/>
        </w:rPr>
        <w:t xml:space="preserve">early </w:t>
      </w:r>
      <w:r w:rsidRPr="0071463F">
        <w:rPr>
          <w:sz w:val="24"/>
          <w:szCs w:val="24"/>
        </w:rPr>
        <w:t xml:space="preserve">adversity </w:t>
      </w:r>
      <w:r w:rsidR="005575FF">
        <w:rPr>
          <w:sz w:val="24"/>
          <w:szCs w:val="24"/>
        </w:rPr>
        <w:t xml:space="preserve">may be </w:t>
      </w:r>
      <w:r w:rsidRPr="0071463F">
        <w:rPr>
          <w:sz w:val="24"/>
          <w:szCs w:val="24"/>
        </w:rPr>
        <w:t xml:space="preserve">less open to later operating genetic and environmental protective influences that </w:t>
      </w:r>
      <w:r w:rsidR="005575FF">
        <w:rPr>
          <w:sz w:val="24"/>
          <w:szCs w:val="24"/>
        </w:rPr>
        <w:t xml:space="preserve">can </w:t>
      </w:r>
      <w:r w:rsidRPr="0071463F">
        <w:rPr>
          <w:sz w:val="24"/>
          <w:szCs w:val="24"/>
        </w:rPr>
        <w:t>determine patterns of disorder offset in late childhood and early adolescence. Third, the data relating early institutional deprivation and adult ADHD may represent evidence of a distinctive developmental phenomenon linking environmental risk exposures and outcomes. Most longitudinal studies of social risk effects seem to conform to the rule that the further one moves in time away from the initial risk exposure</w:t>
      </w:r>
      <w:r w:rsidR="00C90A4E">
        <w:rPr>
          <w:sz w:val="24"/>
          <w:szCs w:val="24"/>
        </w:rPr>
        <w:t>,</w:t>
      </w:r>
      <w:r w:rsidRPr="0071463F">
        <w:rPr>
          <w:sz w:val="24"/>
          <w:szCs w:val="24"/>
        </w:rPr>
        <w:t xml:space="preserve"> the smaller the impact on wellbeing. At least with regard to the adolescent-to-young adult transition, the opposite seems to be true</w:t>
      </w:r>
      <w:r>
        <w:rPr>
          <w:sz w:val="24"/>
          <w:szCs w:val="24"/>
        </w:rPr>
        <w:t xml:space="preserve"> here</w:t>
      </w:r>
      <w:r w:rsidRPr="0071463F">
        <w:rPr>
          <w:sz w:val="24"/>
          <w:szCs w:val="24"/>
        </w:rPr>
        <w:t xml:space="preserve">. </w:t>
      </w:r>
      <w:r>
        <w:rPr>
          <w:sz w:val="24"/>
          <w:szCs w:val="24"/>
        </w:rPr>
        <w:t>Trying to tease apart the</w:t>
      </w:r>
      <w:r w:rsidRPr="0071463F">
        <w:rPr>
          <w:sz w:val="24"/>
          <w:szCs w:val="24"/>
        </w:rPr>
        <w:t xml:space="preserve"> reasons for this is beyond the scope of the current paper</w:t>
      </w:r>
      <w:r>
        <w:rPr>
          <w:sz w:val="24"/>
          <w:szCs w:val="24"/>
        </w:rPr>
        <w:t>,</w:t>
      </w:r>
      <w:r w:rsidRPr="0071463F">
        <w:rPr>
          <w:sz w:val="24"/>
          <w:szCs w:val="24"/>
        </w:rPr>
        <w:t xml:space="preserve"> but there are a number of plausible possibilities. First, the persistence of risk </w:t>
      </w:r>
      <w:r>
        <w:rPr>
          <w:sz w:val="24"/>
          <w:szCs w:val="24"/>
        </w:rPr>
        <w:t>could be</w:t>
      </w:r>
      <w:r w:rsidRPr="0071463F">
        <w:rPr>
          <w:sz w:val="24"/>
          <w:szCs w:val="24"/>
        </w:rPr>
        <w:t xml:space="preserve"> due to the severity of the adverse experience implicated in early institutional deprivation and the extent of the associated “neural scar</w:t>
      </w:r>
      <w:r w:rsidR="003334B4">
        <w:rPr>
          <w:sz w:val="24"/>
          <w:szCs w:val="24"/>
        </w:rPr>
        <w:t>r</w:t>
      </w:r>
      <w:r w:rsidRPr="0071463F">
        <w:rPr>
          <w:sz w:val="24"/>
          <w:szCs w:val="24"/>
        </w:rPr>
        <w:t>ing”. Alternatively</w:t>
      </w:r>
      <w:r>
        <w:rPr>
          <w:sz w:val="24"/>
          <w:szCs w:val="24"/>
        </w:rPr>
        <w:t>,</w:t>
      </w:r>
      <w:r w:rsidRPr="0071463F">
        <w:rPr>
          <w:sz w:val="24"/>
          <w:szCs w:val="24"/>
        </w:rPr>
        <w:t xml:space="preserve"> it </w:t>
      </w:r>
      <w:r w:rsidRPr="0071463F">
        <w:rPr>
          <w:sz w:val="24"/>
          <w:szCs w:val="24"/>
        </w:rPr>
        <w:lastRenderedPageBreak/>
        <w:t xml:space="preserve">could be due to the </w:t>
      </w:r>
      <w:r>
        <w:rPr>
          <w:sz w:val="24"/>
          <w:szCs w:val="24"/>
        </w:rPr>
        <w:t xml:space="preserve">early </w:t>
      </w:r>
      <w:r w:rsidRPr="0071463F">
        <w:rPr>
          <w:sz w:val="24"/>
          <w:szCs w:val="24"/>
        </w:rPr>
        <w:t>timing of the exposures</w:t>
      </w:r>
      <w:r>
        <w:rPr>
          <w:sz w:val="24"/>
          <w:szCs w:val="24"/>
        </w:rPr>
        <w:t>. Finally, it cou</w:t>
      </w:r>
      <w:r w:rsidRPr="0071463F">
        <w:rPr>
          <w:sz w:val="24"/>
          <w:szCs w:val="24"/>
        </w:rPr>
        <w:t>ld be the result of changing patterns of protective factors operating later in development. More specifically, it may that the buffering effect of high functioning family environments</w:t>
      </w:r>
      <w:r>
        <w:rPr>
          <w:sz w:val="24"/>
          <w:szCs w:val="24"/>
        </w:rPr>
        <w:t xml:space="preserve"> experienced by the adoptees</w:t>
      </w:r>
      <w:r w:rsidRPr="0071463F">
        <w:rPr>
          <w:sz w:val="24"/>
          <w:szCs w:val="24"/>
        </w:rPr>
        <w:t xml:space="preserve"> supressed ADHD symptom</w:t>
      </w:r>
      <w:r>
        <w:rPr>
          <w:sz w:val="24"/>
          <w:szCs w:val="24"/>
        </w:rPr>
        <w:t>s</w:t>
      </w:r>
      <w:r w:rsidRPr="0071463F">
        <w:rPr>
          <w:sz w:val="24"/>
          <w:szCs w:val="24"/>
        </w:rPr>
        <w:t xml:space="preserve"> and/or associated impairments during childhood and adolescence </w:t>
      </w:r>
      <w:r>
        <w:rPr>
          <w:sz w:val="24"/>
          <w:szCs w:val="24"/>
        </w:rPr>
        <w:t>so that the effects of early adversity only became</w:t>
      </w:r>
      <w:r w:rsidRPr="0071463F">
        <w:rPr>
          <w:sz w:val="24"/>
          <w:szCs w:val="24"/>
        </w:rPr>
        <w:t xml:space="preserve"> apparent when </w:t>
      </w:r>
      <w:r>
        <w:rPr>
          <w:sz w:val="24"/>
          <w:szCs w:val="24"/>
        </w:rPr>
        <w:t>individuals left home and</w:t>
      </w:r>
      <w:r w:rsidRPr="0071463F">
        <w:rPr>
          <w:sz w:val="24"/>
          <w:szCs w:val="24"/>
        </w:rPr>
        <w:t xml:space="preserve"> moved away from these protective environments</w:t>
      </w:r>
      <w:r>
        <w:rPr>
          <w:sz w:val="24"/>
          <w:szCs w:val="24"/>
        </w:rPr>
        <w:t xml:space="preserve"> (an example of a sleeper effect)</w:t>
      </w:r>
      <w:r w:rsidRPr="0071463F">
        <w:rPr>
          <w:sz w:val="24"/>
          <w:szCs w:val="24"/>
        </w:rPr>
        <w:t xml:space="preserve">. </w:t>
      </w:r>
    </w:p>
    <w:p w14:paraId="094BB15E" w14:textId="415D9607" w:rsidR="00BD25B0" w:rsidRPr="0071463F" w:rsidRDefault="00BD25B0" w:rsidP="005575FF">
      <w:pPr>
        <w:spacing w:line="480" w:lineRule="auto"/>
        <w:ind w:firstLine="720"/>
        <w:rPr>
          <w:sz w:val="24"/>
          <w:szCs w:val="24"/>
        </w:rPr>
      </w:pPr>
      <w:r w:rsidRPr="0071463F">
        <w:rPr>
          <w:sz w:val="24"/>
          <w:szCs w:val="24"/>
        </w:rPr>
        <w:t>In addition to elevated levels of persistence</w:t>
      </w:r>
      <w:r>
        <w:rPr>
          <w:sz w:val="24"/>
          <w:szCs w:val="24"/>
        </w:rPr>
        <w:t>,</w:t>
      </w:r>
      <w:r w:rsidRPr="0071463F">
        <w:rPr>
          <w:sz w:val="24"/>
          <w:szCs w:val="24"/>
        </w:rPr>
        <w:t xml:space="preserve"> deprivation-related ADHD seems to have other particular characteristics that mark it out from more common forms of ADHD. Four characteristics are particularly striking. </w:t>
      </w:r>
      <w:proofErr w:type="gramStart"/>
      <w:r w:rsidRPr="0071463F">
        <w:rPr>
          <w:sz w:val="24"/>
          <w:szCs w:val="24"/>
        </w:rPr>
        <w:t>First,</w:t>
      </w:r>
      <w:proofErr w:type="gramEnd"/>
      <w:r w:rsidRPr="0071463F">
        <w:rPr>
          <w:sz w:val="24"/>
          <w:szCs w:val="24"/>
        </w:rPr>
        <w:t xml:space="preserve"> and contrasting with </w:t>
      </w:r>
      <w:r>
        <w:rPr>
          <w:sz w:val="24"/>
          <w:szCs w:val="24"/>
        </w:rPr>
        <w:t xml:space="preserve">the </w:t>
      </w:r>
      <w:r w:rsidRPr="0071463F">
        <w:rPr>
          <w:sz w:val="24"/>
          <w:szCs w:val="24"/>
        </w:rPr>
        <w:t xml:space="preserve">sex ratios found in population-based epidemiological studies, </w:t>
      </w:r>
      <w:r>
        <w:rPr>
          <w:sz w:val="24"/>
          <w:szCs w:val="24"/>
        </w:rPr>
        <w:t xml:space="preserve">it seems equally common in </w:t>
      </w:r>
      <w:r w:rsidRPr="0071463F">
        <w:rPr>
          <w:sz w:val="24"/>
          <w:szCs w:val="24"/>
        </w:rPr>
        <w:t xml:space="preserve">males and females. Second, and perhaps relatedly, the predominantly inattentive presentation is unusually common in </w:t>
      </w:r>
      <w:r>
        <w:rPr>
          <w:sz w:val="24"/>
          <w:szCs w:val="24"/>
        </w:rPr>
        <w:t xml:space="preserve">these </w:t>
      </w:r>
      <w:r w:rsidRPr="0071463F">
        <w:rPr>
          <w:sz w:val="24"/>
          <w:szCs w:val="24"/>
        </w:rPr>
        <w:t xml:space="preserve">ADHD cases. </w:t>
      </w:r>
      <w:r>
        <w:rPr>
          <w:sz w:val="24"/>
          <w:szCs w:val="24"/>
        </w:rPr>
        <w:t xml:space="preserve">One hypothesis explaining the link between deprivation, sex and the inattentive presentation is that </w:t>
      </w:r>
      <w:r w:rsidRPr="0071463F">
        <w:rPr>
          <w:sz w:val="24"/>
          <w:szCs w:val="24"/>
        </w:rPr>
        <w:t xml:space="preserve">females </w:t>
      </w:r>
      <w:r>
        <w:rPr>
          <w:sz w:val="24"/>
          <w:szCs w:val="24"/>
        </w:rPr>
        <w:t xml:space="preserve">compared to </w:t>
      </w:r>
      <w:r w:rsidRPr="0071463F">
        <w:rPr>
          <w:sz w:val="24"/>
          <w:szCs w:val="24"/>
        </w:rPr>
        <w:t>males are unusually susceptible to high do</w:t>
      </w:r>
      <w:r>
        <w:rPr>
          <w:sz w:val="24"/>
          <w:szCs w:val="24"/>
        </w:rPr>
        <w:t>s</w:t>
      </w:r>
      <w:r w:rsidRPr="0071463F">
        <w:rPr>
          <w:sz w:val="24"/>
          <w:szCs w:val="24"/>
        </w:rPr>
        <w:t xml:space="preserve">es of </w:t>
      </w:r>
      <w:r>
        <w:rPr>
          <w:sz w:val="24"/>
          <w:szCs w:val="24"/>
        </w:rPr>
        <w:t xml:space="preserve">the sorts of environmental </w:t>
      </w:r>
      <w:r w:rsidRPr="0071463F">
        <w:rPr>
          <w:sz w:val="24"/>
          <w:szCs w:val="24"/>
        </w:rPr>
        <w:t xml:space="preserve">risk </w:t>
      </w:r>
      <w:r>
        <w:rPr>
          <w:sz w:val="24"/>
          <w:szCs w:val="24"/>
        </w:rPr>
        <w:t>exposure</w:t>
      </w:r>
      <w:r w:rsidRPr="0071463F">
        <w:rPr>
          <w:sz w:val="24"/>
          <w:szCs w:val="24"/>
        </w:rPr>
        <w:t xml:space="preserve"> (perhaps with a different risk threshold operating)</w:t>
      </w:r>
      <w:r>
        <w:rPr>
          <w:sz w:val="24"/>
          <w:szCs w:val="24"/>
        </w:rPr>
        <w:t xml:space="preserve"> that disrupt higher-level attentional control mechanisms.</w:t>
      </w:r>
      <w:r w:rsidRPr="0071463F">
        <w:rPr>
          <w:sz w:val="24"/>
          <w:szCs w:val="24"/>
        </w:rPr>
        <w:t xml:space="preserve"> Third, deprivation-related ADHD has a characteristic pattern of comorbidities marked by persistent</w:t>
      </w:r>
      <w:r>
        <w:rPr>
          <w:sz w:val="24"/>
          <w:szCs w:val="24"/>
        </w:rPr>
        <w:t>ly</w:t>
      </w:r>
      <w:r w:rsidRPr="0071463F">
        <w:rPr>
          <w:sz w:val="24"/>
          <w:szCs w:val="24"/>
        </w:rPr>
        <w:t xml:space="preserve"> </w:t>
      </w:r>
      <w:r>
        <w:rPr>
          <w:sz w:val="24"/>
          <w:szCs w:val="24"/>
        </w:rPr>
        <w:t xml:space="preserve">high </w:t>
      </w:r>
      <w:r w:rsidRPr="0071463F">
        <w:rPr>
          <w:sz w:val="24"/>
          <w:szCs w:val="24"/>
        </w:rPr>
        <w:t xml:space="preserve">DSE and </w:t>
      </w:r>
      <w:r>
        <w:rPr>
          <w:sz w:val="24"/>
          <w:szCs w:val="24"/>
        </w:rPr>
        <w:t>ASD</w:t>
      </w:r>
      <w:r w:rsidRPr="0071463F">
        <w:rPr>
          <w:sz w:val="24"/>
          <w:szCs w:val="24"/>
        </w:rPr>
        <w:t xml:space="preserve"> and low </w:t>
      </w:r>
      <w:r>
        <w:rPr>
          <w:sz w:val="24"/>
          <w:szCs w:val="24"/>
        </w:rPr>
        <w:t>CD</w:t>
      </w:r>
      <w:r w:rsidRPr="0071463F">
        <w:rPr>
          <w:sz w:val="24"/>
          <w:szCs w:val="24"/>
        </w:rPr>
        <w:t>. Levels of depression and anxiety were also common in the ADHD sample but this is more typical of clinical ADHD samples</w:t>
      </w:r>
      <w:r>
        <w:rPr>
          <w:sz w:val="24"/>
          <w:szCs w:val="24"/>
        </w:rPr>
        <w:t xml:space="preserve"> in this age range</w:t>
      </w:r>
      <w:r w:rsidRPr="0071463F">
        <w:rPr>
          <w:sz w:val="24"/>
          <w:szCs w:val="24"/>
        </w:rPr>
        <w:t>. In the past, based on data from the age 11 and 15 years follow-ups</w:t>
      </w:r>
      <w:r>
        <w:rPr>
          <w:sz w:val="24"/>
          <w:szCs w:val="24"/>
        </w:rPr>
        <w:t>,</w:t>
      </w:r>
      <w:r w:rsidRPr="0071463F">
        <w:rPr>
          <w:sz w:val="24"/>
          <w:szCs w:val="24"/>
        </w:rPr>
        <w:t xml:space="preserve"> we have speculated about the existence of </w:t>
      </w:r>
      <w:r>
        <w:rPr>
          <w:sz w:val="24"/>
          <w:szCs w:val="24"/>
        </w:rPr>
        <w:t>an institutional deprivation syn</w:t>
      </w:r>
      <w:r w:rsidRPr="0071463F">
        <w:rPr>
          <w:sz w:val="24"/>
          <w:szCs w:val="24"/>
        </w:rPr>
        <w:t>drome</w:t>
      </w:r>
      <w:r>
        <w:rPr>
          <w:sz w:val="24"/>
          <w:szCs w:val="24"/>
        </w:rPr>
        <w:t>,</w:t>
      </w:r>
      <w:r w:rsidRPr="0071463F">
        <w:rPr>
          <w:sz w:val="24"/>
          <w:szCs w:val="24"/>
        </w:rPr>
        <w:t xml:space="preserve"> the core of which</w:t>
      </w:r>
      <w:r>
        <w:rPr>
          <w:sz w:val="24"/>
          <w:szCs w:val="24"/>
        </w:rPr>
        <w:t xml:space="preserve"> is DSE and </w:t>
      </w:r>
      <w:r w:rsidR="005575FF">
        <w:rPr>
          <w:sz w:val="24"/>
          <w:szCs w:val="24"/>
        </w:rPr>
        <w:t>quasi-autism</w:t>
      </w:r>
      <w:r>
        <w:rPr>
          <w:sz w:val="24"/>
          <w:szCs w:val="24"/>
        </w:rPr>
        <w:t xml:space="preserve"> with deprivation-</w:t>
      </w:r>
      <w:r w:rsidRPr="0071463F">
        <w:rPr>
          <w:sz w:val="24"/>
          <w:szCs w:val="24"/>
        </w:rPr>
        <w:t>spe</w:t>
      </w:r>
      <w:r>
        <w:rPr>
          <w:sz w:val="24"/>
          <w:szCs w:val="24"/>
        </w:rPr>
        <w:t>cific ADHD and CI being distinctive common associated features</w:t>
      </w:r>
      <w:r w:rsidRPr="0071463F">
        <w:rPr>
          <w:sz w:val="24"/>
          <w:szCs w:val="24"/>
        </w:rPr>
        <w:t xml:space="preserve"> (Kreppner et al., 2010; Kumsta et al., 2010). Although </w:t>
      </w:r>
      <w:r>
        <w:rPr>
          <w:sz w:val="24"/>
          <w:szCs w:val="24"/>
        </w:rPr>
        <w:t xml:space="preserve">this study was </w:t>
      </w:r>
      <w:r w:rsidRPr="0071463F">
        <w:rPr>
          <w:sz w:val="24"/>
          <w:szCs w:val="24"/>
        </w:rPr>
        <w:t>not designed</w:t>
      </w:r>
      <w:r>
        <w:rPr>
          <w:sz w:val="24"/>
          <w:szCs w:val="24"/>
        </w:rPr>
        <w:t xml:space="preserve"> to test this (and </w:t>
      </w:r>
      <w:r w:rsidRPr="0071463F">
        <w:rPr>
          <w:sz w:val="24"/>
          <w:szCs w:val="24"/>
        </w:rPr>
        <w:t>lack</w:t>
      </w:r>
      <w:r>
        <w:rPr>
          <w:sz w:val="24"/>
          <w:szCs w:val="24"/>
        </w:rPr>
        <w:t>ed sufficient statistical power</w:t>
      </w:r>
      <w:r w:rsidRPr="0071463F">
        <w:rPr>
          <w:sz w:val="24"/>
          <w:szCs w:val="24"/>
        </w:rPr>
        <w:t xml:space="preserve"> to </w:t>
      </w:r>
      <w:r>
        <w:rPr>
          <w:sz w:val="24"/>
          <w:szCs w:val="24"/>
        </w:rPr>
        <w:t>do so formally),</w:t>
      </w:r>
      <w:r w:rsidRPr="0071463F">
        <w:rPr>
          <w:sz w:val="24"/>
          <w:szCs w:val="24"/>
        </w:rPr>
        <w:t xml:space="preserve"> the raised </w:t>
      </w:r>
      <w:r w:rsidRPr="0071463F">
        <w:rPr>
          <w:sz w:val="24"/>
          <w:szCs w:val="24"/>
        </w:rPr>
        <w:lastRenderedPageBreak/>
        <w:t xml:space="preserve">levels of </w:t>
      </w:r>
      <w:r>
        <w:rPr>
          <w:sz w:val="24"/>
          <w:szCs w:val="24"/>
        </w:rPr>
        <w:t>ASD</w:t>
      </w:r>
      <w:r w:rsidRPr="0071463F">
        <w:rPr>
          <w:sz w:val="24"/>
          <w:szCs w:val="24"/>
        </w:rPr>
        <w:t xml:space="preserve"> and </w:t>
      </w:r>
      <w:r>
        <w:rPr>
          <w:sz w:val="24"/>
          <w:szCs w:val="24"/>
        </w:rPr>
        <w:t>DSE in the high risk ADHD group</w:t>
      </w:r>
      <w:r w:rsidRPr="0071463F">
        <w:rPr>
          <w:sz w:val="24"/>
          <w:szCs w:val="24"/>
        </w:rPr>
        <w:t xml:space="preserve"> </w:t>
      </w:r>
      <w:r>
        <w:rPr>
          <w:sz w:val="24"/>
          <w:szCs w:val="24"/>
        </w:rPr>
        <w:t xml:space="preserve">suggest a </w:t>
      </w:r>
      <w:r w:rsidRPr="0071463F">
        <w:rPr>
          <w:sz w:val="24"/>
          <w:szCs w:val="24"/>
        </w:rPr>
        <w:t xml:space="preserve">clustering of these </w:t>
      </w:r>
      <w:r>
        <w:rPr>
          <w:sz w:val="24"/>
          <w:szCs w:val="24"/>
        </w:rPr>
        <w:t>problems</w:t>
      </w:r>
      <w:r w:rsidRPr="0071463F">
        <w:rPr>
          <w:sz w:val="24"/>
          <w:szCs w:val="24"/>
        </w:rPr>
        <w:t xml:space="preserve"> </w:t>
      </w:r>
      <w:r>
        <w:rPr>
          <w:sz w:val="24"/>
          <w:szCs w:val="24"/>
        </w:rPr>
        <w:t>in a way that is</w:t>
      </w:r>
      <w:r w:rsidRPr="0071463F">
        <w:rPr>
          <w:sz w:val="24"/>
          <w:szCs w:val="24"/>
        </w:rPr>
        <w:t xml:space="preserve"> consistent with such a hypothesis. The pattern of results relating to CI</w:t>
      </w:r>
      <w:r>
        <w:rPr>
          <w:sz w:val="24"/>
          <w:szCs w:val="24"/>
        </w:rPr>
        <w:t xml:space="preserve">, however, </w:t>
      </w:r>
      <w:r w:rsidRPr="0071463F">
        <w:rPr>
          <w:sz w:val="24"/>
          <w:szCs w:val="24"/>
        </w:rPr>
        <w:t>changed markedly between adolescence and young adulthood</w:t>
      </w:r>
      <w:r>
        <w:rPr>
          <w:sz w:val="24"/>
          <w:szCs w:val="24"/>
        </w:rPr>
        <w:t xml:space="preserve"> (Beckett et al., 2006) with no relationship observed between deprivation and CI in young adulthood. </w:t>
      </w:r>
      <w:r w:rsidRPr="0071463F">
        <w:rPr>
          <w:sz w:val="24"/>
          <w:szCs w:val="24"/>
        </w:rPr>
        <w:t xml:space="preserve">Since </w:t>
      </w:r>
      <w:r>
        <w:rPr>
          <w:sz w:val="24"/>
          <w:szCs w:val="24"/>
        </w:rPr>
        <w:t xml:space="preserve">the time of the adoptees’ </w:t>
      </w:r>
      <w:r w:rsidRPr="0071463F">
        <w:rPr>
          <w:sz w:val="24"/>
          <w:szCs w:val="24"/>
        </w:rPr>
        <w:t xml:space="preserve">entry into the UK there has been </w:t>
      </w:r>
      <w:r>
        <w:rPr>
          <w:sz w:val="24"/>
          <w:szCs w:val="24"/>
        </w:rPr>
        <w:t xml:space="preserve">a </w:t>
      </w:r>
      <w:r w:rsidRPr="0071463F">
        <w:rPr>
          <w:sz w:val="24"/>
          <w:szCs w:val="24"/>
        </w:rPr>
        <w:t>process of continual catch-up in IQ in the most deprived group – although a detailed examination of this is outside the scope of the current paper these findings suggest further catch-up between adolescence and young adulthood. The rea</w:t>
      </w:r>
      <w:r>
        <w:rPr>
          <w:sz w:val="24"/>
          <w:szCs w:val="24"/>
        </w:rPr>
        <w:t>s</w:t>
      </w:r>
      <w:r w:rsidRPr="0071463F">
        <w:rPr>
          <w:sz w:val="24"/>
          <w:szCs w:val="24"/>
        </w:rPr>
        <w:t xml:space="preserve">on for the very low levels of conduct disorder (contrasted with more typical clinical populations) remains to be determined. </w:t>
      </w:r>
      <w:r>
        <w:rPr>
          <w:sz w:val="24"/>
          <w:szCs w:val="24"/>
        </w:rPr>
        <w:t>It may be that</w:t>
      </w:r>
      <w:r w:rsidRPr="0071463F">
        <w:rPr>
          <w:sz w:val="24"/>
          <w:szCs w:val="24"/>
        </w:rPr>
        <w:t xml:space="preserve"> CD </w:t>
      </w:r>
      <w:r>
        <w:rPr>
          <w:sz w:val="24"/>
          <w:szCs w:val="24"/>
        </w:rPr>
        <w:t>is rare</w:t>
      </w:r>
      <w:r w:rsidRPr="0071463F">
        <w:rPr>
          <w:sz w:val="24"/>
          <w:szCs w:val="24"/>
        </w:rPr>
        <w:t xml:space="preserve"> because of the specific presentation of ADHD found in the ERA sample (i.e., more inattentive and more female). Second, it may be rare because of the </w:t>
      </w:r>
      <w:r>
        <w:rPr>
          <w:sz w:val="24"/>
          <w:szCs w:val="24"/>
        </w:rPr>
        <w:t xml:space="preserve">role of specific </w:t>
      </w:r>
      <w:r w:rsidRPr="0071463F">
        <w:rPr>
          <w:sz w:val="24"/>
          <w:szCs w:val="24"/>
        </w:rPr>
        <w:t xml:space="preserve">aetiological factors – ADHD forms resulting from </w:t>
      </w:r>
      <w:r w:rsidRPr="000A40A9">
        <w:rPr>
          <w:sz w:val="24"/>
          <w:szCs w:val="24"/>
        </w:rPr>
        <w:t xml:space="preserve">environmental exposures, compared to genetic factors, </w:t>
      </w:r>
      <w:proofErr w:type="gramStart"/>
      <w:r w:rsidRPr="000A40A9">
        <w:rPr>
          <w:sz w:val="24"/>
          <w:szCs w:val="24"/>
        </w:rPr>
        <w:t>might</w:t>
      </w:r>
      <w:proofErr w:type="gramEnd"/>
      <w:r w:rsidRPr="000A40A9">
        <w:rPr>
          <w:sz w:val="24"/>
          <w:szCs w:val="24"/>
        </w:rPr>
        <w:t xml:space="preserve"> be less pleiotropic in </w:t>
      </w:r>
      <w:r w:rsidR="005575FF">
        <w:rPr>
          <w:sz w:val="24"/>
          <w:szCs w:val="24"/>
        </w:rPr>
        <w:t>their</w:t>
      </w:r>
      <w:r w:rsidRPr="000A40A9">
        <w:rPr>
          <w:sz w:val="24"/>
          <w:szCs w:val="24"/>
        </w:rPr>
        <w:t xml:space="preserve"> expression. Third, and related to the discussion above, growing up in </w:t>
      </w:r>
      <w:r>
        <w:rPr>
          <w:sz w:val="24"/>
          <w:szCs w:val="24"/>
        </w:rPr>
        <w:t xml:space="preserve">a </w:t>
      </w:r>
      <w:r w:rsidRPr="000A40A9">
        <w:rPr>
          <w:sz w:val="24"/>
          <w:szCs w:val="24"/>
        </w:rPr>
        <w:t>well- functioning family may buffer family-related risks that typically provoke the development of CD in ADHD individuals – such a</w:t>
      </w:r>
      <w:r>
        <w:rPr>
          <w:sz w:val="24"/>
          <w:szCs w:val="24"/>
        </w:rPr>
        <w:t>s</w:t>
      </w:r>
      <w:r w:rsidRPr="000A40A9">
        <w:rPr>
          <w:sz w:val="24"/>
          <w:szCs w:val="24"/>
        </w:rPr>
        <w:t xml:space="preserve"> high expressed emotion and harsh discipline (Scott et al., 2010) or peer-related deviance (</w:t>
      </w:r>
      <w:r>
        <w:rPr>
          <w:sz w:val="24"/>
          <w:szCs w:val="24"/>
        </w:rPr>
        <w:t>Marshal</w:t>
      </w:r>
      <w:r w:rsidRPr="000A40A9">
        <w:rPr>
          <w:sz w:val="24"/>
          <w:szCs w:val="24"/>
        </w:rPr>
        <w:t>,</w:t>
      </w:r>
      <w:r>
        <w:rPr>
          <w:sz w:val="24"/>
          <w:szCs w:val="24"/>
        </w:rPr>
        <w:t xml:space="preserve"> Molina &amp; </w:t>
      </w:r>
      <w:proofErr w:type="spellStart"/>
      <w:r>
        <w:rPr>
          <w:sz w:val="24"/>
          <w:szCs w:val="24"/>
        </w:rPr>
        <w:t>Pellham</w:t>
      </w:r>
      <w:proofErr w:type="spellEnd"/>
      <w:r>
        <w:rPr>
          <w:sz w:val="24"/>
          <w:szCs w:val="24"/>
        </w:rPr>
        <w:t>,</w:t>
      </w:r>
      <w:r w:rsidRPr="000A40A9">
        <w:rPr>
          <w:sz w:val="24"/>
          <w:szCs w:val="24"/>
        </w:rPr>
        <w:t xml:space="preserve"> 2003).</w:t>
      </w:r>
      <w:r w:rsidRPr="0071463F">
        <w:rPr>
          <w:sz w:val="24"/>
          <w:szCs w:val="24"/>
        </w:rPr>
        <w:t xml:space="preserve"> </w:t>
      </w:r>
    </w:p>
    <w:p w14:paraId="37E0065E" w14:textId="039217E4" w:rsidR="00BD25B0" w:rsidRDefault="00BD25B0" w:rsidP="007261EB">
      <w:pPr>
        <w:spacing w:line="480" w:lineRule="auto"/>
        <w:ind w:firstLine="720"/>
        <w:rPr>
          <w:sz w:val="24"/>
          <w:szCs w:val="24"/>
        </w:rPr>
      </w:pPr>
      <w:r w:rsidRPr="0071463F">
        <w:rPr>
          <w:sz w:val="24"/>
          <w:szCs w:val="24"/>
        </w:rPr>
        <w:t xml:space="preserve">The findings have a number of clinical implications. First, it is clear </w:t>
      </w:r>
      <w:r>
        <w:rPr>
          <w:sz w:val="24"/>
          <w:szCs w:val="24"/>
        </w:rPr>
        <w:t>that</w:t>
      </w:r>
      <w:r w:rsidRPr="0071463F">
        <w:rPr>
          <w:sz w:val="24"/>
          <w:szCs w:val="24"/>
        </w:rPr>
        <w:t xml:space="preserve"> deprivation</w:t>
      </w:r>
      <w:r>
        <w:rPr>
          <w:sz w:val="24"/>
          <w:szCs w:val="24"/>
        </w:rPr>
        <w:t>-</w:t>
      </w:r>
      <w:r w:rsidRPr="0071463F">
        <w:rPr>
          <w:sz w:val="24"/>
          <w:szCs w:val="24"/>
        </w:rPr>
        <w:t>related ADHD</w:t>
      </w:r>
      <w:r>
        <w:rPr>
          <w:sz w:val="24"/>
          <w:szCs w:val="24"/>
        </w:rPr>
        <w:t xml:space="preserve"> is associated with substantial clinical need, with poor long term outcomes (</w:t>
      </w:r>
      <w:r w:rsidRPr="0071463F">
        <w:rPr>
          <w:sz w:val="24"/>
          <w:szCs w:val="24"/>
        </w:rPr>
        <w:t xml:space="preserve">unemployment and </w:t>
      </w:r>
      <w:r>
        <w:rPr>
          <w:sz w:val="24"/>
          <w:szCs w:val="24"/>
        </w:rPr>
        <w:t>poor educational attainment)</w:t>
      </w:r>
      <w:r w:rsidRPr="0071463F">
        <w:rPr>
          <w:sz w:val="24"/>
          <w:szCs w:val="24"/>
        </w:rPr>
        <w:t xml:space="preserve"> </w:t>
      </w:r>
      <w:r>
        <w:rPr>
          <w:sz w:val="24"/>
          <w:szCs w:val="24"/>
        </w:rPr>
        <w:t xml:space="preserve">and with reduced </w:t>
      </w:r>
      <w:proofErr w:type="spellStart"/>
      <w:r>
        <w:rPr>
          <w:sz w:val="24"/>
          <w:szCs w:val="24"/>
        </w:rPr>
        <w:t>QoL</w:t>
      </w:r>
      <w:proofErr w:type="spellEnd"/>
      <w:r>
        <w:rPr>
          <w:sz w:val="24"/>
          <w:szCs w:val="24"/>
        </w:rPr>
        <w:t xml:space="preserve">. </w:t>
      </w:r>
      <w:r w:rsidR="007261EB">
        <w:rPr>
          <w:sz w:val="24"/>
          <w:szCs w:val="24"/>
        </w:rPr>
        <w:t>T</w:t>
      </w:r>
      <w:r w:rsidRPr="0071463F">
        <w:rPr>
          <w:sz w:val="24"/>
          <w:szCs w:val="24"/>
        </w:rPr>
        <w:t xml:space="preserve">he clinical imperative </w:t>
      </w:r>
      <w:r w:rsidR="007261EB">
        <w:rPr>
          <w:sz w:val="24"/>
          <w:szCs w:val="24"/>
        </w:rPr>
        <w:t xml:space="preserve">is </w:t>
      </w:r>
      <w:r w:rsidRPr="0071463F">
        <w:rPr>
          <w:sz w:val="24"/>
          <w:szCs w:val="24"/>
        </w:rPr>
        <w:t>to ensure that deprived individuals with ADHD get the specialist services they need and that these continue into adult life. In this regard</w:t>
      </w:r>
      <w:r>
        <w:rPr>
          <w:sz w:val="24"/>
          <w:szCs w:val="24"/>
        </w:rPr>
        <w:t>, at around 40</w:t>
      </w:r>
      <w:r w:rsidR="00CA283A">
        <w:rPr>
          <w:sz w:val="24"/>
          <w:szCs w:val="24"/>
        </w:rPr>
        <w:t>%</w:t>
      </w:r>
      <w:r>
        <w:rPr>
          <w:sz w:val="24"/>
          <w:szCs w:val="24"/>
        </w:rPr>
        <w:t xml:space="preserve"> the life-time rate</w:t>
      </w:r>
      <w:r w:rsidRPr="0071463F">
        <w:rPr>
          <w:sz w:val="24"/>
          <w:szCs w:val="24"/>
        </w:rPr>
        <w:t xml:space="preserve"> of clinical engage</w:t>
      </w:r>
      <w:r>
        <w:rPr>
          <w:sz w:val="24"/>
          <w:szCs w:val="24"/>
        </w:rPr>
        <w:t>ment</w:t>
      </w:r>
      <w:r w:rsidRPr="0071463F">
        <w:rPr>
          <w:sz w:val="24"/>
          <w:szCs w:val="24"/>
        </w:rPr>
        <w:t xml:space="preserve"> </w:t>
      </w:r>
      <w:r>
        <w:rPr>
          <w:sz w:val="24"/>
          <w:szCs w:val="24"/>
        </w:rPr>
        <w:t xml:space="preserve">in the ERA sample </w:t>
      </w:r>
      <w:r w:rsidRPr="0071463F">
        <w:rPr>
          <w:sz w:val="24"/>
          <w:szCs w:val="24"/>
        </w:rPr>
        <w:t xml:space="preserve">was relatively high. </w:t>
      </w:r>
      <w:r>
        <w:rPr>
          <w:sz w:val="24"/>
          <w:szCs w:val="24"/>
        </w:rPr>
        <w:t xml:space="preserve">More generally, the current findings highlight the importance of measuring early life exposures to adverse environments </w:t>
      </w:r>
      <w:r>
        <w:rPr>
          <w:sz w:val="24"/>
          <w:szCs w:val="24"/>
        </w:rPr>
        <w:lastRenderedPageBreak/>
        <w:t xml:space="preserve">in children with ADHD during clinical assessments in order to properly address the especially persistent and complex nature of the problems such individuals present. </w:t>
      </w:r>
    </w:p>
    <w:p w14:paraId="286105DD" w14:textId="25E691D8" w:rsidR="00BD25B0" w:rsidRPr="0048647F" w:rsidRDefault="00BD25B0" w:rsidP="005575FF">
      <w:pPr>
        <w:spacing w:line="480" w:lineRule="auto"/>
        <w:ind w:firstLine="720"/>
        <w:rPr>
          <w:rFonts w:cs="Arial"/>
          <w:sz w:val="24"/>
          <w:szCs w:val="24"/>
        </w:rPr>
      </w:pPr>
      <w:r w:rsidRPr="0071463F">
        <w:rPr>
          <w:sz w:val="24"/>
          <w:szCs w:val="24"/>
        </w:rPr>
        <w:t xml:space="preserve">The current study had significant strengths including its prospective nature and the stratification of deprivation-related risk to increase statistical power. There were also a number of limitations that need to be considered when interpreting its findings. </w:t>
      </w:r>
      <w:r>
        <w:rPr>
          <w:sz w:val="24"/>
          <w:szCs w:val="24"/>
        </w:rPr>
        <w:t>One</w:t>
      </w:r>
      <w:r w:rsidRPr="0071463F">
        <w:rPr>
          <w:sz w:val="24"/>
          <w:szCs w:val="24"/>
        </w:rPr>
        <w:t xml:space="preserve"> related to the way that ADHD symptoms </w:t>
      </w:r>
      <w:r>
        <w:rPr>
          <w:sz w:val="24"/>
          <w:szCs w:val="24"/>
        </w:rPr>
        <w:t>were assessed</w:t>
      </w:r>
      <w:r w:rsidRPr="0071463F">
        <w:rPr>
          <w:sz w:val="24"/>
          <w:szCs w:val="24"/>
        </w:rPr>
        <w:t>. First, different approaches were used in adolescence and young adulthood to collect ADHD information – parental interview in adolescence</w:t>
      </w:r>
      <w:r>
        <w:rPr>
          <w:sz w:val="24"/>
          <w:szCs w:val="24"/>
        </w:rPr>
        <w:t xml:space="preserve"> and questionnaire in young adulthood</w:t>
      </w:r>
      <w:r w:rsidRPr="0071463F">
        <w:rPr>
          <w:sz w:val="24"/>
          <w:szCs w:val="24"/>
        </w:rPr>
        <w:t xml:space="preserve">. Second, information on only 9 ADHD items was collected during the adolescent interview. </w:t>
      </w:r>
      <w:r>
        <w:rPr>
          <w:sz w:val="24"/>
          <w:szCs w:val="24"/>
        </w:rPr>
        <w:t>We addressed these constraints by (i)</w:t>
      </w:r>
      <w:r w:rsidRPr="0071463F">
        <w:rPr>
          <w:sz w:val="24"/>
          <w:szCs w:val="24"/>
        </w:rPr>
        <w:t xml:space="preserve"> </w:t>
      </w:r>
      <w:r>
        <w:rPr>
          <w:sz w:val="24"/>
          <w:szCs w:val="24"/>
        </w:rPr>
        <w:t xml:space="preserve">using </w:t>
      </w:r>
      <w:r w:rsidRPr="0071463F">
        <w:rPr>
          <w:sz w:val="24"/>
          <w:szCs w:val="24"/>
        </w:rPr>
        <w:t xml:space="preserve">a categorical approach to measuring ADHD – to reduce </w:t>
      </w:r>
      <w:r>
        <w:rPr>
          <w:sz w:val="24"/>
          <w:szCs w:val="24"/>
        </w:rPr>
        <w:t xml:space="preserve">the impact of the different </w:t>
      </w:r>
      <w:r w:rsidRPr="0071463F">
        <w:rPr>
          <w:sz w:val="24"/>
          <w:szCs w:val="24"/>
        </w:rPr>
        <w:t>scaling properties o</w:t>
      </w:r>
      <w:r>
        <w:rPr>
          <w:sz w:val="24"/>
          <w:szCs w:val="24"/>
        </w:rPr>
        <w:t>f the two instruments on scores; (ii)</w:t>
      </w:r>
      <w:r w:rsidRPr="0071463F">
        <w:rPr>
          <w:sz w:val="24"/>
          <w:szCs w:val="24"/>
        </w:rPr>
        <w:t xml:space="preserve"> </w:t>
      </w:r>
      <w:r>
        <w:rPr>
          <w:sz w:val="24"/>
          <w:szCs w:val="24"/>
        </w:rPr>
        <w:t xml:space="preserve">restricting the young adult analysis to the same </w:t>
      </w:r>
      <w:r w:rsidRPr="0071463F">
        <w:rPr>
          <w:sz w:val="24"/>
          <w:szCs w:val="24"/>
        </w:rPr>
        <w:t xml:space="preserve">9 symptoms assessed in adolescence </w:t>
      </w:r>
      <w:r>
        <w:rPr>
          <w:sz w:val="24"/>
          <w:szCs w:val="24"/>
        </w:rPr>
        <w:t xml:space="preserve">and adjusting the </w:t>
      </w:r>
      <w:r w:rsidRPr="0071463F">
        <w:rPr>
          <w:sz w:val="24"/>
          <w:szCs w:val="24"/>
        </w:rPr>
        <w:t>di</w:t>
      </w:r>
      <w:r>
        <w:rPr>
          <w:sz w:val="24"/>
          <w:szCs w:val="24"/>
        </w:rPr>
        <w:t>agnostic thresholds accordingly; (iii)</w:t>
      </w:r>
      <w:r w:rsidRPr="0071463F">
        <w:rPr>
          <w:sz w:val="24"/>
          <w:szCs w:val="24"/>
        </w:rPr>
        <w:t xml:space="preserve"> </w:t>
      </w:r>
      <w:r>
        <w:rPr>
          <w:sz w:val="24"/>
          <w:szCs w:val="24"/>
        </w:rPr>
        <w:t>employing</w:t>
      </w:r>
      <w:r w:rsidRPr="0071463F">
        <w:rPr>
          <w:sz w:val="24"/>
          <w:szCs w:val="24"/>
        </w:rPr>
        <w:t xml:space="preserve"> the same DSM criteria at both ages </w:t>
      </w:r>
      <w:r>
        <w:rPr>
          <w:sz w:val="24"/>
          <w:szCs w:val="24"/>
        </w:rPr>
        <w:t xml:space="preserve">(i.e., </w:t>
      </w:r>
      <w:r w:rsidRPr="0071463F">
        <w:rPr>
          <w:sz w:val="24"/>
          <w:szCs w:val="24"/>
        </w:rPr>
        <w:t>not employ</w:t>
      </w:r>
      <w:r>
        <w:rPr>
          <w:sz w:val="24"/>
          <w:szCs w:val="24"/>
        </w:rPr>
        <w:t>ing the new DSM-5 adult criteria)</w:t>
      </w:r>
      <w:r w:rsidRPr="0071463F">
        <w:rPr>
          <w:sz w:val="24"/>
          <w:szCs w:val="24"/>
        </w:rPr>
        <w:t xml:space="preserve">. </w:t>
      </w:r>
      <w:r>
        <w:rPr>
          <w:sz w:val="24"/>
          <w:szCs w:val="24"/>
        </w:rPr>
        <w:t>This approach led to plausible estimates of ADHD rates in the low risk group</w:t>
      </w:r>
      <w:r w:rsidRPr="0071463F">
        <w:rPr>
          <w:sz w:val="24"/>
          <w:szCs w:val="24"/>
        </w:rPr>
        <w:t xml:space="preserve">. </w:t>
      </w:r>
      <w:r>
        <w:rPr>
          <w:sz w:val="24"/>
          <w:szCs w:val="24"/>
        </w:rPr>
        <w:t>While we were initially concerned that use of questionnaires in the young adult sample would inflate rates, in fact the rates in the low risk group were lower in the young adult assessment than in the adolescent assessment. A</w:t>
      </w:r>
      <w:r w:rsidRPr="0071463F">
        <w:rPr>
          <w:sz w:val="24"/>
          <w:szCs w:val="24"/>
        </w:rPr>
        <w:t xml:space="preserve"> second limitation concerned the level of attrition </w:t>
      </w:r>
      <w:r>
        <w:rPr>
          <w:sz w:val="24"/>
          <w:szCs w:val="24"/>
        </w:rPr>
        <w:t>at the young adult assessment</w:t>
      </w:r>
      <w:r w:rsidR="00320067">
        <w:rPr>
          <w:sz w:val="24"/>
          <w:szCs w:val="24"/>
        </w:rPr>
        <w:t>,</w:t>
      </w:r>
      <w:r>
        <w:rPr>
          <w:sz w:val="24"/>
          <w:szCs w:val="24"/>
        </w:rPr>
        <w:t xml:space="preserve"> which was much higher than the </w:t>
      </w:r>
      <w:r w:rsidRPr="0071463F">
        <w:rPr>
          <w:sz w:val="24"/>
          <w:szCs w:val="24"/>
        </w:rPr>
        <w:t xml:space="preserve">very </w:t>
      </w:r>
      <w:r>
        <w:rPr>
          <w:sz w:val="24"/>
          <w:szCs w:val="24"/>
        </w:rPr>
        <w:t>l</w:t>
      </w:r>
      <w:r w:rsidRPr="0071463F">
        <w:rPr>
          <w:sz w:val="24"/>
          <w:szCs w:val="24"/>
        </w:rPr>
        <w:t>ow rates previous</w:t>
      </w:r>
      <w:r>
        <w:rPr>
          <w:sz w:val="24"/>
          <w:szCs w:val="24"/>
        </w:rPr>
        <w:t>ly seen in the study</w:t>
      </w:r>
      <w:r w:rsidRPr="0071463F">
        <w:rPr>
          <w:sz w:val="24"/>
          <w:szCs w:val="24"/>
        </w:rPr>
        <w:t>. This although not surprising given the age range of the young adults limited the statistical power of the analysis especially in the comparison of ADHD and</w:t>
      </w:r>
      <w:r>
        <w:rPr>
          <w:sz w:val="24"/>
          <w:szCs w:val="24"/>
        </w:rPr>
        <w:t xml:space="preserve"> non-ADHD sub-groups. Crucially, </w:t>
      </w:r>
      <w:r w:rsidRPr="0071463F">
        <w:rPr>
          <w:sz w:val="24"/>
          <w:szCs w:val="24"/>
        </w:rPr>
        <w:t>however</w:t>
      </w:r>
      <w:r>
        <w:rPr>
          <w:sz w:val="24"/>
          <w:szCs w:val="24"/>
        </w:rPr>
        <w:t>,</w:t>
      </w:r>
      <w:r w:rsidRPr="0071463F">
        <w:rPr>
          <w:sz w:val="24"/>
          <w:szCs w:val="24"/>
        </w:rPr>
        <w:t xml:space="preserve"> </w:t>
      </w:r>
      <w:r>
        <w:rPr>
          <w:sz w:val="24"/>
          <w:szCs w:val="24"/>
        </w:rPr>
        <w:t>attrition was not</w:t>
      </w:r>
      <w:r w:rsidRPr="0071463F">
        <w:rPr>
          <w:sz w:val="24"/>
          <w:szCs w:val="24"/>
        </w:rPr>
        <w:t xml:space="preserve"> selective</w:t>
      </w:r>
      <w:r>
        <w:rPr>
          <w:sz w:val="24"/>
          <w:szCs w:val="24"/>
        </w:rPr>
        <w:t>,</w:t>
      </w:r>
      <w:r w:rsidRPr="0071463F">
        <w:rPr>
          <w:sz w:val="24"/>
          <w:szCs w:val="24"/>
        </w:rPr>
        <w:t xml:space="preserve"> with those retained and those lost to the study differing little on key measures. </w:t>
      </w:r>
    </w:p>
    <w:p w14:paraId="2D2AAE3A" w14:textId="6CC17F9A" w:rsidR="00BD25B0" w:rsidRDefault="00BD25B0" w:rsidP="008040C2">
      <w:pPr>
        <w:spacing w:line="480" w:lineRule="auto"/>
        <w:ind w:firstLine="720"/>
        <w:rPr>
          <w:sz w:val="24"/>
          <w:szCs w:val="24"/>
        </w:rPr>
      </w:pPr>
      <w:r w:rsidRPr="0071463F">
        <w:rPr>
          <w:sz w:val="24"/>
          <w:szCs w:val="24"/>
        </w:rPr>
        <w:lastRenderedPageBreak/>
        <w:t xml:space="preserve">In summary, </w:t>
      </w:r>
      <w:r>
        <w:rPr>
          <w:sz w:val="24"/>
          <w:szCs w:val="24"/>
        </w:rPr>
        <w:t xml:space="preserve">the current study provides the first evidence of the hyper-persistence of a distinctively complex and impairing institutional deprivation-related form of ADHD </w:t>
      </w:r>
      <w:r w:rsidR="008040C2">
        <w:rPr>
          <w:sz w:val="24"/>
          <w:szCs w:val="24"/>
        </w:rPr>
        <w:t>into adulthood</w:t>
      </w:r>
      <w:r>
        <w:rPr>
          <w:sz w:val="24"/>
          <w:szCs w:val="24"/>
        </w:rPr>
        <w:t xml:space="preserve">. This highlights the powerful impact of early experience on later development in a way that implicates deep-seated neurobiological alterations. Clinical services need to be especially mindful of the need to ensure an effective transition from adolescent to young adult services in ADHD individuals exposed to early adversity. </w:t>
      </w:r>
    </w:p>
    <w:p w14:paraId="596AB0B9" w14:textId="77777777" w:rsidR="00BD25B0" w:rsidRDefault="00BD25B0">
      <w:pPr>
        <w:spacing w:after="0" w:line="240" w:lineRule="auto"/>
        <w:rPr>
          <w:rFonts w:cs="Arial"/>
          <w:sz w:val="24"/>
          <w:szCs w:val="24"/>
        </w:rPr>
      </w:pPr>
      <w:r>
        <w:rPr>
          <w:rFonts w:cs="Arial"/>
          <w:sz w:val="24"/>
          <w:szCs w:val="24"/>
        </w:rPr>
        <w:br w:type="page"/>
      </w:r>
    </w:p>
    <w:p w14:paraId="6D0A9840" w14:textId="77777777" w:rsidR="00BD25B0" w:rsidRDefault="00BD25B0">
      <w:pPr>
        <w:spacing w:after="0" w:line="240" w:lineRule="auto"/>
        <w:rPr>
          <w:sz w:val="24"/>
          <w:szCs w:val="24"/>
        </w:rPr>
      </w:pPr>
      <w:r>
        <w:rPr>
          <w:sz w:val="24"/>
          <w:szCs w:val="24"/>
        </w:rPr>
        <w:lastRenderedPageBreak/>
        <w:t>References</w:t>
      </w:r>
    </w:p>
    <w:p w14:paraId="4A7FB06F" w14:textId="77777777" w:rsidR="00BD25B0" w:rsidRDefault="00BD25B0">
      <w:pPr>
        <w:spacing w:after="0" w:line="240" w:lineRule="auto"/>
        <w:rPr>
          <w:sz w:val="24"/>
          <w:szCs w:val="24"/>
        </w:rPr>
      </w:pPr>
    </w:p>
    <w:p w14:paraId="1FA05C6E"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Ahuja, A., Martin, J., Langley, K., &amp; Thapar, A. (2013). Intellectual disability in children with </w:t>
      </w:r>
      <w:proofErr w:type="gramStart"/>
      <w:r>
        <w:rPr>
          <w:sz w:val="24"/>
          <w:szCs w:val="24"/>
        </w:rPr>
        <w:t>attention deficit hyperactivity disorder</w:t>
      </w:r>
      <w:proofErr w:type="gramEnd"/>
      <w:r>
        <w:rPr>
          <w:sz w:val="24"/>
          <w:szCs w:val="24"/>
        </w:rPr>
        <w:t xml:space="preserve">. </w:t>
      </w:r>
      <w:r>
        <w:rPr>
          <w:i/>
          <w:iCs/>
          <w:sz w:val="24"/>
          <w:szCs w:val="24"/>
        </w:rPr>
        <w:t xml:space="preserve">The Journal of </w:t>
      </w:r>
      <w:proofErr w:type="spellStart"/>
      <w:r>
        <w:rPr>
          <w:i/>
          <w:iCs/>
          <w:sz w:val="24"/>
          <w:szCs w:val="24"/>
        </w:rPr>
        <w:t>pediatrics</w:t>
      </w:r>
      <w:proofErr w:type="spellEnd"/>
      <w:r>
        <w:rPr>
          <w:i/>
          <w:iCs/>
          <w:sz w:val="24"/>
          <w:szCs w:val="24"/>
        </w:rPr>
        <w:t>, 163</w:t>
      </w:r>
      <w:r>
        <w:rPr>
          <w:sz w:val="24"/>
          <w:szCs w:val="24"/>
        </w:rPr>
        <w:t>(3), 890-895. e891.</w:t>
      </w:r>
    </w:p>
    <w:p w14:paraId="6531FE18" w14:textId="3CE93CA4" w:rsidR="0060005F" w:rsidRPr="0060005F" w:rsidRDefault="0060005F" w:rsidP="0060005F">
      <w:pPr>
        <w:spacing w:after="0" w:line="480" w:lineRule="auto"/>
        <w:ind w:left="720" w:hanging="720"/>
        <w:rPr>
          <w:rFonts w:asciiTheme="minorHAnsi" w:eastAsia="Times New Roman" w:hAnsiTheme="minorHAnsi" w:cs="Arial"/>
          <w:color w:val="222222"/>
          <w:sz w:val="24"/>
          <w:szCs w:val="20"/>
          <w:lang w:eastAsia="en-GB"/>
        </w:rPr>
      </w:pPr>
      <w:r w:rsidRPr="0060005F">
        <w:rPr>
          <w:rFonts w:asciiTheme="minorHAnsi" w:eastAsia="Times New Roman" w:hAnsiTheme="minorHAnsi" w:cs="Arial"/>
          <w:color w:val="222222"/>
          <w:sz w:val="24"/>
          <w:szCs w:val="20"/>
          <w:lang w:eastAsia="en-GB"/>
        </w:rPr>
        <w:t xml:space="preserve">American Psychiatric Association. (2006). </w:t>
      </w:r>
      <w:r w:rsidRPr="0060005F">
        <w:rPr>
          <w:rFonts w:asciiTheme="minorHAnsi" w:eastAsia="Times New Roman" w:hAnsiTheme="minorHAnsi" w:cs="Arial"/>
          <w:i/>
          <w:iCs/>
          <w:color w:val="222222"/>
          <w:sz w:val="24"/>
          <w:szCs w:val="20"/>
          <w:lang w:eastAsia="en-GB"/>
        </w:rPr>
        <w:t>American Psychiatric Association Practice Guidelines for the treatment of psychiatric disorders: compendium 2006</w:t>
      </w:r>
      <w:r w:rsidRPr="0060005F">
        <w:rPr>
          <w:rFonts w:asciiTheme="minorHAnsi" w:eastAsia="Times New Roman" w:hAnsiTheme="minorHAnsi" w:cs="Arial"/>
          <w:color w:val="222222"/>
          <w:sz w:val="24"/>
          <w:szCs w:val="20"/>
          <w:lang w:eastAsia="en-GB"/>
        </w:rPr>
        <w:t>. American Psychiatric Pub.</w:t>
      </w:r>
    </w:p>
    <w:p w14:paraId="21F3F4A7" w14:textId="01A2C53A" w:rsidR="006724A9" w:rsidRDefault="006724A9" w:rsidP="006724A9">
      <w:pPr>
        <w:widowControl w:val="0"/>
        <w:autoSpaceDE w:val="0"/>
        <w:autoSpaceDN w:val="0"/>
        <w:adjustRightInd w:val="0"/>
        <w:spacing w:after="0" w:line="480" w:lineRule="auto"/>
        <w:ind w:left="720" w:hanging="720"/>
        <w:rPr>
          <w:sz w:val="24"/>
          <w:szCs w:val="24"/>
        </w:rPr>
      </w:pPr>
      <w:r w:rsidRPr="006724A9">
        <w:rPr>
          <w:sz w:val="24"/>
          <w:szCs w:val="24"/>
        </w:rPr>
        <w:t>American Psychiatric Association. (2013). Diagnostic and statistical man</w:t>
      </w:r>
      <w:r>
        <w:rPr>
          <w:sz w:val="24"/>
          <w:szCs w:val="24"/>
        </w:rPr>
        <w:t xml:space="preserve">ual of mental disorders (5th </w:t>
      </w:r>
      <w:proofErr w:type="spellStart"/>
      <w:proofErr w:type="gramStart"/>
      <w:r>
        <w:rPr>
          <w:sz w:val="24"/>
          <w:szCs w:val="24"/>
        </w:rPr>
        <w:t>ed</w:t>
      </w:r>
      <w:proofErr w:type="spellEnd"/>
      <w:proofErr w:type="gramEnd"/>
      <w:r w:rsidRPr="006724A9">
        <w:rPr>
          <w:sz w:val="24"/>
          <w:szCs w:val="24"/>
        </w:rPr>
        <w:t>). Washington, DC: Author.</w:t>
      </w:r>
    </w:p>
    <w:p w14:paraId="6606B416" w14:textId="77777777" w:rsidR="00BD25B0" w:rsidRDefault="00BD25B0" w:rsidP="00F42F4F">
      <w:pPr>
        <w:widowControl w:val="0"/>
        <w:autoSpaceDE w:val="0"/>
        <w:autoSpaceDN w:val="0"/>
        <w:adjustRightInd w:val="0"/>
        <w:spacing w:after="0" w:line="480" w:lineRule="auto"/>
        <w:ind w:left="720" w:hanging="720"/>
        <w:rPr>
          <w:sz w:val="24"/>
          <w:szCs w:val="24"/>
        </w:rPr>
      </w:pPr>
      <w:proofErr w:type="spellStart"/>
      <w:r>
        <w:rPr>
          <w:sz w:val="24"/>
          <w:szCs w:val="24"/>
        </w:rPr>
        <w:t>Angold</w:t>
      </w:r>
      <w:proofErr w:type="spellEnd"/>
      <w:r>
        <w:rPr>
          <w:sz w:val="24"/>
          <w:szCs w:val="24"/>
        </w:rPr>
        <w:t xml:space="preserve">, A., &amp; Costello, E. J. (2000). The child and adolescent psychiatric assessment (CAPA). </w:t>
      </w:r>
      <w:r>
        <w:rPr>
          <w:i/>
          <w:iCs/>
          <w:sz w:val="24"/>
          <w:szCs w:val="24"/>
        </w:rPr>
        <w:t>Journal of the American Academy of Child &amp; Adolescent Psychiatry, 39</w:t>
      </w:r>
      <w:r>
        <w:rPr>
          <w:sz w:val="24"/>
          <w:szCs w:val="24"/>
        </w:rPr>
        <w:t>(1), 39-48.</w:t>
      </w:r>
    </w:p>
    <w:p w14:paraId="2A379ED0"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Arnett, A. B., Pennington, B. F., Willcutt, E. G., </w:t>
      </w:r>
      <w:proofErr w:type="spellStart"/>
      <w:proofErr w:type="gramStart"/>
      <w:r>
        <w:rPr>
          <w:sz w:val="24"/>
          <w:szCs w:val="24"/>
        </w:rPr>
        <w:t>DeFries</w:t>
      </w:r>
      <w:proofErr w:type="spellEnd"/>
      <w:r>
        <w:rPr>
          <w:sz w:val="24"/>
          <w:szCs w:val="24"/>
        </w:rPr>
        <w:t>,</w:t>
      </w:r>
      <w:proofErr w:type="gramEnd"/>
      <w:r>
        <w:rPr>
          <w:sz w:val="24"/>
          <w:szCs w:val="24"/>
        </w:rPr>
        <w:t xml:space="preserve"> J. C., &amp; Olson, R. K. (2015). Sex differences in ADHD symptom severity. </w:t>
      </w:r>
      <w:r>
        <w:rPr>
          <w:i/>
          <w:iCs/>
          <w:sz w:val="24"/>
          <w:szCs w:val="24"/>
        </w:rPr>
        <w:t>Journal of Child Psychology and Psychiatry, 56</w:t>
      </w:r>
      <w:r>
        <w:rPr>
          <w:sz w:val="24"/>
          <w:szCs w:val="24"/>
        </w:rPr>
        <w:t>(6), 632-639.</w:t>
      </w:r>
    </w:p>
    <w:p w14:paraId="32D45DD7"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Beckett, C., </w:t>
      </w:r>
      <w:proofErr w:type="spellStart"/>
      <w:r>
        <w:rPr>
          <w:sz w:val="24"/>
          <w:szCs w:val="24"/>
        </w:rPr>
        <w:t>Maughan</w:t>
      </w:r>
      <w:proofErr w:type="spellEnd"/>
      <w:r>
        <w:rPr>
          <w:sz w:val="24"/>
          <w:szCs w:val="24"/>
        </w:rPr>
        <w:t xml:space="preserve">, B., Rutter, M., Castle, J., </w:t>
      </w:r>
      <w:proofErr w:type="spellStart"/>
      <w:r>
        <w:rPr>
          <w:sz w:val="24"/>
          <w:szCs w:val="24"/>
        </w:rPr>
        <w:t>Colvert</w:t>
      </w:r>
      <w:proofErr w:type="spellEnd"/>
      <w:r>
        <w:rPr>
          <w:sz w:val="24"/>
          <w:szCs w:val="24"/>
        </w:rPr>
        <w:t xml:space="preserve">, E., </w:t>
      </w:r>
      <w:proofErr w:type="spellStart"/>
      <w:r>
        <w:rPr>
          <w:sz w:val="24"/>
          <w:szCs w:val="24"/>
        </w:rPr>
        <w:t>Groothues</w:t>
      </w:r>
      <w:proofErr w:type="spellEnd"/>
      <w:r>
        <w:rPr>
          <w:sz w:val="24"/>
          <w:szCs w:val="24"/>
        </w:rPr>
        <w:t xml:space="preserve">, C., et al. (2006). Do the effects of early severe deprivation on cognition persist into early adolescence? Findings from the English and Romanian adoptees study. </w:t>
      </w:r>
      <w:r>
        <w:rPr>
          <w:i/>
          <w:iCs/>
          <w:sz w:val="24"/>
          <w:szCs w:val="24"/>
        </w:rPr>
        <w:t>Child development, 77</w:t>
      </w:r>
      <w:r>
        <w:rPr>
          <w:sz w:val="24"/>
          <w:szCs w:val="24"/>
        </w:rPr>
        <w:t>(3), 696-711.</w:t>
      </w:r>
    </w:p>
    <w:p w14:paraId="1820D780"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lang w:val="it-IT"/>
        </w:rPr>
        <w:t xml:space="preserve">Biederman, J., Kwon, A., Aleardi, M., Chouinard, V. A., Marino, T., Cole, H., et al. </w:t>
      </w:r>
      <w:r>
        <w:rPr>
          <w:sz w:val="24"/>
          <w:szCs w:val="24"/>
        </w:rPr>
        <w:t xml:space="preserve">(2014). Absence of gender effects on attention deficit hyperactivity disorder: findings in </w:t>
      </w:r>
      <w:proofErr w:type="spellStart"/>
      <w:r>
        <w:rPr>
          <w:sz w:val="24"/>
          <w:szCs w:val="24"/>
        </w:rPr>
        <w:t>nonreferred</w:t>
      </w:r>
      <w:proofErr w:type="spellEnd"/>
      <w:r>
        <w:rPr>
          <w:sz w:val="24"/>
          <w:szCs w:val="24"/>
        </w:rPr>
        <w:t xml:space="preserve"> subjects. </w:t>
      </w:r>
      <w:r>
        <w:rPr>
          <w:i/>
          <w:iCs/>
          <w:sz w:val="24"/>
          <w:szCs w:val="24"/>
        </w:rPr>
        <w:t>American Journal of Psychiatry</w:t>
      </w:r>
      <w:r>
        <w:rPr>
          <w:sz w:val="24"/>
          <w:szCs w:val="24"/>
        </w:rPr>
        <w:t>.</w:t>
      </w:r>
    </w:p>
    <w:p w14:paraId="3EF80D89"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Chandler, S., Charman, T., Baird, G., Simonoff, E., </w:t>
      </w:r>
      <w:proofErr w:type="spellStart"/>
      <w:r>
        <w:rPr>
          <w:sz w:val="24"/>
          <w:szCs w:val="24"/>
        </w:rPr>
        <w:t>Loucas</w:t>
      </w:r>
      <w:proofErr w:type="spellEnd"/>
      <w:r>
        <w:rPr>
          <w:sz w:val="24"/>
          <w:szCs w:val="24"/>
        </w:rPr>
        <w:t xml:space="preserve">, T., Meldrum, D., et al. (2007). Validation of the social communication questionnaire in a population cohort of children with autism spectrum disorders. </w:t>
      </w:r>
      <w:r>
        <w:rPr>
          <w:i/>
          <w:iCs/>
          <w:sz w:val="24"/>
          <w:szCs w:val="24"/>
        </w:rPr>
        <w:t xml:space="preserve">Journal of the American Academy of Child </w:t>
      </w:r>
      <w:r>
        <w:rPr>
          <w:i/>
          <w:iCs/>
          <w:sz w:val="24"/>
          <w:szCs w:val="24"/>
        </w:rPr>
        <w:lastRenderedPageBreak/>
        <w:t>&amp; Adolescent Psychiatry, 46</w:t>
      </w:r>
      <w:r>
        <w:rPr>
          <w:sz w:val="24"/>
          <w:szCs w:val="24"/>
        </w:rPr>
        <w:t>(10), 1324-1332.</w:t>
      </w:r>
    </w:p>
    <w:p w14:paraId="2F9E2900" w14:textId="77777777" w:rsidR="00BD25B0" w:rsidRPr="002908B3" w:rsidRDefault="00BD25B0" w:rsidP="002908B3">
      <w:pPr>
        <w:spacing w:after="0" w:line="480" w:lineRule="auto"/>
        <w:ind w:left="720" w:hanging="720"/>
        <w:rPr>
          <w:color w:val="222222"/>
          <w:sz w:val="24"/>
          <w:szCs w:val="24"/>
          <w:lang w:eastAsia="en-GB"/>
        </w:rPr>
      </w:pPr>
      <w:r w:rsidRPr="002908B3">
        <w:rPr>
          <w:color w:val="222222"/>
          <w:sz w:val="24"/>
          <w:szCs w:val="24"/>
          <w:lang w:eastAsia="en-GB"/>
        </w:rPr>
        <w:t xml:space="preserve">Chowdhury, M. (2007). </w:t>
      </w:r>
      <w:r w:rsidRPr="002908B3">
        <w:rPr>
          <w:i/>
          <w:iCs/>
          <w:color w:val="222222"/>
          <w:sz w:val="24"/>
          <w:szCs w:val="24"/>
          <w:lang w:eastAsia="en-GB"/>
        </w:rPr>
        <w:t xml:space="preserve">Course of </w:t>
      </w:r>
      <w:proofErr w:type="spellStart"/>
      <w:r w:rsidRPr="002908B3">
        <w:rPr>
          <w:i/>
          <w:iCs/>
          <w:color w:val="222222"/>
          <w:sz w:val="24"/>
          <w:szCs w:val="24"/>
          <w:lang w:eastAsia="en-GB"/>
        </w:rPr>
        <w:t>Behavioral</w:t>
      </w:r>
      <w:proofErr w:type="spellEnd"/>
      <w:r w:rsidRPr="002908B3">
        <w:rPr>
          <w:i/>
          <w:iCs/>
          <w:color w:val="222222"/>
          <w:sz w:val="24"/>
          <w:szCs w:val="24"/>
          <w:lang w:eastAsia="en-GB"/>
        </w:rPr>
        <w:t xml:space="preserve"> Change in High-functioning Young Adults on the Autism Spectrum</w:t>
      </w:r>
      <w:r w:rsidRPr="002908B3">
        <w:rPr>
          <w:color w:val="222222"/>
          <w:sz w:val="24"/>
          <w:szCs w:val="24"/>
          <w:lang w:eastAsia="en-GB"/>
        </w:rPr>
        <w:t xml:space="preserve"> (Doctoral dissertation, The Ohio State University).</w:t>
      </w:r>
    </w:p>
    <w:p w14:paraId="6197B94B" w14:textId="77777777" w:rsidR="00BD25B0" w:rsidRDefault="00BD25B0" w:rsidP="00F42F4F">
      <w:pPr>
        <w:widowControl w:val="0"/>
        <w:autoSpaceDE w:val="0"/>
        <w:autoSpaceDN w:val="0"/>
        <w:adjustRightInd w:val="0"/>
        <w:spacing w:after="0" w:line="480" w:lineRule="auto"/>
        <w:ind w:left="720" w:hanging="720"/>
        <w:rPr>
          <w:sz w:val="24"/>
          <w:szCs w:val="24"/>
        </w:rPr>
      </w:pPr>
      <w:r w:rsidRPr="003356F6">
        <w:rPr>
          <w:sz w:val="24"/>
          <w:szCs w:val="24"/>
          <w:lang w:val="de-DE"/>
        </w:rPr>
        <w:t xml:space="preserve">Conners, C. K., Pitkanen, J., &amp; Rzepa, S. R. (2011). </w:t>
      </w:r>
      <w:proofErr w:type="spellStart"/>
      <w:proofErr w:type="gramStart"/>
      <w:r>
        <w:rPr>
          <w:i/>
          <w:iCs/>
          <w:sz w:val="24"/>
          <w:szCs w:val="24"/>
        </w:rPr>
        <w:t>Conners</w:t>
      </w:r>
      <w:proofErr w:type="spellEnd"/>
      <w:proofErr w:type="gramEnd"/>
      <w:r>
        <w:rPr>
          <w:i/>
          <w:iCs/>
          <w:sz w:val="24"/>
          <w:szCs w:val="24"/>
        </w:rPr>
        <w:t xml:space="preserve"> comprehensive </w:t>
      </w:r>
      <w:proofErr w:type="spellStart"/>
      <w:r>
        <w:rPr>
          <w:i/>
          <w:iCs/>
          <w:sz w:val="24"/>
          <w:szCs w:val="24"/>
        </w:rPr>
        <w:t>behavior</w:t>
      </w:r>
      <w:proofErr w:type="spellEnd"/>
      <w:r>
        <w:rPr>
          <w:i/>
          <w:iCs/>
          <w:sz w:val="24"/>
          <w:szCs w:val="24"/>
        </w:rPr>
        <w:t xml:space="preserve"> rating scale</w:t>
      </w:r>
      <w:r>
        <w:rPr>
          <w:sz w:val="24"/>
          <w:szCs w:val="24"/>
        </w:rPr>
        <w:t>: Springer.</w:t>
      </w:r>
    </w:p>
    <w:p w14:paraId="14AC595A"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lang w:val="de-DE"/>
        </w:rPr>
        <w:t xml:space="preserve">Diener, E., Emmons, R. A., Larsen, R. J., &amp; Griffin, S. (1985). </w:t>
      </w:r>
      <w:r>
        <w:rPr>
          <w:sz w:val="24"/>
          <w:szCs w:val="24"/>
        </w:rPr>
        <w:t xml:space="preserve">The satisfaction with life scale. </w:t>
      </w:r>
      <w:r>
        <w:rPr>
          <w:i/>
          <w:iCs/>
          <w:sz w:val="24"/>
          <w:szCs w:val="24"/>
        </w:rPr>
        <w:t>Journal of personality assessment, 49</w:t>
      </w:r>
      <w:r>
        <w:rPr>
          <w:sz w:val="24"/>
          <w:szCs w:val="24"/>
        </w:rPr>
        <w:t>(1), 71-75.</w:t>
      </w:r>
    </w:p>
    <w:p w14:paraId="32EC82C6"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Faraone, S. V., &amp; Biederman, J. (2005). What is the prevalence of adult ADHD? Results of a population screen of 966 adults. </w:t>
      </w:r>
      <w:r>
        <w:rPr>
          <w:i/>
          <w:iCs/>
          <w:sz w:val="24"/>
          <w:szCs w:val="24"/>
        </w:rPr>
        <w:t>Journal of Attention Disorders, 9</w:t>
      </w:r>
      <w:r>
        <w:rPr>
          <w:sz w:val="24"/>
          <w:szCs w:val="24"/>
        </w:rPr>
        <w:t>(2), 384-391.</w:t>
      </w:r>
    </w:p>
    <w:p w14:paraId="3661BECC"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lang w:val="de-DE"/>
        </w:rPr>
        <w:t xml:space="preserve">Faraone, S. V., Biederman, J., &amp; Mick, E. (2006). </w:t>
      </w:r>
      <w:r>
        <w:rPr>
          <w:sz w:val="24"/>
          <w:szCs w:val="24"/>
        </w:rPr>
        <w:t xml:space="preserve">The age-dependent decline of attention deficit hyperactivity disorder: a meta-analysis of follow-up studies. </w:t>
      </w:r>
      <w:r>
        <w:rPr>
          <w:i/>
          <w:iCs/>
          <w:sz w:val="24"/>
          <w:szCs w:val="24"/>
        </w:rPr>
        <w:t>Psychological medicine, 36</w:t>
      </w:r>
      <w:r>
        <w:rPr>
          <w:sz w:val="24"/>
          <w:szCs w:val="24"/>
        </w:rPr>
        <w:t>(02), 159-165.</w:t>
      </w:r>
    </w:p>
    <w:p w14:paraId="5EE15BEB" w14:textId="77777777" w:rsidR="00BD25B0" w:rsidRPr="008B63FD"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Frazier, T. W., </w:t>
      </w:r>
      <w:proofErr w:type="spellStart"/>
      <w:r>
        <w:rPr>
          <w:sz w:val="24"/>
          <w:szCs w:val="24"/>
        </w:rPr>
        <w:t>Demaree</w:t>
      </w:r>
      <w:proofErr w:type="spellEnd"/>
      <w:r>
        <w:rPr>
          <w:sz w:val="24"/>
          <w:szCs w:val="24"/>
        </w:rPr>
        <w:t xml:space="preserve">, H. A., &amp; </w:t>
      </w:r>
      <w:proofErr w:type="spellStart"/>
      <w:r>
        <w:rPr>
          <w:sz w:val="24"/>
          <w:szCs w:val="24"/>
        </w:rPr>
        <w:t>Youngstrom</w:t>
      </w:r>
      <w:proofErr w:type="spellEnd"/>
      <w:r>
        <w:rPr>
          <w:sz w:val="24"/>
          <w:szCs w:val="24"/>
        </w:rPr>
        <w:t xml:space="preserve">, E. A. (2004). Meta-analysis of intellectual and neuropsychological test performance in attention-deficit/hyperactivity disorder. </w:t>
      </w:r>
      <w:r w:rsidRPr="008B63FD">
        <w:rPr>
          <w:i/>
          <w:iCs/>
          <w:sz w:val="24"/>
          <w:szCs w:val="24"/>
        </w:rPr>
        <w:t>Neuropsychology, 18</w:t>
      </w:r>
      <w:r w:rsidRPr="008B63FD">
        <w:rPr>
          <w:sz w:val="24"/>
          <w:szCs w:val="24"/>
        </w:rPr>
        <w:t>(3), 543.</w:t>
      </w:r>
    </w:p>
    <w:p w14:paraId="06902EFA" w14:textId="77777777" w:rsidR="00BD25B0" w:rsidRDefault="00BD25B0" w:rsidP="00F42F4F">
      <w:pPr>
        <w:widowControl w:val="0"/>
        <w:autoSpaceDE w:val="0"/>
        <w:autoSpaceDN w:val="0"/>
        <w:adjustRightInd w:val="0"/>
        <w:spacing w:after="0" w:line="480" w:lineRule="auto"/>
        <w:ind w:left="720" w:hanging="720"/>
        <w:rPr>
          <w:sz w:val="24"/>
          <w:szCs w:val="24"/>
        </w:rPr>
      </w:pPr>
      <w:r w:rsidRPr="008B63FD">
        <w:rPr>
          <w:sz w:val="24"/>
          <w:szCs w:val="24"/>
        </w:rPr>
        <w:t xml:space="preserve">Garcia, C., </w:t>
      </w:r>
      <w:proofErr w:type="spellStart"/>
      <w:r w:rsidRPr="008B63FD">
        <w:rPr>
          <w:sz w:val="24"/>
          <w:szCs w:val="24"/>
        </w:rPr>
        <w:t>Bau</w:t>
      </w:r>
      <w:proofErr w:type="spellEnd"/>
      <w:r w:rsidRPr="008B63FD">
        <w:rPr>
          <w:sz w:val="24"/>
          <w:szCs w:val="24"/>
        </w:rPr>
        <w:t xml:space="preserve">, C., Silva, K., </w:t>
      </w:r>
      <w:proofErr w:type="spellStart"/>
      <w:r w:rsidRPr="008B63FD">
        <w:rPr>
          <w:sz w:val="24"/>
          <w:szCs w:val="24"/>
        </w:rPr>
        <w:t>Callegari</w:t>
      </w:r>
      <w:proofErr w:type="spellEnd"/>
      <w:r w:rsidRPr="008B63FD">
        <w:rPr>
          <w:sz w:val="24"/>
          <w:szCs w:val="24"/>
        </w:rPr>
        <w:t xml:space="preserve">-Jacques, S., Salgado, C., Fischer, A., et al. (2012). </w:t>
      </w:r>
      <w:r>
        <w:rPr>
          <w:sz w:val="24"/>
          <w:szCs w:val="24"/>
        </w:rPr>
        <w:t xml:space="preserve">The burdened life of adults with </w:t>
      </w:r>
      <w:proofErr w:type="gramStart"/>
      <w:r>
        <w:rPr>
          <w:sz w:val="24"/>
          <w:szCs w:val="24"/>
        </w:rPr>
        <w:t>ADHD:</w:t>
      </w:r>
      <w:proofErr w:type="gramEnd"/>
      <w:r>
        <w:rPr>
          <w:sz w:val="24"/>
          <w:szCs w:val="24"/>
        </w:rPr>
        <w:t xml:space="preserve"> impairment beyond comorbidity. </w:t>
      </w:r>
      <w:r>
        <w:rPr>
          <w:i/>
          <w:iCs/>
          <w:sz w:val="24"/>
          <w:szCs w:val="24"/>
        </w:rPr>
        <w:t>European Psychiatry, 27</w:t>
      </w:r>
      <w:r>
        <w:rPr>
          <w:sz w:val="24"/>
          <w:szCs w:val="24"/>
        </w:rPr>
        <w:t>(5), 309-313.</w:t>
      </w:r>
    </w:p>
    <w:p w14:paraId="6466CFCF"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Harold, G. T., Leve, L. D., Barrett, D., Elam, K., Neiderhiser, J. M., </w:t>
      </w:r>
      <w:proofErr w:type="spellStart"/>
      <w:r>
        <w:rPr>
          <w:sz w:val="24"/>
          <w:szCs w:val="24"/>
        </w:rPr>
        <w:t>Natsuaki</w:t>
      </w:r>
      <w:proofErr w:type="spellEnd"/>
      <w:r>
        <w:rPr>
          <w:sz w:val="24"/>
          <w:szCs w:val="24"/>
        </w:rPr>
        <w:t xml:space="preserve">, M. N., et al. (2013). Biological and rearing mother influences on child ADHD symptoms: revisiting the developmental interface between nature and nurture. </w:t>
      </w:r>
      <w:r>
        <w:rPr>
          <w:i/>
          <w:iCs/>
          <w:sz w:val="24"/>
          <w:szCs w:val="24"/>
        </w:rPr>
        <w:t>Journal of Child Psychology and Psychiatry, 54</w:t>
      </w:r>
      <w:r>
        <w:rPr>
          <w:sz w:val="24"/>
          <w:szCs w:val="24"/>
        </w:rPr>
        <w:t>(10), 1038-1046.</w:t>
      </w:r>
    </w:p>
    <w:p w14:paraId="573F31BB"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Jang, J., Matson, J. L., Williams, L. W., </w:t>
      </w:r>
      <w:proofErr w:type="spellStart"/>
      <w:r>
        <w:rPr>
          <w:sz w:val="24"/>
          <w:szCs w:val="24"/>
        </w:rPr>
        <w:t>Tureck</w:t>
      </w:r>
      <w:proofErr w:type="spellEnd"/>
      <w:r>
        <w:rPr>
          <w:sz w:val="24"/>
          <w:szCs w:val="24"/>
        </w:rPr>
        <w:t xml:space="preserve">, K., Goldin, R. L., &amp; Cervantes, P. E. (2013). Rates of comorbid symptoms in children with ASD, ADHD, and comorbid ASD and </w:t>
      </w:r>
      <w:r>
        <w:rPr>
          <w:sz w:val="24"/>
          <w:szCs w:val="24"/>
        </w:rPr>
        <w:lastRenderedPageBreak/>
        <w:t xml:space="preserve">ADHD. </w:t>
      </w:r>
      <w:r>
        <w:rPr>
          <w:i/>
          <w:iCs/>
          <w:sz w:val="24"/>
          <w:szCs w:val="24"/>
        </w:rPr>
        <w:t>Research in developmental disabilities, 34</w:t>
      </w:r>
      <w:r>
        <w:rPr>
          <w:sz w:val="24"/>
          <w:szCs w:val="24"/>
        </w:rPr>
        <w:t>(8), 2369-2378.</w:t>
      </w:r>
    </w:p>
    <w:p w14:paraId="2E63C49A" w14:textId="77777777" w:rsidR="00BD25B0" w:rsidRDefault="00BD25B0" w:rsidP="00717BC0">
      <w:pPr>
        <w:widowControl w:val="0"/>
        <w:autoSpaceDE w:val="0"/>
        <w:autoSpaceDN w:val="0"/>
        <w:adjustRightInd w:val="0"/>
        <w:spacing w:after="0" w:line="480" w:lineRule="auto"/>
        <w:ind w:left="720" w:hanging="720"/>
        <w:rPr>
          <w:sz w:val="24"/>
          <w:szCs w:val="24"/>
        </w:rPr>
      </w:pPr>
      <w:r>
        <w:rPr>
          <w:sz w:val="24"/>
          <w:szCs w:val="24"/>
        </w:rPr>
        <w:t xml:space="preserve">Kreppner, J., Kumsta, R., Rutter, M., Beckett, C., Castle, J., Stevens, S., et al. (2010). IV. Developmental course of deprivation-specific psychological patterns: early manifestations, persistence to age 15, and clinical features. </w:t>
      </w:r>
      <w:r>
        <w:rPr>
          <w:i/>
          <w:iCs/>
          <w:sz w:val="24"/>
          <w:szCs w:val="24"/>
        </w:rPr>
        <w:t>Monographs of the Society for Research in Child Development, 75</w:t>
      </w:r>
      <w:r>
        <w:rPr>
          <w:sz w:val="24"/>
          <w:szCs w:val="24"/>
        </w:rPr>
        <w:t>(1), 79-101.</w:t>
      </w:r>
    </w:p>
    <w:p w14:paraId="447A107A"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Kreppner, J. M., O'Connor, T. G., Rutter, M., English, &amp; Team, R. A. S. (2001). Can inattention/</w:t>
      </w:r>
      <w:proofErr w:type="spellStart"/>
      <w:r>
        <w:rPr>
          <w:sz w:val="24"/>
          <w:szCs w:val="24"/>
        </w:rPr>
        <w:t>overactivity</w:t>
      </w:r>
      <w:proofErr w:type="spellEnd"/>
      <w:r>
        <w:rPr>
          <w:sz w:val="24"/>
          <w:szCs w:val="24"/>
        </w:rPr>
        <w:t xml:space="preserve"> be an institutional deprivation syndrome? </w:t>
      </w:r>
      <w:r>
        <w:rPr>
          <w:i/>
          <w:iCs/>
          <w:sz w:val="24"/>
          <w:szCs w:val="24"/>
        </w:rPr>
        <w:t>Journal of abnormal child psychology, 29</w:t>
      </w:r>
      <w:r>
        <w:rPr>
          <w:sz w:val="24"/>
          <w:szCs w:val="24"/>
        </w:rPr>
        <w:t>(6), 513-528.</w:t>
      </w:r>
    </w:p>
    <w:p w14:paraId="19D6EB91"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Kumsta, R., Kreppner, J., Rutter, M., Beckett, C., Castle, J., Stevens, S., et al. (2010). III. Deprivation‐specific psychological patterns. </w:t>
      </w:r>
      <w:r>
        <w:rPr>
          <w:i/>
          <w:iCs/>
          <w:sz w:val="24"/>
          <w:szCs w:val="24"/>
        </w:rPr>
        <w:t>Monographs of the Society for Research in Child Development, 75</w:t>
      </w:r>
      <w:r>
        <w:rPr>
          <w:sz w:val="24"/>
          <w:szCs w:val="24"/>
        </w:rPr>
        <w:t>(1), 48-78.</w:t>
      </w:r>
    </w:p>
    <w:p w14:paraId="6517EBF2" w14:textId="77777777" w:rsidR="00BD25B0" w:rsidRDefault="00BD25B0" w:rsidP="00F42F4F">
      <w:pPr>
        <w:widowControl w:val="0"/>
        <w:autoSpaceDE w:val="0"/>
        <w:autoSpaceDN w:val="0"/>
        <w:adjustRightInd w:val="0"/>
        <w:spacing w:after="0" w:line="480" w:lineRule="auto"/>
        <w:ind w:left="720" w:hanging="720"/>
        <w:rPr>
          <w:sz w:val="24"/>
          <w:szCs w:val="24"/>
        </w:rPr>
      </w:pPr>
      <w:r w:rsidRPr="008B3BA3">
        <w:rPr>
          <w:sz w:val="24"/>
          <w:szCs w:val="24"/>
          <w:lang w:val="de-DE"/>
        </w:rPr>
        <w:t xml:space="preserve">Larsson, H., Chang, Z., D'Onofrio, B. M., &amp; Lichtenstein, P. (2014). </w:t>
      </w:r>
      <w:r>
        <w:rPr>
          <w:sz w:val="24"/>
          <w:szCs w:val="24"/>
        </w:rPr>
        <w:t xml:space="preserve">The heritability of clinically diagnosed </w:t>
      </w:r>
      <w:proofErr w:type="gramStart"/>
      <w:r>
        <w:rPr>
          <w:sz w:val="24"/>
          <w:szCs w:val="24"/>
        </w:rPr>
        <w:t>attention deficit hyperactivity disorder</w:t>
      </w:r>
      <w:proofErr w:type="gramEnd"/>
      <w:r>
        <w:rPr>
          <w:sz w:val="24"/>
          <w:szCs w:val="24"/>
        </w:rPr>
        <w:t xml:space="preserve"> across the lifespan. </w:t>
      </w:r>
      <w:r>
        <w:rPr>
          <w:i/>
          <w:iCs/>
          <w:sz w:val="24"/>
          <w:szCs w:val="24"/>
        </w:rPr>
        <w:t>Psychological medicine, 44</w:t>
      </w:r>
      <w:r>
        <w:rPr>
          <w:sz w:val="24"/>
          <w:szCs w:val="24"/>
        </w:rPr>
        <w:t>(10), 2223-2229.</w:t>
      </w:r>
    </w:p>
    <w:p w14:paraId="61C38DAF"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Larsson, H., </w:t>
      </w:r>
      <w:proofErr w:type="spellStart"/>
      <w:r>
        <w:rPr>
          <w:sz w:val="24"/>
          <w:szCs w:val="24"/>
        </w:rPr>
        <w:t>Sariaslan</w:t>
      </w:r>
      <w:proofErr w:type="spellEnd"/>
      <w:r>
        <w:rPr>
          <w:sz w:val="24"/>
          <w:szCs w:val="24"/>
        </w:rPr>
        <w:t xml:space="preserve">, A., </w:t>
      </w:r>
      <w:proofErr w:type="spellStart"/>
      <w:r>
        <w:rPr>
          <w:sz w:val="24"/>
          <w:szCs w:val="24"/>
        </w:rPr>
        <w:t>Långström</w:t>
      </w:r>
      <w:proofErr w:type="spellEnd"/>
      <w:r>
        <w:rPr>
          <w:sz w:val="24"/>
          <w:szCs w:val="24"/>
        </w:rPr>
        <w:t xml:space="preserve">, N., </w:t>
      </w:r>
      <w:proofErr w:type="spellStart"/>
      <w:r>
        <w:rPr>
          <w:sz w:val="24"/>
          <w:szCs w:val="24"/>
        </w:rPr>
        <w:t>D'Onofrio</w:t>
      </w:r>
      <w:proofErr w:type="spellEnd"/>
      <w:r>
        <w:rPr>
          <w:sz w:val="24"/>
          <w:szCs w:val="24"/>
        </w:rPr>
        <w:t xml:space="preserve">, B., &amp; Lichtenstein, P. (2014). Family income in early childhood and subsequent attention deficit/hyperactivity disorder: a quasi‐experimental study. </w:t>
      </w:r>
      <w:r>
        <w:rPr>
          <w:i/>
          <w:iCs/>
          <w:sz w:val="24"/>
          <w:szCs w:val="24"/>
        </w:rPr>
        <w:t>Journal of Child Psychology and Psychiatry, 55</w:t>
      </w:r>
      <w:r>
        <w:rPr>
          <w:sz w:val="24"/>
          <w:szCs w:val="24"/>
        </w:rPr>
        <w:t>(5), 428-435.</w:t>
      </w:r>
    </w:p>
    <w:p w14:paraId="261F6C8F"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Loman, M. M., Johnson, A. E., </w:t>
      </w:r>
      <w:proofErr w:type="spellStart"/>
      <w:r>
        <w:rPr>
          <w:sz w:val="24"/>
          <w:szCs w:val="24"/>
        </w:rPr>
        <w:t>Westerlund</w:t>
      </w:r>
      <w:proofErr w:type="spellEnd"/>
      <w:r>
        <w:rPr>
          <w:sz w:val="24"/>
          <w:szCs w:val="24"/>
        </w:rPr>
        <w:t xml:space="preserve">, A., Pollak, S. D., Nelson, C. A., &amp; Gunnar, M. R. (2013). The effect of early deprivation on executive attention in middle childhood. </w:t>
      </w:r>
      <w:r>
        <w:rPr>
          <w:i/>
          <w:iCs/>
          <w:sz w:val="24"/>
          <w:szCs w:val="24"/>
        </w:rPr>
        <w:t>Journal of Child Psychology and Psychiatry, 54</w:t>
      </w:r>
      <w:r>
        <w:rPr>
          <w:sz w:val="24"/>
          <w:szCs w:val="24"/>
        </w:rPr>
        <w:t>(1), 37-45.</w:t>
      </w:r>
    </w:p>
    <w:p w14:paraId="1E9478B4" w14:textId="77777777" w:rsidR="00BD25B0" w:rsidRDefault="00BD25B0" w:rsidP="00F42F4F">
      <w:pPr>
        <w:widowControl w:val="0"/>
        <w:autoSpaceDE w:val="0"/>
        <w:autoSpaceDN w:val="0"/>
        <w:adjustRightInd w:val="0"/>
        <w:spacing w:after="0" w:line="480" w:lineRule="auto"/>
        <w:ind w:left="720" w:hanging="720"/>
        <w:rPr>
          <w:sz w:val="24"/>
          <w:szCs w:val="24"/>
        </w:rPr>
      </w:pPr>
      <w:r w:rsidRPr="00FF5F44">
        <w:rPr>
          <w:sz w:val="24"/>
          <w:szCs w:val="24"/>
        </w:rPr>
        <w:t xml:space="preserve">Marshal, M. P., Molina, B. S., &amp; Pelham Jr, W. E. (2003). </w:t>
      </w:r>
      <w:r>
        <w:rPr>
          <w:sz w:val="24"/>
          <w:szCs w:val="24"/>
        </w:rPr>
        <w:t xml:space="preserve">Childhood ADHD and adolescent substance use: an examination of deviant peer group affiliation as a risk factor. </w:t>
      </w:r>
      <w:r>
        <w:rPr>
          <w:i/>
          <w:iCs/>
          <w:sz w:val="24"/>
          <w:szCs w:val="24"/>
        </w:rPr>
        <w:t xml:space="preserve">Psychology of Addictive </w:t>
      </w:r>
      <w:proofErr w:type="spellStart"/>
      <w:r>
        <w:rPr>
          <w:i/>
          <w:iCs/>
          <w:sz w:val="24"/>
          <w:szCs w:val="24"/>
        </w:rPr>
        <w:t>Behaviors</w:t>
      </w:r>
      <w:proofErr w:type="spellEnd"/>
      <w:r>
        <w:rPr>
          <w:i/>
          <w:iCs/>
          <w:sz w:val="24"/>
          <w:szCs w:val="24"/>
        </w:rPr>
        <w:t>, 17</w:t>
      </w:r>
      <w:r>
        <w:rPr>
          <w:sz w:val="24"/>
          <w:szCs w:val="24"/>
        </w:rPr>
        <w:t>(4), 293.</w:t>
      </w:r>
    </w:p>
    <w:p w14:paraId="40E74132"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Matte, B., </w:t>
      </w:r>
      <w:proofErr w:type="spellStart"/>
      <w:r>
        <w:rPr>
          <w:sz w:val="24"/>
          <w:szCs w:val="24"/>
        </w:rPr>
        <w:t>Anselmi</w:t>
      </w:r>
      <w:proofErr w:type="spellEnd"/>
      <w:r>
        <w:rPr>
          <w:sz w:val="24"/>
          <w:szCs w:val="24"/>
        </w:rPr>
        <w:t xml:space="preserve">, L., Salum, G., </w:t>
      </w:r>
      <w:proofErr w:type="spellStart"/>
      <w:r>
        <w:rPr>
          <w:sz w:val="24"/>
          <w:szCs w:val="24"/>
        </w:rPr>
        <w:t>Kieling</w:t>
      </w:r>
      <w:proofErr w:type="spellEnd"/>
      <w:r>
        <w:rPr>
          <w:sz w:val="24"/>
          <w:szCs w:val="24"/>
        </w:rPr>
        <w:t xml:space="preserve">, C., </w:t>
      </w:r>
      <w:proofErr w:type="spellStart"/>
      <w:r>
        <w:rPr>
          <w:sz w:val="24"/>
          <w:szCs w:val="24"/>
        </w:rPr>
        <w:t>Gonçalves</w:t>
      </w:r>
      <w:proofErr w:type="spellEnd"/>
      <w:r>
        <w:rPr>
          <w:sz w:val="24"/>
          <w:szCs w:val="24"/>
        </w:rPr>
        <w:t xml:space="preserve">, H., Menezes, A., et al. (2015). ADHD </w:t>
      </w:r>
      <w:r>
        <w:rPr>
          <w:sz w:val="24"/>
          <w:szCs w:val="24"/>
        </w:rPr>
        <w:lastRenderedPageBreak/>
        <w:t xml:space="preserve">in DSM-5: a field trial in a large, representative sample of 18-to 19-year-old adults. </w:t>
      </w:r>
      <w:r>
        <w:rPr>
          <w:i/>
          <w:iCs/>
          <w:sz w:val="24"/>
          <w:szCs w:val="24"/>
        </w:rPr>
        <w:t>Psychological medicine, 45</w:t>
      </w:r>
      <w:r>
        <w:rPr>
          <w:sz w:val="24"/>
          <w:szCs w:val="24"/>
        </w:rPr>
        <w:t>(02), 361-373.</w:t>
      </w:r>
    </w:p>
    <w:p w14:paraId="02BCF0A9"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McLaughlin, K. A., Fox, N. A., Zeanah, C. H., Sheridan, M. A., Marshall, P., &amp; Nelson, C. A. (2010). Delayed maturation in brain electrical activity partially explains the association between early environmental deprivation and symptoms of attention-deficit/hyperactivity disorder. </w:t>
      </w:r>
      <w:r>
        <w:rPr>
          <w:i/>
          <w:iCs/>
          <w:sz w:val="24"/>
          <w:szCs w:val="24"/>
        </w:rPr>
        <w:t>Biological psychiatry, 68</w:t>
      </w:r>
      <w:r>
        <w:rPr>
          <w:sz w:val="24"/>
          <w:szCs w:val="24"/>
        </w:rPr>
        <w:t>(4), 329-336.</w:t>
      </w:r>
    </w:p>
    <w:p w14:paraId="2569408A" w14:textId="77777777" w:rsidR="00BD25B0" w:rsidRDefault="00BD25B0" w:rsidP="00F42F4F">
      <w:pPr>
        <w:widowControl w:val="0"/>
        <w:autoSpaceDE w:val="0"/>
        <w:autoSpaceDN w:val="0"/>
        <w:adjustRightInd w:val="0"/>
        <w:spacing w:after="0" w:line="480" w:lineRule="auto"/>
        <w:ind w:left="720" w:hanging="720"/>
        <w:rPr>
          <w:sz w:val="24"/>
          <w:szCs w:val="24"/>
          <w:lang w:val="de-DE"/>
        </w:rPr>
      </w:pPr>
      <w:r>
        <w:rPr>
          <w:sz w:val="24"/>
          <w:szCs w:val="24"/>
        </w:rPr>
        <w:t xml:space="preserve">McLaughlin, K. A., Sheridan, M. A., Winter, W., Fox, N. A., Zeanah, C. H., &amp; Nelson, C. A. (2014). Widespread reductions in cortical thickness following severe early-life deprivation: a neurodevelopmental pathway to attention-deficit/hyperactivity disorder. </w:t>
      </w:r>
      <w:r>
        <w:rPr>
          <w:i/>
          <w:iCs/>
          <w:sz w:val="24"/>
          <w:szCs w:val="24"/>
          <w:lang w:val="de-DE"/>
        </w:rPr>
        <w:t>Biological psychiatry, 76</w:t>
      </w:r>
      <w:r>
        <w:rPr>
          <w:sz w:val="24"/>
          <w:szCs w:val="24"/>
          <w:lang w:val="de-DE"/>
        </w:rPr>
        <w:t>(8), 629-638.</w:t>
      </w:r>
    </w:p>
    <w:p w14:paraId="51DDAA01"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lang w:val="de-DE"/>
        </w:rPr>
        <w:t xml:space="preserve">McMillen, J. C., Zima, B. T., Scott, L. D., Auslander, W. F., Munson, M. R., Ollie, M.T., et al. </w:t>
      </w:r>
      <w:r>
        <w:rPr>
          <w:sz w:val="24"/>
          <w:szCs w:val="24"/>
        </w:rPr>
        <w:t xml:space="preserve">(2005). Prevalence of psychiatric disorders among older youths in the foster care system. </w:t>
      </w:r>
      <w:r>
        <w:rPr>
          <w:i/>
          <w:iCs/>
          <w:sz w:val="24"/>
          <w:szCs w:val="24"/>
        </w:rPr>
        <w:t>Journal of the American Academy of Child &amp; Adolescent Psychiatry, 44</w:t>
      </w:r>
      <w:r>
        <w:rPr>
          <w:sz w:val="24"/>
          <w:szCs w:val="24"/>
        </w:rPr>
        <w:t>(1), 88-95.</w:t>
      </w:r>
    </w:p>
    <w:p w14:paraId="3FCFB7DD" w14:textId="77777777" w:rsidR="00BD25B0" w:rsidRDefault="00BD25B0" w:rsidP="00F42F4F">
      <w:pPr>
        <w:widowControl w:val="0"/>
        <w:autoSpaceDE w:val="0"/>
        <w:autoSpaceDN w:val="0"/>
        <w:adjustRightInd w:val="0"/>
        <w:spacing w:after="0" w:line="480" w:lineRule="auto"/>
        <w:ind w:left="720" w:hanging="720"/>
        <w:rPr>
          <w:sz w:val="24"/>
          <w:szCs w:val="24"/>
        </w:rPr>
      </w:pPr>
      <w:proofErr w:type="spellStart"/>
      <w:r>
        <w:rPr>
          <w:sz w:val="24"/>
          <w:szCs w:val="24"/>
        </w:rPr>
        <w:t>Merz</w:t>
      </w:r>
      <w:proofErr w:type="spellEnd"/>
      <w:r>
        <w:rPr>
          <w:sz w:val="24"/>
          <w:szCs w:val="24"/>
        </w:rPr>
        <w:t xml:space="preserve">, E. C., &amp; McCall, R. B. (2010). </w:t>
      </w:r>
      <w:proofErr w:type="spellStart"/>
      <w:r>
        <w:rPr>
          <w:sz w:val="24"/>
          <w:szCs w:val="24"/>
        </w:rPr>
        <w:t>Behavior</w:t>
      </w:r>
      <w:proofErr w:type="spellEnd"/>
      <w:r>
        <w:rPr>
          <w:sz w:val="24"/>
          <w:szCs w:val="24"/>
        </w:rPr>
        <w:t xml:space="preserve"> problems in children adopted from psychosocially depriving institutions. </w:t>
      </w:r>
      <w:r>
        <w:rPr>
          <w:i/>
          <w:iCs/>
          <w:sz w:val="24"/>
          <w:szCs w:val="24"/>
        </w:rPr>
        <w:t>Journal of abnormal child psychology, 38</w:t>
      </w:r>
      <w:r>
        <w:rPr>
          <w:sz w:val="24"/>
          <w:szCs w:val="24"/>
        </w:rPr>
        <w:t>(4), 459-470.</w:t>
      </w:r>
    </w:p>
    <w:p w14:paraId="1ECD6869" w14:textId="77777777" w:rsidR="00BD25B0" w:rsidRPr="004D384D" w:rsidRDefault="00BD25B0" w:rsidP="004D384D">
      <w:pPr>
        <w:widowControl w:val="0"/>
        <w:autoSpaceDE w:val="0"/>
        <w:autoSpaceDN w:val="0"/>
        <w:adjustRightInd w:val="0"/>
        <w:spacing w:after="0" w:line="480" w:lineRule="auto"/>
        <w:ind w:left="720" w:hanging="720"/>
        <w:rPr>
          <w:rFonts w:cs="Arial"/>
          <w:sz w:val="24"/>
          <w:szCs w:val="24"/>
        </w:rPr>
      </w:pPr>
      <w:r w:rsidRPr="00E261B5">
        <w:rPr>
          <w:sz w:val="24"/>
          <w:szCs w:val="24"/>
        </w:rPr>
        <w:t xml:space="preserve">Nelson, C. A., </w:t>
      </w:r>
      <w:proofErr w:type="spellStart"/>
      <w:r w:rsidRPr="00E261B5">
        <w:rPr>
          <w:sz w:val="24"/>
          <w:szCs w:val="24"/>
        </w:rPr>
        <w:t>Bos</w:t>
      </w:r>
      <w:proofErr w:type="spellEnd"/>
      <w:r w:rsidRPr="00E261B5">
        <w:rPr>
          <w:sz w:val="24"/>
          <w:szCs w:val="24"/>
        </w:rPr>
        <w:t xml:space="preserve">, K., Gunnar, M. R., &amp; Sonuga‐Barke, E. J. (2011). V. The neurobiological toll of early human deprivation. </w:t>
      </w:r>
      <w:r w:rsidRPr="00E261B5">
        <w:rPr>
          <w:i/>
          <w:iCs/>
          <w:sz w:val="24"/>
          <w:szCs w:val="24"/>
        </w:rPr>
        <w:t>Monographs of the Society for Research in Child Development, 76</w:t>
      </w:r>
      <w:r w:rsidRPr="00E261B5">
        <w:rPr>
          <w:sz w:val="24"/>
          <w:szCs w:val="24"/>
        </w:rPr>
        <w:t>(4), 127-146.</w:t>
      </w:r>
    </w:p>
    <w:p w14:paraId="492B56CA" w14:textId="77777777" w:rsidR="00BD25B0" w:rsidRDefault="00BD25B0" w:rsidP="00603CCD">
      <w:pPr>
        <w:widowControl w:val="0"/>
        <w:autoSpaceDE w:val="0"/>
        <w:autoSpaceDN w:val="0"/>
        <w:adjustRightInd w:val="0"/>
        <w:spacing w:after="0" w:line="480" w:lineRule="auto"/>
        <w:ind w:left="720" w:hanging="720"/>
        <w:rPr>
          <w:sz w:val="24"/>
          <w:szCs w:val="24"/>
        </w:rPr>
      </w:pPr>
      <w:r>
        <w:rPr>
          <w:sz w:val="24"/>
          <w:szCs w:val="24"/>
        </w:rPr>
        <w:t>Nigg, J. T., &amp; Craver, L. (2014). Commentary: ADHD and social disadvantage: an inconvenient truth?–a reflection on Russell et al</w:t>
      </w:r>
      <w:proofErr w:type="gramStart"/>
      <w:r>
        <w:rPr>
          <w:sz w:val="24"/>
          <w:szCs w:val="24"/>
        </w:rPr>
        <w:t>.(</w:t>
      </w:r>
      <w:proofErr w:type="gramEnd"/>
      <w:r>
        <w:rPr>
          <w:sz w:val="24"/>
          <w:szCs w:val="24"/>
        </w:rPr>
        <w:t xml:space="preserve">2014) and Larsson et al.(2014). </w:t>
      </w:r>
      <w:r>
        <w:rPr>
          <w:i/>
          <w:iCs/>
          <w:sz w:val="24"/>
          <w:szCs w:val="24"/>
        </w:rPr>
        <w:t>Journal of Child Psychology and Psychiatry, 55</w:t>
      </w:r>
      <w:r>
        <w:rPr>
          <w:sz w:val="24"/>
          <w:szCs w:val="24"/>
        </w:rPr>
        <w:t>(5), 446-447.</w:t>
      </w:r>
    </w:p>
    <w:p w14:paraId="1EAD6AA3" w14:textId="77777777" w:rsidR="00BD25B0" w:rsidRDefault="00BD25B0" w:rsidP="00F42F4F">
      <w:pPr>
        <w:widowControl w:val="0"/>
        <w:autoSpaceDE w:val="0"/>
        <w:autoSpaceDN w:val="0"/>
        <w:adjustRightInd w:val="0"/>
        <w:spacing w:after="0" w:line="480" w:lineRule="auto"/>
        <w:ind w:left="720" w:hanging="720"/>
        <w:rPr>
          <w:sz w:val="24"/>
          <w:szCs w:val="24"/>
        </w:rPr>
      </w:pPr>
      <w:proofErr w:type="spellStart"/>
      <w:r w:rsidRPr="00FF5F44">
        <w:rPr>
          <w:sz w:val="24"/>
          <w:szCs w:val="24"/>
        </w:rPr>
        <w:t>Obel</w:t>
      </w:r>
      <w:proofErr w:type="spellEnd"/>
      <w:r w:rsidRPr="00FF5F44">
        <w:rPr>
          <w:sz w:val="24"/>
          <w:szCs w:val="24"/>
        </w:rPr>
        <w:t xml:space="preserve">, C., Zhu, J. L., Olsen, J., Breining, S., Li, J., </w:t>
      </w:r>
      <w:proofErr w:type="spellStart"/>
      <w:r w:rsidRPr="00FF5F44">
        <w:rPr>
          <w:sz w:val="24"/>
          <w:szCs w:val="24"/>
        </w:rPr>
        <w:t>Grønborg</w:t>
      </w:r>
      <w:proofErr w:type="spellEnd"/>
      <w:r w:rsidRPr="00FF5F44">
        <w:rPr>
          <w:sz w:val="24"/>
          <w:szCs w:val="24"/>
        </w:rPr>
        <w:t xml:space="preserve">, T. K., et al. </w:t>
      </w:r>
      <w:r>
        <w:rPr>
          <w:sz w:val="24"/>
          <w:szCs w:val="24"/>
        </w:rPr>
        <w:t xml:space="preserve">(2015). The risk of </w:t>
      </w:r>
      <w:r>
        <w:rPr>
          <w:sz w:val="24"/>
          <w:szCs w:val="24"/>
        </w:rPr>
        <w:lastRenderedPageBreak/>
        <w:t xml:space="preserve">attention deficit hyperactivity disorder in children exposed to maternal smoking during pregnancy–a </w:t>
      </w:r>
      <w:proofErr w:type="spellStart"/>
      <w:r>
        <w:rPr>
          <w:sz w:val="24"/>
          <w:szCs w:val="24"/>
        </w:rPr>
        <w:t>reexamination</w:t>
      </w:r>
      <w:proofErr w:type="spellEnd"/>
      <w:r>
        <w:rPr>
          <w:sz w:val="24"/>
          <w:szCs w:val="24"/>
        </w:rPr>
        <w:t xml:space="preserve"> using a sibling design. </w:t>
      </w:r>
      <w:r>
        <w:rPr>
          <w:i/>
          <w:iCs/>
          <w:sz w:val="24"/>
          <w:szCs w:val="24"/>
        </w:rPr>
        <w:t>Journal of Child Psychology and Psychiatry</w:t>
      </w:r>
      <w:r>
        <w:rPr>
          <w:sz w:val="24"/>
          <w:szCs w:val="24"/>
        </w:rPr>
        <w:t>.</w:t>
      </w:r>
    </w:p>
    <w:p w14:paraId="7DE0AE3A"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O'Connor, T. G., Rutter, M., Beckett, C., </w:t>
      </w:r>
      <w:proofErr w:type="spellStart"/>
      <w:r>
        <w:rPr>
          <w:sz w:val="24"/>
          <w:szCs w:val="24"/>
        </w:rPr>
        <w:t>Keaveney</w:t>
      </w:r>
      <w:proofErr w:type="spellEnd"/>
      <w:r>
        <w:rPr>
          <w:sz w:val="24"/>
          <w:szCs w:val="24"/>
        </w:rPr>
        <w:t xml:space="preserve">, L., Kreppner, J. M., English, et al. (2000). The effects of global severe privation on cognitive competence: Extension and longitudinal follow-up. </w:t>
      </w:r>
      <w:r>
        <w:rPr>
          <w:i/>
          <w:iCs/>
          <w:sz w:val="24"/>
          <w:szCs w:val="24"/>
        </w:rPr>
        <w:t>Child development</w:t>
      </w:r>
      <w:r>
        <w:rPr>
          <w:sz w:val="24"/>
          <w:szCs w:val="24"/>
        </w:rPr>
        <w:t>, 376-390.</w:t>
      </w:r>
    </w:p>
    <w:p w14:paraId="2F88DE0F" w14:textId="77777777" w:rsidR="00BD25B0" w:rsidRDefault="00BD25B0" w:rsidP="00F42F4F">
      <w:pPr>
        <w:widowControl w:val="0"/>
        <w:autoSpaceDE w:val="0"/>
        <w:autoSpaceDN w:val="0"/>
        <w:adjustRightInd w:val="0"/>
        <w:spacing w:after="0" w:line="480" w:lineRule="auto"/>
        <w:ind w:left="720" w:hanging="720"/>
        <w:rPr>
          <w:sz w:val="24"/>
          <w:szCs w:val="24"/>
        </w:rPr>
      </w:pPr>
      <w:proofErr w:type="spellStart"/>
      <w:r>
        <w:rPr>
          <w:sz w:val="24"/>
          <w:szCs w:val="24"/>
        </w:rPr>
        <w:t>Pettersson</w:t>
      </w:r>
      <w:proofErr w:type="spellEnd"/>
      <w:r>
        <w:rPr>
          <w:sz w:val="24"/>
          <w:szCs w:val="24"/>
        </w:rPr>
        <w:t xml:space="preserve">, E., </w:t>
      </w:r>
      <w:proofErr w:type="spellStart"/>
      <w:r>
        <w:rPr>
          <w:sz w:val="24"/>
          <w:szCs w:val="24"/>
        </w:rPr>
        <w:t>Sjölander</w:t>
      </w:r>
      <w:proofErr w:type="spellEnd"/>
      <w:r>
        <w:rPr>
          <w:sz w:val="24"/>
          <w:szCs w:val="24"/>
        </w:rPr>
        <w:t xml:space="preserve">, A., Almqvist, C., </w:t>
      </w:r>
      <w:proofErr w:type="spellStart"/>
      <w:r>
        <w:rPr>
          <w:sz w:val="24"/>
          <w:szCs w:val="24"/>
        </w:rPr>
        <w:t>Anckarsäter</w:t>
      </w:r>
      <w:proofErr w:type="spellEnd"/>
      <w:r>
        <w:rPr>
          <w:sz w:val="24"/>
          <w:szCs w:val="24"/>
        </w:rPr>
        <w:t xml:space="preserve">, H., </w:t>
      </w:r>
      <w:proofErr w:type="spellStart"/>
      <w:r>
        <w:rPr>
          <w:sz w:val="24"/>
          <w:szCs w:val="24"/>
        </w:rPr>
        <w:t>D'Onofrio</w:t>
      </w:r>
      <w:proofErr w:type="spellEnd"/>
      <w:r>
        <w:rPr>
          <w:sz w:val="24"/>
          <w:szCs w:val="24"/>
        </w:rPr>
        <w:t xml:space="preserve">, B. M., Lichtenstein, P., et al. (2015). Birth weight as an independent predictor of ADHD symptoms: a within‐twin pair analysis. </w:t>
      </w:r>
      <w:r>
        <w:rPr>
          <w:i/>
          <w:iCs/>
          <w:sz w:val="24"/>
          <w:szCs w:val="24"/>
        </w:rPr>
        <w:t>Journal of Child Psychology and Psychiatry, 56</w:t>
      </w:r>
      <w:r>
        <w:rPr>
          <w:sz w:val="24"/>
          <w:szCs w:val="24"/>
        </w:rPr>
        <w:t>(4), 453-459.</w:t>
      </w:r>
    </w:p>
    <w:p w14:paraId="30BBAA03" w14:textId="77777777" w:rsidR="00BD25B0" w:rsidRDefault="00BD25B0" w:rsidP="00F42F4F">
      <w:pPr>
        <w:widowControl w:val="0"/>
        <w:autoSpaceDE w:val="0"/>
        <w:autoSpaceDN w:val="0"/>
        <w:adjustRightInd w:val="0"/>
        <w:spacing w:after="0" w:line="480" w:lineRule="auto"/>
        <w:ind w:left="720" w:hanging="720"/>
        <w:rPr>
          <w:sz w:val="24"/>
          <w:szCs w:val="24"/>
        </w:rPr>
      </w:pPr>
      <w:proofErr w:type="spellStart"/>
      <w:r w:rsidRPr="00FF5F44">
        <w:rPr>
          <w:sz w:val="24"/>
          <w:szCs w:val="24"/>
        </w:rPr>
        <w:t>Plourde</w:t>
      </w:r>
      <w:proofErr w:type="spellEnd"/>
      <w:r w:rsidRPr="00FF5F44">
        <w:rPr>
          <w:sz w:val="24"/>
          <w:szCs w:val="24"/>
        </w:rPr>
        <w:t xml:space="preserve">, V., </w:t>
      </w:r>
      <w:proofErr w:type="spellStart"/>
      <w:r w:rsidRPr="00FF5F44">
        <w:rPr>
          <w:sz w:val="24"/>
          <w:szCs w:val="24"/>
        </w:rPr>
        <w:t>Boivin</w:t>
      </w:r>
      <w:proofErr w:type="spellEnd"/>
      <w:r w:rsidRPr="00FF5F44">
        <w:rPr>
          <w:sz w:val="24"/>
          <w:szCs w:val="24"/>
        </w:rPr>
        <w:t xml:space="preserve">, M., Forget‐Dubois, N., </w:t>
      </w:r>
      <w:proofErr w:type="spellStart"/>
      <w:r w:rsidRPr="00FF5F44">
        <w:rPr>
          <w:sz w:val="24"/>
          <w:szCs w:val="24"/>
        </w:rPr>
        <w:t>Brendgen</w:t>
      </w:r>
      <w:proofErr w:type="spellEnd"/>
      <w:r w:rsidRPr="00FF5F44">
        <w:rPr>
          <w:sz w:val="24"/>
          <w:szCs w:val="24"/>
        </w:rPr>
        <w:t xml:space="preserve">, M., </w:t>
      </w:r>
      <w:proofErr w:type="spellStart"/>
      <w:r w:rsidRPr="00FF5F44">
        <w:rPr>
          <w:sz w:val="24"/>
          <w:szCs w:val="24"/>
        </w:rPr>
        <w:t>Vitaro</w:t>
      </w:r>
      <w:proofErr w:type="spellEnd"/>
      <w:r w:rsidRPr="00FF5F44">
        <w:rPr>
          <w:sz w:val="24"/>
          <w:szCs w:val="24"/>
        </w:rPr>
        <w:t xml:space="preserve">, F., Marino, C., et al. </w:t>
      </w:r>
      <w:r>
        <w:rPr>
          <w:sz w:val="24"/>
          <w:szCs w:val="24"/>
        </w:rPr>
        <w:t xml:space="preserve">(2015). Phenotypic and genetic associations between reading comprehension, decoding skills, and ADHD dimensions: evidence from two population‐based studies. </w:t>
      </w:r>
      <w:r>
        <w:rPr>
          <w:i/>
          <w:iCs/>
          <w:sz w:val="24"/>
          <w:szCs w:val="24"/>
        </w:rPr>
        <w:t>Journal of Child Psychology and Psychiatry</w:t>
      </w:r>
      <w:r>
        <w:rPr>
          <w:sz w:val="24"/>
          <w:szCs w:val="24"/>
        </w:rPr>
        <w:t>.</w:t>
      </w:r>
    </w:p>
    <w:p w14:paraId="2A75F049"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Polanczyk, G. V., Salum, G. A., </w:t>
      </w:r>
      <w:proofErr w:type="spellStart"/>
      <w:r>
        <w:rPr>
          <w:sz w:val="24"/>
          <w:szCs w:val="24"/>
        </w:rPr>
        <w:t>Sugaya</w:t>
      </w:r>
      <w:proofErr w:type="spellEnd"/>
      <w:r>
        <w:rPr>
          <w:sz w:val="24"/>
          <w:szCs w:val="24"/>
        </w:rPr>
        <w:t xml:space="preserve">, L. S., </w:t>
      </w:r>
      <w:proofErr w:type="spellStart"/>
      <w:r>
        <w:rPr>
          <w:sz w:val="24"/>
          <w:szCs w:val="24"/>
        </w:rPr>
        <w:t>Caye</w:t>
      </w:r>
      <w:proofErr w:type="spellEnd"/>
      <w:r>
        <w:rPr>
          <w:sz w:val="24"/>
          <w:szCs w:val="24"/>
        </w:rPr>
        <w:t xml:space="preserve">, A., &amp; Rohde, L. A. (2015). Annual Research Review: A meta‐analysis of the worldwide prevalence of mental disorders in children and adolescents. </w:t>
      </w:r>
      <w:r>
        <w:rPr>
          <w:i/>
          <w:iCs/>
          <w:sz w:val="24"/>
          <w:szCs w:val="24"/>
        </w:rPr>
        <w:t>Journal of Child Psychology and Psychiatry, 56</w:t>
      </w:r>
      <w:r>
        <w:rPr>
          <w:sz w:val="24"/>
          <w:szCs w:val="24"/>
        </w:rPr>
        <w:t>(3), 345-365.</w:t>
      </w:r>
    </w:p>
    <w:p w14:paraId="098FE708"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Rasmussen, K., &amp; </w:t>
      </w:r>
      <w:proofErr w:type="spellStart"/>
      <w:r>
        <w:rPr>
          <w:sz w:val="24"/>
          <w:szCs w:val="24"/>
        </w:rPr>
        <w:t>Levander</w:t>
      </w:r>
      <w:proofErr w:type="spellEnd"/>
      <w:r>
        <w:rPr>
          <w:sz w:val="24"/>
          <w:szCs w:val="24"/>
        </w:rPr>
        <w:t xml:space="preserve">, S. (2009). Untreated ADHD in Adults Are There Sex Differences in Symptoms, Comorbidity, and Impairment? </w:t>
      </w:r>
      <w:r>
        <w:rPr>
          <w:i/>
          <w:iCs/>
          <w:sz w:val="24"/>
          <w:szCs w:val="24"/>
        </w:rPr>
        <w:t>Journal of Attention Disorders, 12</w:t>
      </w:r>
      <w:r>
        <w:rPr>
          <w:sz w:val="24"/>
          <w:szCs w:val="24"/>
        </w:rPr>
        <w:t>(4), 353-360.</w:t>
      </w:r>
    </w:p>
    <w:p w14:paraId="709ECE75"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Roy, P., Rutter, M., &amp; Pickles, A. (2004). Institutional care: Associations between </w:t>
      </w:r>
      <w:proofErr w:type="spellStart"/>
      <w:r>
        <w:rPr>
          <w:sz w:val="24"/>
          <w:szCs w:val="24"/>
        </w:rPr>
        <w:t>overactivity</w:t>
      </w:r>
      <w:proofErr w:type="spellEnd"/>
      <w:r>
        <w:rPr>
          <w:sz w:val="24"/>
          <w:szCs w:val="24"/>
        </w:rPr>
        <w:t xml:space="preserve"> and lack of selectivity in social relationships. </w:t>
      </w:r>
      <w:r>
        <w:rPr>
          <w:i/>
          <w:iCs/>
          <w:sz w:val="24"/>
          <w:szCs w:val="24"/>
        </w:rPr>
        <w:t>Journal of Child Psychology and Psychiatry, 45</w:t>
      </w:r>
      <w:r>
        <w:rPr>
          <w:sz w:val="24"/>
          <w:szCs w:val="24"/>
        </w:rPr>
        <w:t>(4), 866-873.</w:t>
      </w:r>
    </w:p>
    <w:p w14:paraId="17635352" w14:textId="77777777" w:rsidR="00BD25B0" w:rsidRDefault="00BD25B0" w:rsidP="00F42F4F">
      <w:pPr>
        <w:widowControl w:val="0"/>
        <w:autoSpaceDE w:val="0"/>
        <w:autoSpaceDN w:val="0"/>
        <w:adjustRightInd w:val="0"/>
        <w:spacing w:after="0" w:line="480" w:lineRule="auto"/>
        <w:ind w:left="720" w:hanging="720"/>
        <w:rPr>
          <w:sz w:val="24"/>
          <w:szCs w:val="24"/>
        </w:rPr>
      </w:pPr>
      <w:r w:rsidRPr="00717BC0">
        <w:rPr>
          <w:sz w:val="24"/>
          <w:szCs w:val="24"/>
        </w:rPr>
        <w:t xml:space="preserve">Rucker, J. J., McGuffin, P., Bale, T. L., </w:t>
      </w:r>
      <w:proofErr w:type="spellStart"/>
      <w:r w:rsidRPr="00717BC0">
        <w:rPr>
          <w:sz w:val="24"/>
          <w:szCs w:val="24"/>
        </w:rPr>
        <w:t>Baram</w:t>
      </w:r>
      <w:proofErr w:type="spellEnd"/>
      <w:r w:rsidRPr="00717BC0">
        <w:rPr>
          <w:sz w:val="24"/>
          <w:szCs w:val="24"/>
        </w:rPr>
        <w:t xml:space="preserve">, T. Z., Brown, A. S., Goldstein, J. M., et al. </w:t>
      </w:r>
      <w:r>
        <w:rPr>
          <w:sz w:val="24"/>
          <w:szCs w:val="24"/>
        </w:rPr>
        <w:t>Rare gene variants in neurodevelopmental disorders.</w:t>
      </w:r>
    </w:p>
    <w:p w14:paraId="58802B28" w14:textId="77777777" w:rsidR="00BD25B0" w:rsidRDefault="00BD25B0" w:rsidP="00DE5488">
      <w:pPr>
        <w:widowControl w:val="0"/>
        <w:autoSpaceDE w:val="0"/>
        <w:autoSpaceDN w:val="0"/>
        <w:adjustRightInd w:val="0"/>
        <w:spacing w:after="0" w:line="480" w:lineRule="auto"/>
        <w:ind w:left="720" w:hanging="720"/>
        <w:rPr>
          <w:sz w:val="24"/>
          <w:szCs w:val="24"/>
        </w:rPr>
      </w:pPr>
      <w:r w:rsidRPr="00DA087F">
        <w:rPr>
          <w:sz w:val="24"/>
          <w:szCs w:val="24"/>
        </w:rPr>
        <w:lastRenderedPageBreak/>
        <w:t xml:space="preserve">Russell, G., Ford, T., Rosenberg, R., &amp; Kelly, S. (2014). </w:t>
      </w:r>
      <w:r>
        <w:rPr>
          <w:sz w:val="24"/>
          <w:szCs w:val="24"/>
        </w:rPr>
        <w:t xml:space="preserve">The association of attention deficit hyperactivity disorder with socioeconomic disadvantage: alternative explanations and evidence. </w:t>
      </w:r>
      <w:r>
        <w:rPr>
          <w:i/>
          <w:iCs/>
          <w:sz w:val="24"/>
          <w:szCs w:val="24"/>
        </w:rPr>
        <w:t>Journal of Child Psychology and Psychiatry, 55</w:t>
      </w:r>
      <w:r>
        <w:rPr>
          <w:sz w:val="24"/>
          <w:szCs w:val="24"/>
        </w:rPr>
        <w:t>(5), 436-445.</w:t>
      </w:r>
    </w:p>
    <w:p w14:paraId="48048A7A" w14:textId="77777777" w:rsidR="00BD25B0" w:rsidRDefault="00BD25B0" w:rsidP="00DE5488">
      <w:pPr>
        <w:widowControl w:val="0"/>
        <w:autoSpaceDE w:val="0"/>
        <w:autoSpaceDN w:val="0"/>
        <w:adjustRightInd w:val="0"/>
        <w:spacing w:after="0" w:line="480" w:lineRule="auto"/>
        <w:ind w:left="720" w:hanging="720"/>
        <w:rPr>
          <w:rFonts w:cs="Arial"/>
          <w:sz w:val="24"/>
          <w:szCs w:val="24"/>
        </w:rPr>
      </w:pPr>
      <w:r w:rsidRPr="00DE5488">
        <w:rPr>
          <w:sz w:val="24"/>
          <w:szCs w:val="24"/>
        </w:rPr>
        <w:t>Rutt</w:t>
      </w:r>
      <w:r>
        <w:rPr>
          <w:sz w:val="24"/>
          <w:szCs w:val="24"/>
        </w:rPr>
        <w:t>er, M.</w:t>
      </w:r>
      <w:r w:rsidRPr="00DE5488">
        <w:rPr>
          <w:sz w:val="24"/>
          <w:szCs w:val="24"/>
        </w:rPr>
        <w:t xml:space="preserve"> </w:t>
      </w:r>
      <w:r>
        <w:rPr>
          <w:sz w:val="24"/>
          <w:szCs w:val="24"/>
        </w:rPr>
        <w:t xml:space="preserve">&amp; O'Connor, T. </w:t>
      </w:r>
      <w:r w:rsidRPr="00DE5488">
        <w:rPr>
          <w:sz w:val="24"/>
          <w:szCs w:val="24"/>
        </w:rPr>
        <w:t xml:space="preserve">G. </w:t>
      </w:r>
      <w:r>
        <w:rPr>
          <w:sz w:val="24"/>
          <w:szCs w:val="24"/>
        </w:rPr>
        <w:t xml:space="preserve">(2004). </w:t>
      </w:r>
      <w:r w:rsidRPr="00DE5488">
        <w:rPr>
          <w:sz w:val="24"/>
          <w:szCs w:val="24"/>
        </w:rPr>
        <w:t xml:space="preserve">Are There Biological Programming Effects for Psychological Development? Findings </w:t>
      </w:r>
      <w:proofErr w:type="gramStart"/>
      <w:r w:rsidRPr="00DE5488">
        <w:rPr>
          <w:sz w:val="24"/>
          <w:szCs w:val="24"/>
        </w:rPr>
        <w:t>From</w:t>
      </w:r>
      <w:proofErr w:type="gramEnd"/>
      <w:r w:rsidRPr="00DE5488">
        <w:rPr>
          <w:sz w:val="24"/>
          <w:szCs w:val="24"/>
        </w:rPr>
        <w:t xml:space="preserve"> a Study of Romanian Adoptees.</w:t>
      </w:r>
      <w:r>
        <w:rPr>
          <w:sz w:val="24"/>
          <w:szCs w:val="24"/>
        </w:rPr>
        <w:t xml:space="preserve"> </w:t>
      </w:r>
      <w:r w:rsidRPr="00DE5488">
        <w:rPr>
          <w:sz w:val="24"/>
          <w:szCs w:val="24"/>
        </w:rPr>
        <w:t>Developmental Psychology, Vol 40(1), Jan 2004, 81-94</w:t>
      </w:r>
    </w:p>
    <w:p w14:paraId="71414834"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Rutter, M. (1998). Developmental catch-up, and deficit, following adoption after severe global early privation. </w:t>
      </w:r>
      <w:r>
        <w:rPr>
          <w:i/>
          <w:iCs/>
          <w:sz w:val="24"/>
          <w:szCs w:val="24"/>
        </w:rPr>
        <w:t>Journal of Child Psychology and Psychiatry, 39</w:t>
      </w:r>
      <w:r>
        <w:rPr>
          <w:sz w:val="24"/>
          <w:szCs w:val="24"/>
        </w:rPr>
        <w:t>(04), 465-476.</w:t>
      </w:r>
    </w:p>
    <w:p w14:paraId="707BE395" w14:textId="77777777" w:rsidR="00BD25B0" w:rsidRPr="008B3BA3" w:rsidRDefault="00BD25B0" w:rsidP="00F42F4F">
      <w:pPr>
        <w:widowControl w:val="0"/>
        <w:autoSpaceDE w:val="0"/>
        <w:autoSpaceDN w:val="0"/>
        <w:adjustRightInd w:val="0"/>
        <w:spacing w:after="0" w:line="480" w:lineRule="auto"/>
        <w:ind w:left="720" w:hanging="720"/>
        <w:rPr>
          <w:rFonts w:cs="Arial"/>
          <w:sz w:val="24"/>
          <w:szCs w:val="24"/>
          <w:lang w:val="fr-FR"/>
        </w:rPr>
      </w:pPr>
      <w:r>
        <w:rPr>
          <w:sz w:val="24"/>
          <w:szCs w:val="24"/>
        </w:rPr>
        <w:t xml:space="preserve">Rutter, M., Bailey, A., &amp; Lord, C. (2003). </w:t>
      </w:r>
      <w:r w:rsidRPr="008B3BA3">
        <w:rPr>
          <w:i/>
          <w:iCs/>
          <w:sz w:val="24"/>
          <w:szCs w:val="24"/>
          <w:lang w:val="fr-FR"/>
        </w:rPr>
        <w:t xml:space="preserve">The social communication questionnaire: </w:t>
      </w:r>
      <w:proofErr w:type="spellStart"/>
      <w:r w:rsidRPr="008B3BA3">
        <w:rPr>
          <w:i/>
          <w:iCs/>
          <w:sz w:val="24"/>
          <w:szCs w:val="24"/>
          <w:lang w:val="fr-FR"/>
        </w:rPr>
        <w:t>Manual</w:t>
      </w:r>
      <w:proofErr w:type="spellEnd"/>
      <w:r w:rsidRPr="008B3BA3">
        <w:rPr>
          <w:sz w:val="24"/>
          <w:szCs w:val="24"/>
          <w:lang w:val="fr-FR"/>
        </w:rPr>
        <w:t xml:space="preserve">: Western </w:t>
      </w:r>
      <w:proofErr w:type="spellStart"/>
      <w:r w:rsidRPr="008B3BA3">
        <w:rPr>
          <w:sz w:val="24"/>
          <w:szCs w:val="24"/>
          <w:lang w:val="fr-FR"/>
        </w:rPr>
        <w:t>Psychological</w:t>
      </w:r>
      <w:proofErr w:type="spellEnd"/>
      <w:r w:rsidRPr="008B3BA3">
        <w:rPr>
          <w:sz w:val="24"/>
          <w:szCs w:val="24"/>
          <w:lang w:val="fr-FR"/>
        </w:rPr>
        <w:t xml:space="preserve"> Services.</w:t>
      </w:r>
    </w:p>
    <w:p w14:paraId="5BD6AC29"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Rutter, M., </w:t>
      </w:r>
      <w:proofErr w:type="spellStart"/>
      <w:r>
        <w:rPr>
          <w:sz w:val="24"/>
          <w:szCs w:val="24"/>
        </w:rPr>
        <w:t>Colvert</w:t>
      </w:r>
      <w:proofErr w:type="spellEnd"/>
      <w:r>
        <w:rPr>
          <w:sz w:val="24"/>
          <w:szCs w:val="24"/>
        </w:rPr>
        <w:t xml:space="preserve">, E., Kreppner, J., Beckett, C., Castle, J., </w:t>
      </w:r>
      <w:proofErr w:type="spellStart"/>
      <w:r>
        <w:rPr>
          <w:sz w:val="24"/>
          <w:szCs w:val="24"/>
        </w:rPr>
        <w:t>Groothues</w:t>
      </w:r>
      <w:proofErr w:type="spellEnd"/>
      <w:r>
        <w:rPr>
          <w:sz w:val="24"/>
          <w:szCs w:val="24"/>
        </w:rPr>
        <w:t xml:space="preserve">, C., et al. (2007). Early adolescent outcomes for institutionally‐deprived and non‐deprived adoptees. I: Disinhibited attachment. </w:t>
      </w:r>
      <w:r>
        <w:rPr>
          <w:i/>
          <w:iCs/>
          <w:sz w:val="24"/>
          <w:szCs w:val="24"/>
        </w:rPr>
        <w:t>Journal of Child Psychology and Psychiatry, 48</w:t>
      </w:r>
      <w:r>
        <w:rPr>
          <w:sz w:val="24"/>
          <w:szCs w:val="24"/>
        </w:rPr>
        <w:t>(1), 17-30.</w:t>
      </w:r>
    </w:p>
    <w:p w14:paraId="5597836D"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Rutter, M., Kreppner, J., Croft, C., </w:t>
      </w:r>
      <w:proofErr w:type="spellStart"/>
      <w:r>
        <w:rPr>
          <w:sz w:val="24"/>
          <w:szCs w:val="24"/>
        </w:rPr>
        <w:t>Murin</w:t>
      </w:r>
      <w:proofErr w:type="spellEnd"/>
      <w:r>
        <w:rPr>
          <w:sz w:val="24"/>
          <w:szCs w:val="24"/>
        </w:rPr>
        <w:t xml:space="preserve">, M., </w:t>
      </w:r>
      <w:proofErr w:type="spellStart"/>
      <w:r>
        <w:rPr>
          <w:sz w:val="24"/>
          <w:szCs w:val="24"/>
        </w:rPr>
        <w:t>Colvert</w:t>
      </w:r>
      <w:proofErr w:type="spellEnd"/>
      <w:r>
        <w:rPr>
          <w:sz w:val="24"/>
          <w:szCs w:val="24"/>
        </w:rPr>
        <w:t xml:space="preserve">, E., Beckett, C., et al. (2007). Early adolescent outcomes of institutionally deprived and non‐deprived adoptees. III. Quasi‐autism. </w:t>
      </w:r>
      <w:r>
        <w:rPr>
          <w:i/>
          <w:iCs/>
          <w:sz w:val="24"/>
          <w:szCs w:val="24"/>
        </w:rPr>
        <w:t>Journal of Child Psychology and Psychiatry, 48</w:t>
      </w:r>
      <w:r>
        <w:rPr>
          <w:sz w:val="24"/>
          <w:szCs w:val="24"/>
        </w:rPr>
        <w:t>(12), 1200-1207.</w:t>
      </w:r>
    </w:p>
    <w:p w14:paraId="3099C0F8"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Rutter, M., Sonuga‐Barke, E. J., &amp; Castle, J. (2010). I. Investigating the impact of early institutional deprivation on development: Background and research strategy of the English and Romanian Adoptees (ERA) study. </w:t>
      </w:r>
      <w:r>
        <w:rPr>
          <w:i/>
          <w:iCs/>
          <w:sz w:val="24"/>
          <w:szCs w:val="24"/>
        </w:rPr>
        <w:t>Monographs of the Society for Research in Child Development, 75</w:t>
      </w:r>
      <w:r>
        <w:rPr>
          <w:sz w:val="24"/>
          <w:szCs w:val="24"/>
        </w:rPr>
        <w:t>(1), 1-20.</w:t>
      </w:r>
    </w:p>
    <w:p w14:paraId="158CB1CE"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Rutter, M., Sonuga-Barke, E. J., Beckett, C., Castle, J., Kreppner, J., Kumsta, R., et al. (2010). Deprivation-Specific Psychological Patterns: Effects of Institutional Deprivation. </w:t>
      </w:r>
      <w:r>
        <w:rPr>
          <w:i/>
          <w:iCs/>
          <w:sz w:val="24"/>
          <w:szCs w:val="24"/>
        </w:rPr>
        <w:t>Monographs of the Society for Research in Child Development, 75</w:t>
      </w:r>
      <w:r>
        <w:rPr>
          <w:sz w:val="24"/>
          <w:szCs w:val="24"/>
        </w:rPr>
        <w:t>(1), 1-252.</w:t>
      </w:r>
    </w:p>
    <w:p w14:paraId="518DD8CB"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Scott, S., Sylva, K., </w:t>
      </w:r>
      <w:proofErr w:type="spellStart"/>
      <w:r>
        <w:rPr>
          <w:sz w:val="24"/>
          <w:szCs w:val="24"/>
        </w:rPr>
        <w:t>Doolan</w:t>
      </w:r>
      <w:proofErr w:type="spellEnd"/>
      <w:r>
        <w:rPr>
          <w:sz w:val="24"/>
          <w:szCs w:val="24"/>
        </w:rPr>
        <w:t xml:space="preserve">, M., Price, J., Jacobs, B., Crook, C., et al. (2010). Randomised </w:t>
      </w:r>
      <w:r>
        <w:rPr>
          <w:sz w:val="24"/>
          <w:szCs w:val="24"/>
        </w:rPr>
        <w:lastRenderedPageBreak/>
        <w:t xml:space="preserve">controlled trial of parent groups for child antisocial behaviour targeting multiple risk factors: the SPOKES project. </w:t>
      </w:r>
      <w:r>
        <w:rPr>
          <w:i/>
          <w:iCs/>
          <w:sz w:val="24"/>
          <w:szCs w:val="24"/>
        </w:rPr>
        <w:t>Journal of Child Psychology and Psychiatry, 51</w:t>
      </w:r>
      <w:r>
        <w:rPr>
          <w:sz w:val="24"/>
          <w:szCs w:val="24"/>
        </w:rPr>
        <w:t>(1), 48-57.</w:t>
      </w:r>
    </w:p>
    <w:p w14:paraId="49C2BCFC" w14:textId="77777777" w:rsidR="00BD25B0" w:rsidRDefault="00BD25B0" w:rsidP="00F42F4F">
      <w:pPr>
        <w:widowControl w:val="0"/>
        <w:autoSpaceDE w:val="0"/>
        <w:autoSpaceDN w:val="0"/>
        <w:adjustRightInd w:val="0"/>
        <w:spacing w:after="0" w:line="480" w:lineRule="auto"/>
        <w:ind w:left="720" w:hanging="720"/>
        <w:rPr>
          <w:sz w:val="24"/>
          <w:szCs w:val="24"/>
        </w:rPr>
      </w:pPr>
      <w:r w:rsidRPr="00FF5F44">
        <w:rPr>
          <w:sz w:val="24"/>
          <w:szCs w:val="24"/>
        </w:rPr>
        <w:t xml:space="preserve">Sonuga‐Barke, E., &amp; Rubia, K. (2008). </w:t>
      </w:r>
      <w:r>
        <w:rPr>
          <w:sz w:val="24"/>
          <w:szCs w:val="24"/>
        </w:rPr>
        <w:t xml:space="preserve">Inattentive/overactive children with histories of profound institutional deprivation compared with standard ADHD cases: a brief report. </w:t>
      </w:r>
      <w:r>
        <w:rPr>
          <w:i/>
          <w:iCs/>
          <w:sz w:val="24"/>
          <w:szCs w:val="24"/>
        </w:rPr>
        <w:t>Child: care, health and development, 34</w:t>
      </w:r>
      <w:r>
        <w:rPr>
          <w:sz w:val="24"/>
          <w:szCs w:val="24"/>
        </w:rPr>
        <w:t>(5), 596-602.</w:t>
      </w:r>
    </w:p>
    <w:p w14:paraId="4ED8F633"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Sonuga-Barke, E., &amp; Taylor, E. (2015). Disorders of attention &amp; activity </w:t>
      </w:r>
      <w:r>
        <w:rPr>
          <w:i/>
          <w:iCs/>
          <w:sz w:val="24"/>
          <w:szCs w:val="24"/>
        </w:rPr>
        <w:t>Rutter's Child and Adolescent Psychiatry</w:t>
      </w:r>
      <w:r>
        <w:rPr>
          <w:sz w:val="24"/>
          <w:szCs w:val="24"/>
        </w:rPr>
        <w:t xml:space="preserve">: </w:t>
      </w:r>
      <w:proofErr w:type="spellStart"/>
      <w:r>
        <w:rPr>
          <w:sz w:val="24"/>
          <w:szCs w:val="24"/>
        </w:rPr>
        <w:t>Blackwells</w:t>
      </w:r>
      <w:proofErr w:type="spellEnd"/>
      <w:r>
        <w:rPr>
          <w:sz w:val="24"/>
          <w:szCs w:val="24"/>
        </w:rPr>
        <w:t xml:space="preserve"> Oxford.</w:t>
      </w:r>
    </w:p>
    <w:p w14:paraId="7469D685" w14:textId="77777777" w:rsidR="00BD25B0" w:rsidRDefault="00BD25B0" w:rsidP="00F42F4F">
      <w:pPr>
        <w:widowControl w:val="0"/>
        <w:autoSpaceDE w:val="0"/>
        <w:autoSpaceDN w:val="0"/>
        <w:adjustRightInd w:val="0"/>
        <w:spacing w:after="0" w:line="480" w:lineRule="auto"/>
        <w:ind w:left="720" w:hanging="720"/>
        <w:rPr>
          <w:sz w:val="24"/>
          <w:szCs w:val="24"/>
        </w:rPr>
      </w:pPr>
      <w:r w:rsidRPr="008B3BA3">
        <w:rPr>
          <w:sz w:val="24"/>
          <w:szCs w:val="24"/>
          <w:lang w:val="de-DE"/>
        </w:rPr>
        <w:t>Stevens, S. E., Kumsta, R., Kreppner, J. M., Brookes, K. J., Rutter, M., &amp; Sonuga</w:t>
      </w:r>
      <w:r w:rsidRPr="008040C2">
        <w:rPr>
          <w:rFonts w:cs="SimSun" w:hint="eastAsia"/>
          <w:sz w:val="24"/>
          <w:szCs w:val="24"/>
          <w:lang w:val="de-DE"/>
        </w:rPr>
        <w:t>‐</w:t>
      </w:r>
      <w:r w:rsidRPr="008B3BA3">
        <w:rPr>
          <w:sz w:val="24"/>
          <w:szCs w:val="24"/>
          <w:lang w:val="de-DE"/>
        </w:rPr>
        <w:t xml:space="preserve">Barke, E. J. (2009). </w:t>
      </w:r>
      <w:r>
        <w:rPr>
          <w:sz w:val="24"/>
          <w:szCs w:val="24"/>
        </w:rPr>
        <w:t xml:space="preserve">Dopamine transporter gene polymorphism moderates the effects of severe deprivation on ADHD symptoms: developmental continuities in gene–environment interplay. </w:t>
      </w:r>
      <w:r>
        <w:rPr>
          <w:i/>
          <w:iCs/>
          <w:sz w:val="24"/>
          <w:szCs w:val="24"/>
        </w:rPr>
        <w:t>American Journal of Medical Genetics Part B: Neuropsychiatric Genetics, 150</w:t>
      </w:r>
      <w:r>
        <w:rPr>
          <w:sz w:val="24"/>
          <w:szCs w:val="24"/>
        </w:rPr>
        <w:t>(6), 753-761.</w:t>
      </w:r>
    </w:p>
    <w:p w14:paraId="1B579DE9"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Stevens, S. E., Sonuga-Barke, E. J., Kreppner, J. M., Beckett, C., Castle, J., </w:t>
      </w:r>
      <w:proofErr w:type="spellStart"/>
      <w:r>
        <w:rPr>
          <w:sz w:val="24"/>
          <w:szCs w:val="24"/>
        </w:rPr>
        <w:t>Colvert</w:t>
      </w:r>
      <w:proofErr w:type="spellEnd"/>
      <w:r>
        <w:rPr>
          <w:sz w:val="24"/>
          <w:szCs w:val="24"/>
        </w:rPr>
        <w:t>, E., et al. (2008). Inattention/</w:t>
      </w:r>
      <w:proofErr w:type="spellStart"/>
      <w:r>
        <w:rPr>
          <w:sz w:val="24"/>
          <w:szCs w:val="24"/>
        </w:rPr>
        <w:t>overactivity</w:t>
      </w:r>
      <w:proofErr w:type="spellEnd"/>
      <w:r>
        <w:rPr>
          <w:sz w:val="24"/>
          <w:szCs w:val="24"/>
        </w:rPr>
        <w:t xml:space="preserve"> following early severe institutional deprivation: presentation and associations in early adolescence. </w:t>
      </w:r>
      <w:r>
        <w:rPr>
          <w:i/>
          <w:iCs/>
          <w:sz w:val="24"/>
          <w:szCs w:val="24"/>
        </w:rPr>
        <w:t>Journal of abnormal child psychology, 36</w:t>
      </w:r>
      <w:r>
        <w:rPr>
          <w:sz w:val="24"/>
          <w:szCs w:val="24"/>
        </w:rPr>
        <w:t>(3), 385-398.</w:t>
      </w:r>
    </w:p>
    <w:p w14:paraId="0B51B536"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Thapar, A., Cooper, M., Eyre, O., &amp; Langley, K. (2013). Practitioner review: what have we learnt about the causes of ADHD? </w:t>
      </w:r>
      <w:r>
        <w:rPr>
          <w:i/>
          <w:iCs/>
          <w:sz w:val="24"/>
          <w:szCs w:val="24"/>
        </w:rPr>
        <w:t>Journal of Child Psychology and Psychiatry, 54</w:t>
      </w:r>
      <w:r>
        <w:rPr>
          <w:sz w:val="24"/>
          <w:szCs w:val="24"/>
        </w:rPr>
        <w:t>(1), 3-16.</w:t>
      </w:r>
    </w:p>
    <w:p w14:paraId="58A1899E" w14:textId="77777777" w:rsidR="00BD25B0" w:rsidRDefault="00BD25B0" w:rsidP="00603CCD">
      <w:pPr>
        <w:widowControl w:val="0"/>
        <w:autoSpaceDE w:val="0"/>
        <w:autoSpaceDN w:val="0"/>
        <w:adjustRightInd w:val="0"/>
        <w:spacing w:after="0" w:line="480" w:lineRule="auto"/>
        <w:ind w:left="720" w:hanging="720"/>
        <w:rPr>
          <w:sz w:val="24"/>
          <w:szCs w:val="24"/>
        </w:rPr>
      </w:pPr>
      <w:r>
        <w:rPr>
          <w:sz w:val="24"/>
          <w:szCs w:val="24"/>
        </w:rPr>
        <w:t xml:space="preserve">Thorell, L. B., </w:t>
      </w:r>
      <w:proofErr w:type="spellStart"/>
      <w:r>
        <w:rPr>
          <w:sz w:val="24"/>
          <w:szCs w:val="24"/>
        </w:rPr>
        <w:t>Rydell</w:t>
      </w:r>
      <w:proofErr w:type="spellEnd"/>
      <w:r>
        <w:rPr>
          <w:sz w:val="24"/>
          <w:szCs w:val="24"/>
        </w:rPr>
        <w:t xml:space="preserve">, A.M., &amp; </w:t>
      </w:r>
      <w:proofErr w:type="spellStart"/>
      <w:r>
        <w:rPr>
          <w:sz w:val="24"/>
          <w:szCs w:val="24"/>
        </w:rPr>
        <w:t>Bohlin</w:t>
      </w:r>
      <w:proofErr w:type="spellEnd"/>
      <w:r>
        <w:rPr>
          <w:sz w:val="24"/>
          <w:szCs w:val="24"/>
        </w:rPr>
        <w:t xml:space="preserve">, G. (2012). Parent–child attachment and executive functioning in relation to ADHD symptoms in middle childhood. </w:t>
      </w:r>
      <w:r>
        <w:rPr>
          <w:i/>
          <w:iCs/>
          <w:sz w:val="24"/>
          <w:szCs w:val="24"/>
        </w:rPr>
        <w:t>Attachment &amp; human development, 14</w:t>
      </w:r>
      <w:r>
        <w:rPr>
          <w:sz w:val="24"/>
          <w:szCs w:val="24"/>
        </w:rPr>
        <w:t>(5), 517-532.</w:t>
      </w:r>
    </w:p>
    <w:p w14:paraId="48296AA8" w14:textId="77777777" w:rsidR="00BD25B0" w:rsidRDefault="00BD25B0" w:rsidP="00F42F4F">
      <w:pPr>
        <w:widowControl w:val="0"/>
        <w:autoSpaceDE w:val="0"/>
        <w:autoSpaceDN w:val="0"/>
        <w:adjustRightInd w:val="0"/>
        <w:spacing w:after="0" w:line="480" w:lineRule="auto"/>
        <w:ind w:left="720" w:hanging="720"/>
        <w:rPr>
          <w:sz w:val="24"/>
          <w:szCs w:val="24"/>
        </w:rPr>
      </w:pPr>
      <w:proofErr w:type="gramStart"/>
      <w:r w:rsidRPr="00DF6365">
        <w:rPr>
          <w:sz w:val="24"/>
          <w:szCs w:val="24"/>
          <w:lang w:val="es-ES"/>
        </w:rPr>
        <w:t>van</w:t>
      </w:r>
      <w:proofErr w:type="gramEnd"/>
      <w:r w:rsidRPr="00DF6365">
        <w:rPr>
          <w:sz w:val="24"/>
          <w:szCs w:val="24"/>
          <w:lang w:val="es-ES"/>
        </w:rPr>
        <w:t xml:space="preserve"> </w:t>
      </w:r>
      <w:proofErr w:type="spellStart"/>
      <w:r w:rsidRPr="00DF6365">
        <w:rPr>
          <w:sz w:val="24"/>
          <w:szCs w:val="24"/>
          <w:lang w:val="es-ES"/>
        </w:rPr>
        <w:t>IJzendoorn</w:t>
      </w:r>
      <w:proofErr w:type="spellEnd"/>
      <w:r w:rsidRPr="00DF6365">
        <w:rPr>
          <w:sz w:val="24"/>
          <w:szCs w:val="24"/>
          <w:lang w:val="es-ES"/>
        </w:rPr>
        <w:t xml:space="preserve">, M. H., Palacios, J., Sonuga‐Barke, E. J., Gunnar, M. R., </w:t>
      </w:r>
      <w:proofErr w:type="spellStart"/>
      <w:r w:rsidRPr="00DF6365">
        <w:rPr>
          <w:sz w:val="24"/>
          <w:szCs w:val="24"/>
          <w:lang w:val="es-ES"/>
        </w:rPr>
        <w:t>Vorria</w:t>
      </w:r>
      <w:proofErr w:type="spellEnd"/>
      <w:r w:rsidRPr="00DF6365">
        <w:rPr>
          <w:sz w:val="24"/>
          <w:szCs w:val="24"/>
          <w:lang w:val="es-ES"/>
        </w:rPr>
        <w:t xml:space="preserve">, P., McCall, R. B., et al. </w:t>
      </w:r>
      <w:r>
        <w:rPr>
          <w:sz w:val="24"/>
          <w:szCs w:val="24"/>
        </w:rPr>
        <w:t xml:space="preserve">(2011). I. Children in institutional care: Delayed development and resilience. </w:t>
      </w:r>
      <w:r>
        <w:rPr>
          <w:i/>
          <w:iCs/>
          <w:sz w:val="24"/>
          <w:szCs w:val="24"/>
        </w:rPr>
        <w:lastRenderedPageBreak/>
        <w:t>Monographs of the Society for Research in Child Development, 76</w:t>
      </w:r>
      <w:r>
        <w:rPr>
          <w:sz w:val="24"/>
          <w:szCs w:val="24"/>
        </w:rPr>
        <w:t>(4), 8-30.</w:t>
      </w:r>
    </w:p>
    <w:p w14:paraId="77ED9D53"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Wechsler, D. (1974). </w:t>
      </w:r>
      <w:r>
        <w:rPr>
          <w:i/>
          <w:iCs/>
          <w:sz w:val="24"/>
          <w:szCs w:val="24"/>
        </w:rPr>
        <w:t>WISC-R, Wechsler intelligence scale for children, revised</w:t>
      </w:r>
      <w:r>
        <w:rPr>
          <w:sz w:val="24"/>
          <w:szCs w:val="24"/>
        </w:rPr>
        <w:t>: Psychological Corporation.</w:t>
      </w:r>
    </w:p>
    <w:p w14:paraId="71B96160"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Wechsler, D. (1999). </w:t>
      </w:r>
      <w:r>
        <w:rPr>
          <w:i/>
          <w:iCs/>
          <w:sz w:val="24"/>
          <w:szCs w:val="24"/>
        </w:rPr>
        <w:t>Wechsler abbreviated scale of intelligence</w:t>
      </w:r>
      <w:r>
        <w:rPr>
          <w:sz w:val="24"/>
          <w:szCs w:val="24"/>
        </w:rPr>
        <w:t>: Psychological Corporation.</w:t>
      </w:r>
    </w:p>
    <w:p w14:paraId="6FD99330" w14:textId="77777777" w:rsidR="00BD25B0" w:rsidRDefault="00BD25B0" w:rsidP="00F42F4F">
      <w:pPr>
        <w:widowControl w:val="0"/>
        <w:autoSpaceDE w:val="0"/>
        <w:autoSpaceDN w:val="0"/>
        <w:adjustRightInd w:val="0"/>
        <w:spacing w:after="0" w:line="480" w:lineRule="auto"/>
        <w:ind w:left="720" w:hanging="720"/>
        <w:rPr>
          <w:sz w:val="24"/>
          <w:szCs w:val="24"/>
        </w:rPr>
      </w:pPr>
      <w:proofErr w:type="spellStart"/>
      <w:r>
        <w:rPr>
          <w:sz w:val="24"/>
          <w:szCs w:val="24"/>
        </w:rPr>
        <w:t>Wiik</w:t>
      </w:r>
      <w:proofErr w:type="spellEnd"/>
      <w:r>
        <w:rPr>
          <w:sz w:val="24"/>
          <w:szCs w:val="24"/>
        </w:rPr>
        <w:t xml:space="preserve">, K. L., Loman, M. M., Van </w:t>
      </w:r>
      <w:proofErr w:type="spellStart"/>
      <w:r>
        <w:rPr>
          <w:sz w:val="24"/>
          <w:szCs w:val="24"/>
        </w:rPr>
        <w:t>Ryzin</w:t>
      </w:r>
      <w:proofErr w:type="spellEnd"/>
      <w:r>
        <w:rPr>
          <w:sz w:val="24"/>
          <w:szCs w:val="24"/>
        </w:rPr>
        <w:t xml:space="preserve">, M. J., Armstrong, J. M., Essex, M. J., Pollak, S. D., et al. (2011). </w:t>
      </w:r>
      <w:proofErr w:type="spellStart"/>
      <w:r>
        <w:rPr>
          <w:sz w:val="24"/>
          <w:szCs w:val="24"/>
        </w:rPr>
        <w:t>Behavioral</w:t>
      </w:r>
      <w:proofErr w:type="spellEnd"/>
      <w:r>
        <w:rPr>
          <w:sz w:val="24"/>
          <w:szCs w:val="24"/>
        </w:rPr>
        <w:t xml:space="preserve"> and emotional symptoms of post‐institutionalized children in middle childhood. </w:t>
      </w:r>
      <w:r>
        <w:rPr>
          <w:i/>
          <w:iCs/>
          <w:sz w:val="24"/>
          <w:szCs w:val="24"/>
        </w:rPr>
        <w:t>Journal of Child Psychology and Psychiatry, 52</w:t>
      </w:r>
      <w:r>
        <w:rPr>
          <w:sz w:val="24"/>
          <w:szCs w:val="24"/>
        </w:rPr>
        <w:t>(1), 56-63.</w:t>
      </w:r>
    </w:p>
    <w:p w14:paraId="08F08743" w14:textId="77777777" w:rsidR="00BD25B0" w:rsidRDefault="00BD25B0" w:rsidP="00F42F4F">
      <w:pPr>
        <w:widowControl w:val="0"/>
        <w:autoSpaceDE w:val="0"/>
        <w:autoSpaceDN w:val="0"/>
        <w:adjustRightInd w:val="0"/>
        <w:spacing w:after="0" w:line="480" w:lineRule="auto"/>
        <w:ind w:left="720" w:hanging="720"/>
        <w:rPr>
          <w:sz w:val="24"/>
          <w:szCs w:val="24"/>
        </w:rPr>
      </w:pPr>
      <w:r>
        <w:rPr>
          <w:sz w:val="24"/>
          <w:szCs w:val="24"/>
        </w:rPr>
        <w:t xml:space="preserve">Willcutt, E. G. (2012). The prevalence of DSM-IV attention-deficit/hyperactivity disorder: a meta-analytic review. </w:t>
      </w:r>
      <w:proofErr w:type="spellStart"/>
      <w:r>
        <w:rPr>
          <w:i/>
          <w:iCs/>
          <w:sz w:val="24"/>
          <w:szCs w:val="24"/>
        </w:rPr>
        <w:t>Neurotherapeutics</w:t>
      </w:r>
      <w:proofErr w:type="spellEnd"/>
      <w:r>
        <w:rPr>
          <w:i/>
          <w:iCs/>
          <w:sz w:val="24"/>
          <w:szCs w:val="24"/>
        </w:rPr>
        <w:t>, 9</w:t>
      </w:r>
      <w:r>
        <w:rPr>
          <w:sz w:val="24"/>
          <w:szCs w:val="24"/>
        </w:rPr>
        <w:t>(3), 490-499.</w:t>
      </w:r>
    </w:p>
    <w:p w14:paraId="0E81BB55" w14:textId="77777777" w:rsidR="00BD25B0" w:rsidRDefault="00BD25B0" w:rsidP="00F42F4F">
      <w:pPr>
        <w:widowControl w:val="0"/>
        <w:autoSpaceDE w:val="0"/>
        <w:autoSpaceDN w:val="0"/>
        <w:adjustRightInd w:val="0"/>
        <w:spacing w:after="0" w:line="480" w:lineRule="auto"/>
        <w:ind w:left="720" w:hanging="720"/>
        <w:rPr>
          <w:sz w:val="24"/>
          <w:szCs w:val="24"/>
        </w:rPr>
      </w:pPr>
      <w:proofErr w:type="spellStart"/>
      <w:r>
        <w:rPr>
          <w:sz w:val="24"/>
          <w:szCs w:val="24"/>
        </w:rPr>
        <w:t>Witwer</w:t>
      </w:r>
      <w:proofErr w:type="spellEnd"/>
      <w:r>
        <w:rPr>
          <w:sz w:val="24"/>
          <w:szCs w:val="24"/>
        </w:rPr>
        <w:t xml:space="preserve">, A. N., &amp; </w:t>
      </w:r>
      <w:proofErr w:type="spellStart"/>
      <w:r>
        <w:rPr>
          <w:sz w:val="24"/>
          <w:szCs w:val="24"/>
        </w:rPr>
        <w:t>Lecavalier</w:t>
      </w:r>
      <w:proofErr w:type="spellEnd"/>
      <w:r>
        <w:rPr>
          <w:sz w:val="24"/>
          <w:szCs w:val="24"/>
        </w:rPr>
        <w:t xml:space="preserve">, L. (2007). Autism screening tools: an evaluation of the social communication questionnaire and the developmental behaviour checklist–autism screening algorithm. </w:t>
      </w:r>
      <w:r>
        <w:rPr>
          <w:i/>
          <w:iCs/>
          <w:sz w:val="24"/>
          <w:szCs w:val="24"/>
        </w:rPr>
        <w:t>Journal of Intellectual and Developmental Disability, 32</w:t>
      </w:r>
      <w:r>
        <w:rPr>
          <w:sz w:val="24"/>
          <w:szCs w:val="24"/>
        </w:rPr>
        <w:t>(3), 179-187.</w:t>
      </w:r>
    </w:p>
    <w:p w14:paraId="21FC62E1" w14:textId="77777777" w:rsidR="00BD25B0" w:rsidRDefault="00BD25B0" w:rsidP="00F42F4F">
      <w:pPr>
        <w:widowControl w:val="0"/>
        <w:autoSpaceDE w:val="0"/>
        <w:autoSpaceDN w:val="0"/>
        <w:adjustRightInd w:val="0"/>
        <w:spacing w:after="0" w:line="480" w:lineRule="auto"/>
        <w:ind w:left="720" w:hanging="720"/>
        <w:rPr>
          <w:sz w:val="24"/>
          <w:szCs w:val="24"/>
        </w:rPr>
      </w:pPr>
      <w:proofErr w:type="spellStart"/>
      <w:r>
        <w:rPr>
          <w:sz w:val="24"/>
          <w:szCs w:val="24"/>
        </w:rPr>
        <w:t>Yoshimasu</w:t>
      </w:r>
      <w:proofErr w:type="spellEnd"/>
      <w:r>
        <w:rPr>
          <w:sz w:val="24"/>
          <w:szCs w:val="24"/>
        </w:rPr>
        <w:t xml:space="preserve">, K., </w:t>
      </w:r>
      <w:proofErr w:type="spellStart"/>
      <w:r>
        <w:rPr>
          <w:sz w:val="24"/>
          <w:szCs w:val="24"/>
        </w:rPr>
        <w:t>Barbaresi</w:t>
      </w:r>
      <w:proofErr w:type="spellEnd"/>
      <w:r>
        <w:rPr>
          <w:sz w:val="24"/>
          <w:szCs w:val="24"/>
        </w:rPr>
        <w:t xml:space="preserve">, W. J., </w:t>
      </w:r>
      <w:proofErr w:type="spellStart"/>
      <w:r>
        <w:rPr>
          <w:sz w:val="24"/>
          <w:szCs w:val="24"/>
        </w:rPr>
        <w:t>Colligan</w:t>
      </w:r>
      <w:proofErr w:type="spellEnd"/>
      <w:r>
        <w:rPr>
          <w:sz w:val="24"/>
          <w:szCs w:val="24"/>
        </w:rPr>
        <w:t xml:space="preserve">, R. C., Voigt, R. G., Killian, J. M., Weaver, A. L., et al. (2012). Childhood ADHD is strongly associated with a broad range of psychiatric disorders during adolescence: a population‐based birth cohort study. </w:t>
      </w:r>
      <w:r>
        <w:rPr>
          <w:i/>
          <w:iCs/>
          <w:sz w:val="24"/>
          <w:szCs w:val="24"/>
        </w:rPr>
        <w:t>Journal of Child Psychology and Psychiatry, 53</w:t>
      </w:r>
      <w:r>
        <w:rPr>
          <w:sz w:val="24"/>
          <w:szCs w:val="24"/>
        </w:rPr>
        <w:t>(10), 1036-1043.</w:t>
      </w:r>
    </w:p>
    <w:p w14:paraId="6A6A11A6" w14:textId="77777777" w:rsidR="00BD25B0" w:rsidRDefault="00BD25B0">
      <w:pPr>
        <w:spacing w:after="0" w:line="240" w:lineRule="auto"/>
        <w:rPr>
          <w:rFonts w:cs="Arial"/>
          <w:sz w:val="24"/>
          <w:szCs w:val="24"/>
        </w:rPr>
      </w:pPr>
      <w:r>
        <w:rPr>
          <w:rFonts w:cs="Arial"/>
          <w:sz w:val="24"/>
          <w:szCs w:val="24"/>
        </w:rPr>
        <w:br w:type="page"/>
      </w:r>
    </w:p>
    <w:p w14:paraId="02340B30" w14:textId="77777777" w:rsidR="00BD25B0" w:rsidRPr="00903D02" w:rsidRDefault="00BD25B0" w:rsidP="00FB63A6">
      <w:pPr>
        <w:spacing w:line="480" w:lineRule="auto"/>
        <w:outlineLvl w:val="0"/>
        <w:rPr>
          <w:rFonts w:cs="Arial"/>
          <w:sz w:val="24"/>
          <w:szCs w:val="24"/>
        </w:rPr>
      </w:pPr>
      <w:r>
        <w:rPr>
          <w:sz w:val="24"/>
          <w:szCs w:val="24"/>
        </w:rPr>
        <w:lastRenderedPageBreak/>
        <w:t xml:space="preserve">Table 1: Proportion of individuals in low and high-risk groups meeting ADHD criteria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1802"/>
        <w:gridCol w:w="1803"/>
        <w:gridCol w:w="1803"/>
        <w:gridCol w:w="1804"/>
      </w:tblGrid>
      <w:tr w:rsidR="00BD25B0" w14:paraId="357B07B1" w14:textId="77777777">
        <w:tc>
          <w:tcPr>
            <w:tcW w:w="1803" w:type="dxa"/>
          </w:tcPr>
          <w:p w14:paraId="219DE9E9" w14:textId="77777777" w:rsidR="00BD25B0" w:rsidRPr="000262D9" w:rsidRDefault="00BD25B0">
            <w:pPr>
              <w:rPr>
                <w:rFonts w:cs="Arial"/>
              </w:rPr>
            </w:pPr>
          </w:p>
        </w:tc>
        <w:tc>
          <w:tcPr>
            <w:tcW w:w="3606" w:type="dxa"/>
            <w:gridSpan w:val="2"/>
          </w:tcPr>
          <w:p w14:paraId="42234F56" w14:textId="77777777" w:rsidR="00BD25B0" w:rsidRPr="000262D9" w:rsidRDefault="00BD25B0" w:rsidP="000262D9">
            <w:pPr>
              <w:jc w:val="center"/>
            </w:pPr>
            <w:r w:rsidRPr="000262D9">
              <w:t>Adolescent</w:t>
            </w:r>
          </w:p>
        </w:tc>
        <w:tc>
          <w:tcPr>
            <w:tcW w:w="3607" w:type="dxa"/>
            <w:gridSpan w:val="2"/>
          </w:tcPr>
          <w:p w14:paraId="5FA76FDB" w14:textId="77777777" w:rsidR="00BD25B0" w:rsidRPr="000262D9" w:rsidRDefault="00BD25B0" w:rsidP="000262D9">
            <w:pPr>
              <w:jc w:val="center"/>
            </w:pPr>
            <w:r w:rsidRPr="000262D9">
              <w:t>Early adult</w:t>
            </w:r>
          </w:p>
        </w:tc>
      </w:tr>
      <w:tr w:rsidR="00BD25B0" w14:paraId="6493D35B" w14:textId="77777777">
        <w:tc>
          <w:tcPr>
            <w:tcW w:w="1803" w:type="dxa"/>
          </w:tcPr>
          <w:p w14:paraId="4BE2D0B1" w14:textId="77777777" w:rsidR="00BD25B0" w:rsidRPr="000262D9" w:rsidRDefault="00BD25B0" w:rsidP="00C0269C">
            <w:pPr>
              <w:rPr>
                <w:rFonts w:cs="Arial"/>
              </w:rPr>
            </w:pPr>
          </w:p>
        </w:tc>
        <w:tc>
          <w:tcPr>
            <w:tcW w:w="1803" w:type="dxa"/>
          </w:tcPr>
          <w:p w14:paraId="576CE367" w14:textId="77777777" w:rsidR="00BD25B0" w:rsidRPr="000262D9" w:rsidRDefault="00BD25B0" w:rsidP="000262D9">
            <w:pPr>
              <w:jc w:val="center"/>
              <w:rPr>
                <w:rFonts w:cs="Arial"/>
              </w:rPr>
            </w:pPr>
            <w:r w:rsidRPr="000262D9">
              <w:t>Low Risk</w:t>
            </w:r>
          </w:p>
        </w:tc>
        <w:tc>
          <w:tcPr>
            <w:tcW w:w="1803" w:type="dxa"/>
          </w:tcPr>
          <w:p w14:paraId="075CBCBD" w14:textId="77777777" w:rsidR="00BD25B0" w:rsidRPr="000262D9" w:rsidRDefault="00BD25B0" w:rsidP="000262D9">
            <w:pPr>
              <w:jc w:val="center"/>
            </w:pPr>
            <w:r w:rsidRPr="000262D9">
              <w:t>High Risk</w:t>
            </w:r>
          </w:p>
        </w:tc>
        <w:tc>
          <w:tcPr>
            <w:tcW w:w="1803" w:type="dxa"/>
          </w:tcPr>
          <w:p w14:paraId="0BC15BBB" w14:textId="77777777" w:rsidR="00BD25B0" w:rsidRPr="000262D9" w:rsidRDefault="00BD25B0" w:rsidP="000262D9">
            <w:pPr>
              <w:jc w:val="center"/>
            </w:pPr>
            <w:r w:rsidRPr="000262D9">
              <w:t>Low Risk</w:t>
            </w:r>
          </w:p>
        </w:tc>
        <w:tc>
          <w:tcPr>
            <w:tcW w:w="1804" w:type="dxa"/>
          </w:tcPr>
          <w:p w14:paraId="13E8C9D6" w14:textId="77777777" w:rsidR="00BD25B0" w:rsidRPr="000262D9" w:rsidRDefault="00BD25B0" w:rsidP="000262D9">
            <w:pPr>
              <w:jc w:val="center"/>
            </w:pPr>
            <w:r w:rsidRPr="000262D9">
              <w:t>High Risk</w:t>
            </w:r>
          </w:p>
        </w:tc>
      </w:tr>
      <w:tr w:rsidR="00BD25B0" w14:paraId="4617AE7D" w14:textId="77777777">
        <w:tc>
          <w:tcPr>
            <w:tcW w:w="1803" w:type="dxa"/>
          </w:tcPr>
          <w:p w14:paraId="1620483E" w14:textId="77777777" w:rsidR="00BD25B0" w:rsidRPr="000262D9" w:rsidRDefault="00BD25B0" w:rsidP="00C0269C">
            <w:r w:rsidRPr="000262D9">
              <w:t>Any ADHD</w:t>
            </w:r>
          </w:p>
        </w:tc>
        <w:tc>
          <w:tcPr>
            <w:tcW w:w="1803" w:type="dxa"/>
          </w:tcPr>
          <w:p w14:paraId="6F802180" w14:textId="77777777" w:rsidR="00BD25B0" w:rsidRPr="000262D9" w:rsidRDefault="00BD25B0" w:rsidP="000262D9">
            <w:pPr>
              <w:jc w:val="center"/>
            </w:pPr>
            <w:r w:rsidRPr="000262D9">
              <w:t>6/108 (5.6%)</w:t>
            </w:r>
          </w:p>
        </w:tc>
        <w:tc>
          <w:tcPr>
            <w:tcW w:w="1803" w:type="dxa"/>
          </w:tcPr>
          <w:p w14:paraId="2192276F" w14:textId="77777777" w:rsidR="00BD25B0" w:rsidRPr="000262D9" w:rsidRDefault="00BD25B0" w:rsidP="000262D9">
            <w:pPr>
              <w:jc w:val="center"/>
            </w:pPr>
            <w:r w:rsidRPr="000262D9">
              <w:t>16/84 (19.0%)</w:t>
            </w:r>
          </w:p>
        </w:tc>
        <w:tc>
          <w:tcPr>
            <w:tcW w:w="1803" w:type="dxa"/>
          </w:tcPr>
          <w:p w14:paraId="7EFF9195" w14:textId="77777777" w:rsidR="00BD25B0" w:rsidRPr="000262D9" w:rsidRDefault="00BD25B0" w:rsidP="000262D9">
            <w:pPr>
              <w:jc w:val="center"/>
            </w:pPr>
            <w:r w:rsidRPr="000262D9">
              <w:t>3/79 (3.8%)</w:t>
            </w:r>
          </w:p>
        </w:tc>
        <w:tc>
          <w:tcPr>
            <w:tcW w:w="1804" w:type="dxa"/>
          </w:tcPr>
          <w:p w14:paraId="2D80ED2D" w14:textId="77777777" w:rsidR="00BD25B0" w:rsidRPr="000262D9" w:rsidRDefault="00BD25B0" w:rsidP="000262D9">
            <w:pPr>
              <w:jc w:val="center"/>
            </w:pPr>
            <w:r w:rsidRPr="000262D9">
              <w:t>17/58 (29.3%)</w:t>
            </w:r>
          </w:p>
        </w:tc>
      </w:tr>
      <w:tr w:rsidR="00BD25B0" w14:paraId="431F505F" w14:textId="77777777">
        <w:tc>
          <w:tcPr>
            <w:tcW w:w="1803" w:type="dxa"/>
          </w:tcPr>
          <w:p w14:paraId="158DD4C5" w14:textId="77777777" w:rsidR="00BD25B0" w:rsidRPr="000262D9" w:rsidRDefault="00BD25B0" w:rsidP="00C0269C">
            <w:r w:rsidRPr="000262D9">
              <w:t>ADHD-CT</w:t>
            </w:r>
          </w:p>
        </w:tc>
        <w:tc>
          <w:tcPr>
            <w:tcW w:w="1803" w:type="dxa"/>
          </w:tcPr>
          <w:p w14:paraId="7D28377E" w14:textId="77777777" w:rsidR="00BD25B0" w:rsidRPr="000262D9" w:rsidRDefault="00BD25B0" w:rsidP="000262D9">
            <w:pPr>
              <w:jc w:val="center"/>
            </w:pPr>
            <w:r w:rsidRPr="000262D9">
              <w:t>1/108 (0.9%)</w:t>
            </w:r>
          </w:p>
        </w:tc>
        <w:tc>
          <w:tcPr>
            <w:tcW w:w="1803" w:type="dxa"/>
          </w:tcPr>
          <w:p w14:paraId="0AE5EA3E" w14:textId="77777777" w:rsidR="00BD25B0" w:rsidRPr="000262D9" w:rsidRDefault="00BD25B0" w:rsidP="000262D9">
            <w:pPr>
              <w:jc w:val="center"/>
            </w:pPr>
            <w:r w:rsidRPr="000262D9">
              <w:t>4/84 (4.8%)</w:t>
            </w:r>
          </w:p>
        </w:tc>
        <w:tc>
          <w:tcPr>
            <w:tcW w:w="1803" w:type="dxa"/>
          </w:tcPr>
          <w:p w14:paraId="3157FD9A" w14:textId="77777777" w:rsidR="00BD25B0" w:rsidRPr="000262D9" w:rsidRDefault="00BD25B0" w:rsidP="000262D9">
            <w:pPr>
              <w:jc w:val="center"/>
            </w:pPr>
            <w:r w:rsidRPr="000262D9">
              <w:t>2/79 (2.5%)</w:t>
            </w:r>
          </w:p>
        </w:tc>
        <w:tc>
          <w:tcPr>
            <w:tcW w:w="1804" w:type="dxa"/>
          </w:tcPr>
          <w:p w14:paraId="17A8D5D0" w14:textId="77777777" w:rsidR="00BD25B0" w:rsidRPr="000262D9" w:rsidRDefault="00BD25B0" w:rsidP="000262D9">
            <w:pPr>
              <w:jc w:val="center"/>
            </w:pPr>
            <w:r w:rsidRPr="000262D9">
              <w:t>7/58 (12.1%)</w:t>
            </w:r>
          </w:p>
        </w:tc>
      </w:tr>
      <w:tr w:rsidR="00BD25B0" w14:paraId="0752DEAE" w14:textId="77777777">
        <w:tc>
          <w:tcPr>
            <w:tcW w:w="1803" w:type="dxa"/>
          </w:tcPr>
          <w:p w14:paraId="235B351D" w14:textId="77777777" w:rsidR="00BD25B0" w:rsidRPr="000262D9" w:rsidRDefault="00BD25B0" w:rsidP="008C203E">
            <w:r w:rsidRPr="000262D9">
              <w:t>ADHD-PI</w:t>
            </w:r>
          </w:p>
        </w:tc>
        <w:tc>
          <w:tcPr>
            <w:tcW w:w="1803" w:type="dxa"/>
          </w:tcPr>
          <w:p w14:paraId="7D1162E3" w14:textId="77777777" w:rsidR="00BD25B0" w:rsidRPr="000262D9" w:rsidRDefault="00BD25B0" w:rsidP="000262D9">
            <w:pPr>
              <w:jc w:val="center"/>
            </w:pPr>
            <w:r w:rsidRPr="000262D9">
              <w:t>5/108 (4.6%)</w:t>
            </w:r>
          </w:p>
        </w:tc>
        <w:tc>
          <w:tcPr>
            <w:tcW w:w="1803" w:type="dxa"/>
          </w:tcPr>
          <w:p w14:paraId="1F0B9800" w14:textId="77777777" w:rsidR="00BD25B0" w:rsidRPr="000262D9" w:rsidRDefault="00BD25B0" w:rsidP="000262D9">
            <w:pPr>
              <w:jc w:val="center"/>
            </w:pPr>
            <w:r w:rsidRPr="000262D9">
              <w:t>12/84 (14.3%)</w:t>
            </w:r>
          </w:p>
        </w:tc>
        <w:tc>
          <w:tcPr>
            <w:tcW w:w="1803" w:type="dxa"/>
          </w:tcPr>
          <w:p w14:paraId="1AD30375" w14:textId="77777777" w:rsidR="00BD25B0" w:rsidRPr="000262D9" w:rsidRDefault="00BD25B0" w:rsidP="000262D9">
            <w:pPr>
              <w:jc w:val="center"/>
            </w:pPr>
            <w:r w:rsidRPr="000262D9">
              <w:t>1/79 (1.1%)</w:t>
            </w:r>
          </w:p>
        </w:tc>
        <w:tc>
          <w:tcPr>
            <w:tcW w:w="1804" w:type="dxa"/>
          </w:tcPr>
          <w:p w14:paraId="2C384F9C" w14:textId="77777777" w:rsidR="00BD25B0" w:rsidRPr="000262D9" w:rsidRDefault="00BD25B0" w:rsidP="000262D9">
            <w:pPr>
              <w:jc w:val="center"/>
            </w:pPr>
            <w:r w:rsidRPr="000262D9">
              <w:t>10/58 (17.2%)</w:t>
            </w:r>
          </w:p>
        </w:tc>
      </w:tr>
      <w:tr w:rsidR="00BD25B0" w14:paraId="5AE90B74" w14:textId="77777777">
        <w:tc>
          <w:tcPr>
            <w:tcW w:w="1803" w:type="dxa"/>
          </w:tcPr>
          <w:p w14:paraId="113565DF" w14:textId="77777777" w:rsidR="00BD25B0" w:rsidRPr="000262D9" w:rsidRDefault="00BD25B0" w:rsidP="00C0269C">
            <w:r w:rsidRPr="000262D9">
              <w:t>ADHD-PH/I</w:t>
            </w:r>
          </w:p>
        </w:tc>
        <w:tc>
          <w:tcPr>
            <w:tcW w:w="1803" w:type="dxa"/>
          </w:tcPr>
          <w:p w14:paraId="4891D961" w14:textId="77777777" w:rsidR="00BD25B0" w:rsidRPr="000262D9" w:rsidRDefault="00BD25B0" w:rsidP="000262D9">
            <w:pPr>
              <w:jc w:val="center"/>
            </w:pPr>
            <w:r w:rsidRPr="000262D9">
              <w:t>0</w:t>
            </w:r>
          </w:p>
        </w:tc>
        <w:tc>
          <w:tcPr>
            <w:tcW w:w="1803" w:type="dxa"/>
          </w:tcPr>
          <w:p w14:paraId="1E4D2F03" w14:textId="77777777" w:rsidR="00BD25B0" w:rsidRPr="000262D9" w:rsidRDefault="00BD25B0" w:rsidP="000262D9">
            <w:pPr>
              <w:jc w:val="center"/>
            </w:pPr>
            <w:r w:rsidRPr="000262D9">
              <w:t>0</w:t>
            </w:r>
          </w:p>
        </w:tc>
        <w:tc>
          <w:tcPr>
            <w:tcW w:w="1803" w:type="dxa"/>
          </w:tcPr>
          <w:p w14:paraId="12115897" w14:textId="77777777" w:rsidR="00BD25B0" w:rsidRPr="000262D9" w:rsidRDefault="00BD25B0" w:rsidP="000262D9">
            <w:pPr>
              <w:jc w:val="center"/>
            </w:pPr>
            <w:r w:rsidRPr="000262D9">
              <w:t>0</w:t>
            </w:r>
          </w:p>
        </w:tc>
        <w:tc>
          <w:tcPr>
            <w:tcW w:w="1804" w:type="dxa"/>
          </w:tcPr>
          <w:p w14:paraId="3E804BCF" w14:textId="77777777" w:rsidR="00BD25B0" w:rsidRPr="000262D9" w:rsidRDefault="00BD25B0" w:rsidP="000262D9">
            <w:pPr>
              <w:jc w:val="center"/>
            </w:pPr>
            <w:r w:rsidRPr="000262D9">
              <w:t>0</w:t>
            </w:r>
          </w:p>
        </w:tc>
      </w:tr>
    </w:tbl>
    <w:p w14:paraId="39695761" w14:textId="77777777" w:rsidR="00BD25B0" w:rsidRDefault="00BD25B0">
      <w:pPr>
        <w:rPr>
          <w:rFonts w:cs="Arial"/>
        </w:rPr>
      </w:pPr>
    </w:p>
    <w:p w14:paraId="1949EFD8" w14:textId="77777777" w:rsidR="00BD25B0" w:rsidRDefault="00BD25B0">
      <w:r>
        <w:t xml:space="preserve">Note:  Low Risk was a group combining UK adoptees with Romanian Adoptees with less than 6 months of deprivation: High risk was a group containing all Romanian Adoptees with over 6 months deprivation. CT = combined type presentation; PI = predominantly inattentive presentation; PH/I = predominantly inattentive/hyperactive presentation. </w:t>
      </w:r>
    </w:p>
    <w:p w14:paraId="4482EF82" w14:textId="77777777" w:rsidR="00BD25B0" w:rsidRDefault="00BD25B0">
      <w:pPr>
        <w:spacing w:after="0" w:line="240" w:lineRule="auto"/>
        <w:rPr>
          <w:rFonts w:cs="Arial"/>
        </w:rPr>
      </w:pPr>
      <w:r>
        <w:rPr>
          <w:rFonts w:cs="Arial"/>
        </w:rPr>
        <w:br w:type="page"/>
      </w:r>
    </w:p>
    <w:p w14:paraId="6E2B3759" w14:textId="327A87A0" w:rsidR="00BD25B0" w:rsidRPr="004009F0" w:rsidRDefault="00BD25B0" w:rsidP="000C1E62">
      <w:pPr>
        <w:rPr>
          <w:rFonts w:cs="Arial"/>
          <w:sz w:val="24"/>
          <w:szCs w:val="24"/>
        </w:rPr>
      </w:pPr>
      <w:r w:rsidRPr="004009F0">
        <w:rPr>
          <w:sz w:val="24"/>
          <w:szCs w:val="24"/>
        </w:rPr>
        <w:lastRenderedPageBreak/>
        <w:t>Table 2</w:t>
      </w:r>
      <w:r>
        <w:rPr>
          <w:sz w:val="24"/>
          <w:szCs w:val="24"/>
        </w:rPr>
        <w:t xml:space="preserve">: Demographic characteristics and clinical outcomes for low- risk and high-risk young adults with and without ADHD. </w:t>
      </w:r>
    </w:p>
    <w:tbl>
      <w:tblPr>
        <w:tblW w:w="106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417"/>
        <w:gridCol w:w="1418"/>
        <w:gridCol w:w="1417"/>
        <w:gridCol w:w="1418"/>
        <w:gridCol w:w="1389"/>
        <w:gridCol w:w="1417"/>
      </w:tblGrid>
      <w:tr w:rsidR="00BD25B0" w14:paraId="7E16EE54" w14:textId="77777777">
        <w:tc>
          <w:tcPr>
            <w:tcW w:w="2127" w:type="dxa"/>
          </w:tcPr>
          <w:p w14:paraId="0AF74B78" w14:textId="77777777" w:rsidR="00BD25B0" w:rsidRPr="000262D9" w:rsidRDefault="00BD25B0" w:rsidP="000262D9">
            <w:pPr>
              <w:spacing w:after="0"/>
              <w:rPr>
                <w:rFonts w:cs="Arial"/>
              </w:rPr>
            </w:pPr>
          </w:p>
        </w:tc>
        <w:tc>
          <w:tcPr>
            <w:tcW w:w="1417" w:type="dxa"/>
          </w:tcPr>
          <w:p w14:paraId="4C16F111" w14:textId="77777777" w:rsidR="00BD25B0" w:rsidRPr="000262D9" w:rsidRDefault="00BD25B0" w:rsidP="000262D9">
            <w:pPr>
              <w:spacing w:after="0"/>
              <w:jc w:val="center"/>
              <w:rPr>
                <w:b/>
                <w:bCs/>
              </w:rPr>
            </w:pPr>
            <w:r w:rsidRPr="000262D9">
              <w:rPr>
                <w:b/>
                <w:bCs/>
              </w:rPr>
              <w:t>Low risk</w:t>
            </w:r>
          </w:p>
          <w:p w14:paraId="272AF50A" w14:textId="77777777" w:rsidR="00BD25B0" w:rsidRPr="000262D9" w:rsidRDefault="00BD25B0" w:rsidP="000262D9">
            <w:pPr>
              <w:spacing w:after="0"/>
              <w:jc w:val="center"/>
              <w:rPr>
                <w:b/>
                <w:bCs/>
              </w:rPr>
            </w:pPr>
            <w:r w:rsidRPr="000262D9">
              <w:rPr>
                <w:b/>
                <w:bCs/>
              </w:rPr>
              <w:t>(LR)</w:t>
            </w:r>
          </w:p>
          <w:p w14:paraId="36074EA2" w14:textId="77777777" w:rsidR="00BD25B0" w:rsidRPr="000262D9" w:rsidRDefault="00BD25B0" w:rsidP="000262D9">
            <w:pPr>
              <w:spacing w:after="0"/>
              <w:jc w:val="center"/>
              <w:rPr>
                <w:b/>
                <w:bCs/>
              </w:rPr>
            </w:pPr>
            <w:r w:rsidRPr="000262D9">
              <w:rPr>
                <w:b/>
                <w:bCs/>
              </w:rPr>
              <w:t>(n=79)</w:t>
            </w:r>
          </w:p>
        </w:tc>
        <w:tc>
          <w:tcPr>
            <w:tcW w:w="2835" w:type="dxa"/>
            <w:gridSpan w:val="2"/>
          </w:tcPr>
          <w:p w14:paraId="51607A10" w14:textId="77777777" w:rsidR="00BD25B0" w:rsidRPr="000262D9" w:rsidRDefault="00BD25B0" w:rsidP="000262D9">
            <w:pPr>
              <w:spacing w:after="0"/>
              <w:jc w:val="center"/>
              <w:rPr>
                <w:b/>
                <w:bCs/>
              </w:rPr>
            </w:pPr>
            <w:r w:rsidRPr="000262D9">
              <w:rPr>
                <w:b/>
                <w:bCs/>
              </w:rPr>
              <w:t xml:space="preserve">High risk </w:t>
            </w:r>
          </w:p>
          <w:p w14:paraId="7D379026" w14:textId="77777777" w:rsidR="00BD25B0" w:rsidRPr="000262D9" w:rsidRDefault="00BD25B0" w:rsidP="000262D9">
            <w:pPr>
              <w:spacing w:after="0"/>
              <w:jc w:val="center"/>
              <w:rPr>
                <w:b/>
                <w:bCs/>
              </w:rPr>
            </w:pPr>
          </w:p>
        </w:tc>
        <w:tc>
          <w:tcPr>
            <w:tcW w:w="4224" w:type="dxa"/>
            <w:gridSpan w:val="3"/>
          </w:tcPr>
          <w:p w14:paraId="57A207ED" w14:textId="145F98ED" w:rsidR="00BD25B0" w:rsidRPr="000262D9" w:rsidRDefault="00BD25B0" w:rsidP="000262D9">
            <w:pPr>
              <w:spacing w:after="0"/>
              <w:jc w:val="center"/>
              <w:rPr>
                <w:rFonts w:cs="Arial"/>
                <w:b/>
                <w:bCs/>
              </w:rPr>
            </w:pPr>
            <w:r>
              <w:rPr>
                <w:b/>
                <w:bCs/>
              </w:rPr>
              <w:t>Group contrasts</w:t>
            </w:r>
          </w:p>
        </w:tc>
      </w:tr>
      <w:tr w:rsidR="00BD25B0" w14:paraId="7A6DC5D4" w14:textId="77777777">
        <w:tc>
          <w:tcPr>
            <w:tcW w:w="2127" w:type="dxa"/>
          </w:tcPr>
          <w:p w14:paraId="50C2078C" w14:textId="77777777" w:rsidR="00BD25B0" w:rsidRPr="000262D9" w:rsidRDefault="00BD25B0" w:rsidP="000262D9">
            <w:pPr>
              <w:spacing w:after="0"/>
              <w:rPr>
                <w:rFonts w:cs="Arial"/>
              </w:rPr>
            </w:pPr>
          </w:p>
        </w:tc>
        <w:tc>
          <w:tcPr>
            <w:tcW w:w="1417" w:type="dxa"/>
          </w:tcPr>
          <w:p w14:paraId="3EA86997" w14:textId="77777777" w:rsidR="00BD25B0" w:rsidRPr="000262D9" w:rsidRDefault="00BD25B0" w:rsidP="000262D9">
            <w:pPr>
              <w:spacing w:after="0"/>
              <w:jc w:val="center"/>
              <w:rPr>
                <w:rFonts w:cs="Arial"/>
              </w:rPr>
            </w:pPr>
          </w:p>
        </w:tc>
        <w:tc>
          <w:tcPr>
            <w:tcW w:w="1418" w:type="dxa"/>
          </w:tcPr>
          <w:p w14:paraId="5DE796A0" w14:textId="77777777" w:rsidR="00BD25B0" w:rsidRPr="000262D9" w:rsidRDefault="00BD25B0" w:rsidP="000262D9">
            <w:pPr>
              <w:spacing w:after="0"/>
              <w:jc w:val="center"/>
              <w:rPr>
                <w:b/>
                <w:bCs/>
              </w:rPr>
            </w:pPr>
            <w:r w:rsidRPr="000262D9">
              <w:rPr>
                <w:b/>
                <w:bCs/>
              </w:rPr>
              <w:t>ADHD-</w:t>
            </w:r>
          </w:p>
          <w:p w14:paraId="188A70FD" w14:textId="77777777" w:rsidR="00BD25B0" w:rsidRPr="000262D9" w:rsidRDefault="00BD25B0" w:rsidP="000262D9">
            <w:pPr>
              <w:spacing w:after="0"/>
              <w:jc w:val="center"/>
              <w:rPr>
                <w:b/>
                <w:bCs/>
              </w:rPr>
            </w:pPr>
            <w:r w:rsidRPr="000262D9">
              <w:rPr>
                <w:b/>
                <w:bCs/>
              </w:rPr>
              <w:t>(n=41)</w:t>
            </w:r>
          </w:p>
        </w:tc>
        <w:tc>
          <w:tcPr>
            <w:tcW w:w="1417" w:type="dxa"/>
          </w:tcPr>
          <w:p w14:paraId="121D4CDD" w14:textId="77777777" w:rsidR="00BD25B0" w:rsidRPr="000262D9" w:rsidRDefault="00BD25B0" w:rsidP="000262D9">
            <w:pPr>
              <w:spacing w:after="0"/>
              <w:jc w:val="center"/>
              <w:rPr>
                <w:b/>
                <w:bCs/>
              </w:rPr>
            </w:pPr>
            <w:r w:rsidRPr="000262D9">
              <w:rPr>
                <w:b/>
                <w:bCs/>
              </w:rPr>
              <w:t>ADHD+</w:t>
            </w:r>
          </w:p>
          <w:p w14:paraId="091A818C" w14:textId="77777777" w:rsidR="00BD25B0" w:rsidRPr="000262D9" w:rsidRDefault="00BD25B0" w:rsidP="000262D9">
            <w:pPr>
              <w:spacing w:after="0"/>
              <w:jc w:val="center"/>
              <w:rPr>
                <w:b/>
                <w:bCs/>
              </w:rPr>
            </w:pPr>
            <w:r w:rsidRPr="000262D9">
              <w:rPr>
                <w:b/>
                <w:bCs/>
              </w:rPr>
              <w:t>(n=17)</w:t>
            </w:r>
          </w:p>
        </w:tc>
        <w:tc>
          <w:tcPr>
            <w:tcW w:w="1418" w:type="dxa"/>
          </w:tcPr>
          <w:p w14:paraId="58E8815E" w14:textId="77777777" w:rsidR="00BD25B0" w:rsidRPr="000262D9" w:rsidRDefault="00BD25B0" w:rsidP="000262D9">
            <w:pPr>
              <w:spacing w:after="0"/>
              <w:jc w:val="center"/>
              <w:rPr>
                <w:b/>
                <w:bCs/>
              </w:rPr>
            </w:pPr>
            <w:r w:rsidRPr="000262D9">
              <w:rPr>
                <w:b/>
                <w:bCs/>
              </w:rPr>
              <w:t xml:space="preserve">LR </w:t>
            </w:r>
            <w:r w:rsidRPr="00922A35">
              <w:rPr>
                <w:b/>
                <w:bCs/>
                <w:i/>
                <w:iCs/>
              </w:rPr>
              <w:t>vs</w:t>
            </w:r>
            <w:r w:rsidRPr="000262D9">
              <w:rPr>
                <w:b/>
                <w:bCs/>
              </w:rPr>
              <w:t xml:space="preserve"> ADHD-</w:t>
            </w:r>
          </w:p>
        </w:tc>
        <w:tc>
          <w:tcPr>
            <w:tcW w:w="1389" w:type="dxa"/>
          </w:tcPr>
          <w:p w14:paraId="6AB7E51D" w14:textId="77777777" w:rsidR="00BD25B0" w:rsidRPr="000262D9" w:rsidRDefault="00BD25B0" w:rsidP="000262D9">
            <w:pPr>
              <w:spacing w:after="0"/>
              <w:jc w:val="center"/>
              <w:rPr>
                <w:b/>
                <w:bCs/>
              </w:rPr>
            </w:pPr>
            <w:r w:rsidRPr="000262D9">
              <w:rPr>
                <w:b/>
                <w:bCs/>
              </w:rPr>
              <w:t xml:space="preserve">LR </w:t>
            </w:r>
            <w:r w:rsidRPr="00922A35">
              <w:rPr>
                <w:b/>
                <w:bCs/>
                <w:i/>
                <w:iCs/>
              </w:rPr>
              <w:t>vs</w:t>
            </w:r>
            <w:r w:rsidRPr="000262D9">
              <w:rPr>
                <w:b/>
                <w:bCs/>
              </w:rPr>
              <w:t xml:space="preserve"> ADHD+</w:t>
            </w:r>
          </w:p>
        </w:tc>
        <w:tc>
          <w:tcPr>
            <w:tcW w:w="1417" w:type="dxa"/>
          </w:tcPr>
          <w:p w14:paraId="2BDD6DF1" w14:textId="77777777" w:rsidR="00BD25B0" w:rsidRPr="000262D9" w:rsidRDefault="00BD25B0" w:rsidP="000262D9">
            <w:pPr>
              <w:spacing w:after="0"/>
              <w:jc w:val="center"/>
              <w:rPr>
                <w:b/>
                <w:bCs/>
              </w:rPr>
            </w:pPr>
            <w:r w:rsidRPr="000262D9">
              <w:rPr>
                <w:b/>
                <w:bCs/>
              </w:rPr>
              <w:t xml:space="preserve">ADHD- </w:t>
            </w:r>
            <w:r w:rsidRPr="00922A35">
              <w:rPr>
                <w:b/>
                <w:bCs/>
                <w:i/>
                <w:iCs/>
              </w:rPr>
              <w:t>vs</w:t>
            </w:r>
            <w:r w:rsidRPr="000262D9">
              <w:rPr>
                <w:b/>
                <w:bCs/>
              </w:rPr>
              <w:t xml:space="preserve"> ADHD+</w:t>
            </w:r>
          </w:p>
          <w:p w14:paraId="68CF794F" w14:textId="77777777" w:rsidR="00BD25B0" w:rsidRPr="000262D9" w:rsidRDefault="00BD25B0" w:rsidP="000262D9">
            <w:pPr>
              <w:spacing w:after="0"/>
              <w:jc w:val="center"/>
              <w:rPr>
                <w:b/>
                <w:bCs/>
              </w:rPr>
            </w:pPr>
          </w:p>
        </w:tc>
      </w:tr>
      <w:tr w:rsidR="00BD25B0" w14:paraId="387D06E2" w14:textId="77777777">
        <w:tc>
          <w:tcPr>
            <w:tcW w:w="2127" w:type="dxa"/>
          </w:tcPr>
          <w:p w14:paraId="604B5910" w14:textId="77777777" w:rsidR="00BD25B0" w:rsidRPr="000262D9" w:rsidRDefault="00BD25B0" w:rsidP="000262D9">
            <w:pPr>
              <w:spacing w:after="0"/>
              <w:rPr>
                <w:b/>
                <w:bCs/>
              </w:rPr>
            </w:pPr>
            <w:r w:rsidRPr="000262D9">
              <w:rPr>
                <w:b/>
                <w:bCs/>
              </w:rPr>
              <w:t xml:space="preserve">Sex </w:t>
            </w:r>
          </w:p>
          <w:p w14:paraId="45A4AF2D" w14:textId="77777777" w:rsidR="00BD25B0" w:rsidRPr="000262D9" w:rsidRDefault="00BD25B0" w:rsidP="000262D9">
            <w:pPr>
              <w:spacing w:after="0"/>
              <w:rPr>
                <w:b/>
                <w:bCs/>
              </w:rPr>
            </w:pPr>
            <w:r w:rsidRPr="000262D9">
              <w:rPr>
                <w:b/>
                <w:bCs/>
              </w:rPr>
              <w:t>(% female)</w:t>
            </w:r>
          </w:p>
        </w:tc>
        <w:tc>
          <w:tcPr>
            <w:tcW w:w="1417" w:type="dxa"/>
          </w:tcPr>
          <w:p w14:paraId="59E12E8F" w14:textId="77777777" w:rsidR="00BD25B0" w:rsidRPr="000262D9" w:rsidRDefault="00BD25B0" w:rsidP="000262D9">
            <w:pPr>
              <w:spacing w:after="0"/>
              <w:jc w:val="center"/>
            </w:pPr>
            <w:r w:rsidRPr="000262D9">
              <w:t>42.9</w:t>
            </w:r>
          </w:p>
        </w:tc>
        <w:tc>
          <w:tcPr>
            <w:tcW w:w="1418" w:type="dxa"/>
          </w:tcPr>
          <w:p w14:paraId="2EC3FC4B" w14:textId="77777777" w:rsidR="00BD25B0" w:rsidRPr="000262D9" w:rsidRDefault="00BD25B0" w:rsidP="000262D9">
            <w:pPr>
              <w:spacing w:after="0"/>
              <w:jc w:val="center"/>
            </w:pPr>
            <w:r w:rsidRPr="000262D9">
              <w:t>53.7</w:t>
            </w:r>
          </w:p>
        </w:tc>
        <w:tc>
          <w:tcPr>
            <w:tcW w:w="1417" w:type="dxa"/>
          </w:tcPr>
          <w:p w14:paraId="2FB282A4" w14:textId="77777777" w:rsidR="00BD25B0" w:rsidRPr="000262D9" w:rsidRDefault="00BD25B0" w:rsidP="000262D9">
            <w:pPr>
              <w:spacing w:after="0"/>
              <w:jc w:val="center"/>
            </w:pPr>
            <w:r w:rsidRPr="000262D9">
              <w:t>58.8</w:t>
            </w:r>
          </w:p>
        </w:tc>
        <w:tc>
          <w:tcPr>
            <w:tcW w:w="1418" w:type="dxa"/>
          </w:tcPr>
          <w:p w14:paraId="6E4AACA9" w14:textId="77777777" w:rsidR="00BD25B0" w:rsidRPr="000262D9" w:rsidRDefault="00BD25B0" w:rsidP="000262D9">
            <w:pPr>
              <w:spacing w:after="0" w:line="240" w:lineRule="auto"/>
              <w:jc w:val="center"/>
              <w:rPr>
                <w:rFonts w:cs="Arial"/>
              </w:rPr>
            </w:pPr>
            <w:r w:rsidRPr="000262D9">
              <w:rPr>
                <w:rFonts w:ascii="Symbol" w:hAnsi="Symbol" w:cs="Symbol"/>
              </w:rPr>
              <w:t></w:t>
            </w:r>
            <w:r w:rsidRPr="000262D9">
              <w:rPr>
                <w:vertAlign w:val="superscript"/>
              </w:rPr>
              <w:t>2</w:t>
            </w:r>
            <w:r w:rsidRPr="00B81773">
              <w:t xml:space="preserve">=1.43, </w:t>
            </w:r>
            <w:r w:rsidRPr="000262D9">
              <w:rPr>
                <w:i/>
                <w:iCs/>
              </w:rPr>
              <w:t>p</w:t>
            </w:r>
            <w:r w:rsidRPr="00B81773">
              <w:t>=.23</w:t>
            </w:r>
          </w:p>
        </w:tc>
        <w:tc>
          <w:tcPr>
            <w:tcW w:w="1389" w:type="dxa"/>
          </w:tcPr>
          <w:p w14:paraId="41CEBC7E" w14:textId="77777777" w:rsidR="00BD25B0" w:rsidRPr="000262D9" w:rsidRDefault="00BD25B0" w:rsidP="000262D9">
            <w:pPr>
              <w:spacing w:after="0" w:line="240" w:lineRule="auto"/>
              <w:jc w:val="center"/>
              <w:rPr>
                <w:rFonts w:cs="Arial"/>
              </w:rPr>
            </w:pPr>
            <w:r w:rsidRPr="000262D9">
              <w:rPr>
                <w:rFonts w:ascii="Symbol" w:hAnsi="Symbol" w:cs="Symbol"/>
              </w:rPr>
              <w:t></w:t>
            </w:r>
            <w:r w:rsidRPr="000262D9">
              <w:rPr>
                <w:vertAlign w:val="superscript"/>
              </w:rPr>
              <w:t>2</w:t>
            </w:r>
            <w:r w:rsidRPr="00B81773">
              <w:t xml:space="preserve">=1.53, </w:t>
            </w:r>
            <w:r w:rsidRPr="000262D9">
              <w:rPr>
                <w:i/>
                <w:iCs/>
              </w:rPr>
              <w:t>p</w:t>
            </w:r>
            <w:r w:rsidRPr="00B81773">
              <w:t>=.22</w:t>
            </w:r>
          </w:p>
        </w:tc>
        <w:tc>
          <w:tcPr>
            <w:tcW w:w="1417" w:type="dxa"/>
          </w:tcPr>
          <w:p w14:paraId="3321F33C" w14:textId="77777777" w:rsidR="00BD25B0" w:rsidRPr="000262D9" w:rsidRDefault="00BD25B0" w:rsidP="000262D9">
            <w:pPr>
              <w:spacing w:after="0" w:line="240" w:lineRule="auto"/>
              <w:jc w:val="center"/>
              <w:rPr>
                <w:rFonts w:ascii="Symbol" w:hAnsi="Symbol" w:cs="Symbol"/>
              </w:rPr>
            </w:pPr>
            <w:r w:rsidRPr="000262D9">
              <w:rPr>
                <w:rFonts w:ascii="Symbol" w:hAnsi="Symbol" w:cs="Symbol"/>
              </w:rPr>
              <w:t></w:t>
            </w:r>
            <w:r w:rsidRPr="000262D9">
              <w:rPr>
                <w:vertAlign w:val="superscript"/>
              </w:rPr>
              <w:t>2</w:t>
            </w:r>
            <w:r w:rsidRPr="00B81773">
              <w:t xml:space="preserve">=0.13, </w:t>
            </w:r>
            <w:r w:rsidRPr="000262D9">
              <w:rPr>
                <w:i/>
                <w:iCs/>
              </w:rPr>
              <w:t>p</w:t>
            </w:r>
            <w:r w:rsidRPr="00B81773">
              <w:t>=.72</w:t>
            </w:r>
          </w:p>
        </w:tc>
      </w:tr>
      <w:tr w:rsidR="00BD25B0" w14:paraId="49BD8E4C" w14:textId="77777777">
        <w:tc>
          <w:tcPr>
            <w:tcW w:w="2127" w:type="dxa"/>
          </w:tcPr>
          <w:p w14:paraId="2F7DEDE2" w14:textId="77777777" w:rsidR="00BD25B0" w:rsidRPr="000262D9" w:rsidRDefault="00BD25B0" w:rsidP="000262D9">
            <w:pPr>
              <w:spacing w:after="0"/>
              <w:rPr>
                <w:b/>
                <w:bCs/>
              </w:rPr>
            </w:pPr>
            <w:r w:rsidRPr="000262D9">
              <w:rPr>
                <w:b/>
                <w:bCs/>
              </w:rPr>
              <w:t xml:space="preserve">Clinical diagnosis </w:t>
            </w:r>
          </w:p>
          <w:p w14:paraId="0D1BD284" w14:textId="77777777" w:rsidR="00BD25B0" w:rsidRPr="000262D9" w:rsidRDefault="00BD25B0" w:rsidP="000262D9">
            <w:pPr>
              <w:spacing w:after="0"/>
              <w:rPr>
                <w:b/>
                <w:bCs/>
              </w:rPr>
            </w:pPr>
            <w:r w:rsidRPr="000262D9">
              <w:rPr>
                <w:b/>
                <w:bCs/>
              </w:rPr>
              <w:t>(%)</w:t>
            </w:r>
          </w:p>
        </w:tc>
        <w:tc>
          <w:tcPr>
            <w:tcW w:w="1417" w:type="dxa"/>
          </w:tcPr>
          <w:p w14:paraId="7F67DC81" w14:textId="556E4F86" w:rsidR="00BD25B0" w:rsidRPr="000262D9" w:rsidRDefault="00D40716" w:rsidP="000262D9">
            <w:pPr>
              <w:spacing w:after="0"/>
              <w:jc w:val="center"/>
            </w:pPr>
            <w:r>
              <w:t>6.7</w:t>
            </w:r>
          </w:p>
        </w:tc>
        <w:tc>
          <w:tcPr>
            <w:tcW w:w="1418" w:type="dxa"/>
          </w:tcPr>
          <w:p w14:paraId="4E8336CD" w14:textId="47314920" w:rsidR="00BD25B0" w:rsidRPr="000262D9" w:rsidRDefault="00D40716" w:rsidP="000262D9">
            <w:pPr>
              <w:spacing w:after="0"/>
              <w:jc w:val="center"/>
            </w:pPr>
            <w:r>
              <w:t>12.2</w:t>
            </w:r>
          </w:p>
        </w:tc>
        <w:tc>
          <w:tcPr>
            <w:tcW w:w="1417" w:type="dxa"/>
          </w:tcPr>
          <w:p w14:paraId="1ADA2CB8" w14:textId="77777777" w:rsidR="00BD25B0" w:rsidRPr="000262D9" w:rsidRDefault="00BD25B0" w:rsidP="000262D9">
            <w:pPr>
              <w:spacing w:after="0"/>
              <w:jc w:val="center"/>
            </w:pPr>
            <w:r w:rsidRPr="000262D9">
              <w:t>41.2</w:t>
            </w:r>
          </w:p>
        </w:tc>
        <w:tc>
          <w:tcPr>
            <w:tcW w:w="1418" w:type="dxa"/>
          </w:tcPr>
          <w:p w14:paraId="3EF244F1" w14:textId="644EAB20" w:rsidR="00BD25B0" w:rsidRPr="000262D9" w:rsidRDefault="00BD25B0" w:rsidP="000262D9">
            <w:pPr>
              <w:spacing w:after="0" w:line="240" w:lineRule="auto"/>
              <w:jc w:val="center"/>
              <w:rPr>
                <w:rFonts w:cs="Arial"/>
              </w:rPr>
            </w:pPr>
            <w:r w:rsidRPr="000262D9">
              <w:rPr>
                <w:rFonts w:ascii="Symbol" w:hAnsi="Symbol" w:cs="Symbol"/>
              </w:rPr>
              <w:t></w:t>
            </w:r>
            <w:r w:rsidRPr="000262D9">
              <w:rPr>
                <w:vertAlign w:val="superscript"/>
              </w:rPr>
              <w:t>2</w:t>
            </w:r>
            <w:r w:rsidR="00D40716">
              <w:t>=1.22</w:t>
            </w:r>
            <w:r w:rsidRPr="00B81773">
              <w:t xml:space="preserve">, </w:t>
            </w:r>
            <w:r w:rsidRPr="000262D9">
              <w:rPr>
                <w:i/>
                <w:iCs/>
              </w:rPr>
              <w:t>p</w:t>
            </w:r>
            <w:r w:rsidR="00D40716">
              <w:t>=.27</w:t>
            </w:r>
          </w:p>
        </w:tc>
        <w:tc>
          <w:tcPr>
            <w:tcW w:w="1389" w:type="dxa"/>
          </w:tcPr>
          <w:p w14:paraId="6F4BB0EF" w14:textId="77777777" w:rsidR="00BD25B0" w:rsidRPr="000262D9" w:rsidRDefault="00BD25B0" w:rsidP="000262D9">
            <w:pPr>
              <w:spacing w:after="0" w:line="240" w:lineRule="auto"/>
              <w:jc w:val="center"/>
              <w:rPr>
                <w:rFonts w:cs="Arial"/>
                <w:b/>
                <w:bCs/>
              </w:rPr>
            </w:pPr>
            <w:r w:rsidRPr="000262D9">
              <w:rPr>
                <w:rFonts w:ascii="Symbol" w:hAnsi="Symbol" w:cs="Symbol"/>
                <w:b/>
                <w:bCs/>
              </w:rPr>
              <w:t></w:t>
            </w:r>
            <w:r w:rsidRPr="000262D9">
              <w:rPr>
                <w:b/>
                <w:bCs/>
                <w:vertAlign w:val="superscript"/>
              </w:rPr>
              <w:t>2</w:t>
            </w:r>
            <w:r w:rsidRPr="000262D9">
              <w:rPr>
                <w:b/>
                <w:bCs/>
              </w:rPr>
              <w:t xml:space="preserve">=17.99, </w:t>
            </w:r>
            <w:r w:rsidRPr="000262D9">
              <w:rPr>
                <w:b/>
                <w:bCs/>
                <w:i/>
                <w:iCs/>
              </w:rPr>
              <w:t>p</w:t>
            </w:r>
            <w:r w:rsidRPr="000262D9">
              <w:rPr>
                <w:b/>
                <w:bCs/>
              </w:rPr>
              <w:t>&lt;.001</w:t>
            </w:r>
          </w:p>
        </w:tc>
        <w:tc>
          <w:tcPr>
            <w:tcW w:w="1417" w:type="dxa"/>
          </w:tcPr>
          <w:p w14:paraId="45CFA36E" w14:textId="1B32FC9E" w:rsidR="00BD25B0" w:rsidRPr="000262D9" w:rsidRDefault="00BD25B0" w:rsidP="000262D9">
            <w:pPr>
              <w:spacing w:after="0" w:line="240" w:lineRule="auto"/>
              <w:jc w:val="center"/>
              <w:rPr>
                <w:rFonts w:ascii="Symbol" w:hAnsi="Symbol" w:cs="Symbol"/>
                <w:b/>
                <w:bCs/>
              </w:rPr>
            </w:pPr>
            <w:r w:rsidRPr="000262D9">
              <w:rPr>
                <w:rFonts w:ascii="Symbol" w:hAnsi="Symbol" w:cs="Symbol"/>
                <w:b/>
                <w:bCs/>
              </w:rPr>
              <w:t></w:t>
            </w:r>
            <w:r w:rsidRPr="000262D9">
              <w:rPr>
                <w:b/>
                <w:bCs/>
                <w:vertAlign w:val="superscript"/>
              </w:rPr>
              <w:t>2</w:t>
            </w:r>
            <w:r w:rsidR="00B13F9E">
              <w:rPr>
                <w:b/>
                <w:bCs/>
              </w:rPr>
              <w:t>=6.15</w:t>
            </w:r>
            <w:r w:rsidRPr="000262D9">
              <w:rPr>
                <w:b/>
                <w:bCs/>
              </w:rPr>
              <w:t xml:space="preserve">, </w:t>
            </w:r>
            <w:r w:rsidRPr="000262D9">
              <w:rPr>
                <w:b/>
                <w:bCs/>
                <w:i/>
                <w:iCs/>
              </w:rPr>
              <w:t>p</w:t>
            </w:r>
            <w:r w:rsidR="00B13F9E">
              <w:rPr>
                <w:b/>
                <w:bCs/>
              </w:rPr>
              <w:t>&lt;.05</w:t>
            </w:r>
          </w:p>
        </w:tc>
      </w:tr>
      <w:tr w:rsidR="00BD25B0" w14:paraId="5400DD49" w14:textId="77777777">
        <w:tc>
          <w:tcPr>
            <w:tcW w:w="2127" w:type="dxa"/>
          </w:tcPr>
          <w:p w14:paraId="0808E390" w14:textId="77777777" w:rsidR="00BD25B0" w:rsidRPr="000262D9" w:rsidRDefault="00BD25B0" w:rsidP="000262D9">
            <w:pPr>
              <w:spacing w:after="0"/>
              <w:rPr>
                <w:b/>
                <w:bCs/>
              </w:rPr>
            </w:pPr>
            <w:r w:rsidRPr="000262D9">
              <w:rPr>
                <w:b/>
                <w:bCs/>
              </w:rPr>
              <w:t xml:space="preserve">Co-occurring </w:t>
            </w:r>
          </w:p>
          <w:p w14:paraId="580EB8A5" w14:textId="77777777" w:rsidR="00BD25B0" w:rsidRPr="000262D9" w:rsidRDefault="00BD25B0" w:rsidP="000262D9">
            <w:pPr>
              <w:spacing w:after="0"/>
              <w:rPr>
                <w:b/>
                <w:bCs/>
              </w:rPr>
            </w:pPr>
            <w:r w:rsidRPr="000262D9">
              <w:rPr>
                <w:b/>
                <w:bCs/>
              </w:rPr>
              <w:t>disorder</w:t>
            </w:r>
          </w:p>
        </w:tc>
        <w:tc>
          <w:tcPr>
            <w:tcW w:w="1417" w:type="dxa"/>
          </w:tcPr>
          <w:p w14:paraId="47CE67A9" w14:textId="77777777" w:rsidR="00BD25B0" w:rsidRPr="000262D9" w:rsidRDefault="00BD25B0" w:rsidP="000262D9">
            <w:pPr>
              <w:spacing w:after="0"/>
              <w:jc w:val="center"/>
              <w:rPr>
                <w:rFonts w:cs="Arial"/>
              </w:rPr>
            </w:pPr>
          </w:p>
        </w:tc>
        <w:tc>
          <w:tcPr>
            <w:tcW w:w="1418" w:type="dxa"/>
          </w:tcPr>
          <w:p w14:paraId="546B9071" w14:textId="77777777" w:rsidR="00BD25B0" w:rsidRPr="000262D9" w:rsidRDefault="00BD25B0" w:rsidP="000262D9">
            <w:pPr>
              <w:spacing w:after="0"/>
              <w:jc w:val="center"/>
              <w:rPr>
                <w:rFonts w:cs="Arial"/>
              </w:rPr>
            </w:pPr>
          </w:p>
        </w:tc>
        <w:tc>
          <w:tcPr>
            <w:tcW w:w="1417" w:type="dxa"/>
          </w:tcPr>
          <w:p w14:paraId="3D9114EB" w14:textId="77777777" w:rsidR="00BD25B0" w:rsidRPr="000262D9" w:rsidRDefault="00BD25B0" w:rsidP="000262D9">
            <w:pPr>
              <w:spacing w:after="0"/>
              <w:jc w:val="center"/>
              <w:rPr>
                <w:rFonts w:cs="Arial"/>
              </w:rPr>
            </w:pPr>
          </w:p>
        </w:tc>
        <w:tc>
          <w:tcPr>
            <w:tcW w:w="1418" w:type="dxa"/>
          </w:tcPr>
          <w:p w14:paraId="01DC5B5C" w14:textId="77777777" w:rsidR="00BD25B0" w:rsidRPr="000262D9" w:rsidRDefault="00BD25B0" w:rsidP="000262D9">
            <w:pPr>
              <w:spacing w:after="0" w:line="240" w:lineRule="auto"/>
              <w:jc w:val="center"/>
              <w:rPr>
                <w:rFonts w:cs="Arial"/>
              </w:rPr>
            </w:pPr>
          </w:p>
        </w:tc>
        <w:tc>
          <w:tcPr>
            <w:tcW w:w="1389" w:type="dxa"/>
          </w:tcPr>
          <w:p w14:paraId="7DA97FAE" w14:textId="77777777" w:rsidR="00BD25B0" w:rsidRPr="000262D9" w:rsidRDefault="00BD25B0" w:rsidP="000262D9">
            <w:pPr>
              <w:spacing w:after="0" w:line="240" w:lineRule="auto"/>
              <w:jc w:val="center"/>
              <w:rPr>
                <w:rFonts w:cs="Arial"/>
              </w:rPr>
            </w:pPr>
          </w:p>
        </w:tc>
        <w:tc>
          <w:tcPr>
            <w:tcW w:w="1417" w:type="dxa"/>
          </w:tcPr>
          <w:p w14:paraId="6A943D4F" w14:textId="77777777" w:rsidR="00BD25B0" w:rsidRPr="000262D9" w:rsidRDefault="00BD25B0" w:rsidP="000262D9">
            <w:pPr>
              <w:spacing w:after="0" w:line="240" w:lineRule="auto"/>
              <w:jc w:val="center"/>
              <w:rPr>
                <w:rFonts w:cs="Arial"/>
              </w:rPr>
            </w:pPr>
          </w:p>
        </w:tc>
      </w:tr>
      <w:tr w:rsidR="00BD25B0" w14:paraId="208094D8" w14:textId="77777777">
        <w:tc>
          <w:tcPr>
            <w:tcW w:w="2127" w:type="dxa"/>
          </w:tcPr>
          <w:p w14:paraId="40360E57" w14:textId="77777777" w:rsidR="00BD25B0" w:rsidRPr="000262D9" w:rsidRDefault="00BD25B0" w:rsidP="000262D9">
            <w:pPr>
              <w:spacing w:after="0"/>
              <w:rPr>
                <w:b/>
                <w:bCs/>
              </w:rPr>
            </w:pPr>
            <w:r w:rsidRPr="000262D9">
              <w:rPr>
                <w:b/>
                <w:bCs/>
              </w:rPr>
              <w:t xml:space="preserve">    </w:t>
            </w:r>
            <w:proofErr w:type="gramStart"/>
            <w:r w:rsidRPr="000262D9">
              <w:rPr>
                <w:b/>
                <w:bCs/>
              </w:rPr>
              <w:t xml:space="preserve">DSE </w:t>
            </w:r>
            <w:r>
              <w:rPr>
                <w:b/>
                <w:bCs/>
              </w:rPr>
              <w:t xml:space="preserve"> </w:t>
            </w:r>
            <w:r w:rsidRPr="000262D9">
              <w:rPr>
                <w:b/>
                <w:bCs/>
              </w:rPr>
              <w:t>(</w:t>
            </w:r>
            <w:proofErr w:type="gramEnd"/>
            <w:r w:rsidRPr="000262D9">
              <w:rPr>
                <w:b/>
                <w:bCs/>
              </w:rPr>
              <w:t>%)</w:t>
            </w:r>
          </w:p>
        </w:tc>
        <w:tc>
          <w:tcPr>
            <w:tcW w:w="1417" w:type="dxa"/>
          </w:tcPr>
          <w:p w14:paraId="74D0EAC1" w14:textId="77777777" w:rsidR="00BD25B0" w:rsidRPr="000262D9" w:rsidRDefault="00BD25B0" w:rsidP="000262D9">
            <w:pPr>
              <w:spacing w:after="0"/>
              <w:jc w:val="center"/>
            </w:pPr>
            <w:r w:rsidRPr="000262D9">
              <w:t>12.6</w:t>
            </w:r>
          </w:p>
        </w:tc>
        <w:tc>
          <w:tcPr>
            <w:tcW w:w="1418" w:type="dxa"/>
          </w:tcPr>
          <w:p w14:paraId="0DCAF570" w14:textId="77777777" w:rsidR="00BD25B0" w:rsidRPr="000262D9" w:rsidRDefault="00BD25B0" w:rsidP="000262D9">
            <w:pPr>
              <w:spacing w:after="0"/>
              <w:jc w:val="center"/>
            </w:pPr>
            <w:r w:rsidRPr="000262D9">
              <w:t>43.6</w:t>
            </w:r>
          </w:p>
        </w:tc>
        <w:tc>
          <w:tcPr>
            <w:tcW w:w="1417" w:type="dxa"/>
          </w:tcPr>
          <w:p w14:paraId="3E367EF6" w14:textId="77777777" w:rsidR="00BD25B0" w:rsidRPr="000262D9" w:rsidRDefault="00BD25B0" w:rsidP="000262D9">
            <w:pPr>
              <w:spacing w:after="0"/>
              <w:jc w:val="center"/>
            </w:pPr>
            <w:r w:rsidRPr="000262D9">
              <w:t>58.8</w:t>
            </w:r>
          </w:p>
        </w:tc>
        <w:tc>
          <w:tcPr>
            <w:tcW w:w="1418" w:type="dxa"/>
          </w:tcPr>
          <w:p w14:paraId="4BB182D3" w14:textId="77777777" w:rsidR="00BD25B0" w:rsidRPr="000262D9" w:rsidRDefault="00BD25B0" w:rsidP="000262D9">
            <w:pPr>
              <w:spacing w:after="0" w:line="240" w:lineRule="auto"/>
              <w:jc w:val="center"/>
              <w:rPr>
                <w:rFonts w:cs="Arial"/>
              </w:rPr>
            </w:pPr>
            <w:r w:rsidRPr="000262D9">
              <w:rPr>
                <w:rFonts w:ascii="Symbol" w:hAnsi="Symbol" w:cs="Symbol"/>
                <w:b/>
                <w:bCs/>
              </w:rPr>
              <w:t></w:t>
            </w:r>
            <w:r w:rsidRPr="000262D9">
              <w:rPr>
                <w:b/>
                <w:bCs/>
                <w:vertAlign w:val="superscript"/>
              </w:rPr>
              <w:t>2</w:t>
            </w:r>
            <w:r w:rsidRPr="000262D9">
              <w:rPr>
                <w:b/>
                <w:bCs/>
              </w:rPr>
              <w:t xml:space="preserve">=14.92, </w:t>
            </w:r>
            <w:r w:rsidRPr="000262D9">
              <w:rPr>
                <w:b/>
                <w:bCs/>
                <w:i/>
                <w:iCs/>
              </w:rPr>
              <w:t>p</w:t>
            </w:r>
            <w:r w:rsidRPr="000262D9">
              <w:rPr>
                <w:b/>
                <w:bCs/>
              </w:rPr>
              <w:t>&lt;01</w:t>
            </w:r>
          </w:p>
        </w:tc>
        <w:tc>
          <w:tcPr>
            <w:tcW w:w="1389" w:type="dxa"/>
          </w:tcPr>
          <w:p w14:paraId="73F4C239" w14:textId="77777777" w:rsidR="00BD25B0" w:rsidRPr="000262D9" w:rsidRDefault="00BD25B0" w:rsidP="000262D9">
            <w:pPr>
              <w:spacing w:after="0" w:line="240" w:lineRule="auto"/>
              <w:jc w:val="center"/>
              <w:rPr>
                <w:rFonts w:cs="Arial"/>
                <w:b/>
                <w:bCs/>
              </w:rPr>
            </w:pPr>
            <w:r w:rsidRPr="000262D9">
              <w:rPr>
                <w:rFonts w:ascii="Symbol" w:hAnsi="Symbol" w:cs="Symbol"/>
                <w:b/>
                <w:bCs/>
              </w:rPr>
              <w:t></w:t>
            </w:r>
            <w:r w:rsidRPr="000262D9">
              <w:rPr>
                <w:b/>
                <w:bCs/>
                <w:vertAlign w:val="superscript"/>
              </w:rPr>
              <w:t>2</w:t>
            </w:r>
            <w:r w:rsidRPr="000262D9">
              <w:rPr>
                <w:b/>
                <w:bCs/>
              </w:rPr>
              <w:t xml:space="preserve">=18.82, </w:t>
            </w:r>
            <w:r w:rsidRPr="000262D9">
              <w:rPr>
                <w:b/>
                <w:bCs/>
                <w:i/>
                <w:iCs/>
              </w:rPr>
              <w:t>p</w:t>
            </w:r>
            <w:r w:rsidRPr="000262D9">
              <w:rPr>
                <w:b/>
                <w:bCs/>
              </w:rPr>
              <w:t>&lt;.001</w:t>
            </w:r>
          </w:p>
        </w:tc>
        <w:tc>
          <w:tcPr>
            <w:tcW w:w="1417" w:type="dxa"/>
          </w:tcPr>
          <w:p w14:paraId="0FCC024A" w14:textId="77777777" w:rsidR="00BD25B0" w:rsidRPr="000262D9" w:rsidRDefault="00BD25B0" w:rsidP="000262D9">
            <w:pPr>
              <w:spacing w:after="0" w:line="240" w:lineRule="auto"/>
              <w:jc w:val="center"/>
              <w:rPr>
                <w:rFonts w:ascii="Symbol" w:hAnsi="Symbol" w:cs="Symbol"/>
              </w:rPr>
            </w:pPr>
            <w:r w:rsidRPr="000262D9">
              <w:rPr>
                <w:rFonts w:ascii="Symbol" w:hAnsi="Symbol" w:cs="Symbol"/>
              </w:rPr>
              <w:t></w:t>
            </w:r>
            <w:r w:rsidRPr="000262D9">
              <w:rPr>
                <w:vertAlign w:val="superscript"/>
              </w:rPr>
              <w:t>2</w:t>
            </w:r>
            <w:r>
              <w:t>=1.10</w:t>
            </w:r>
            <w:r w:rsidRPr="00B81773">
              <w:t xml:space="preserve">, </w:t>
            </w:r>
            <w:r w:rsidRPr="000262D9">
              <w:rPr>
                <w:i/>
                <w:iCs/>
              </w:rPr>
              <w:t>p</w:t>
            </w:r>
            <w:r>
              <w:t>=.29</w:t>
            </w:r>
          </w:p>
        </w:tc>
      </w:tr>
      <w:tr w:rsidR="00BD25B0" w14:paraId="2EC360B7" w14:textId="77777777">
        <w:tc>
          <w:tcPr>
            <w:tcW w:w="2127" w:type="dxa"/>
          </w:tcPr>
          <w:p w14:paraId="7FDAF2A3" w14:textId="77777777" w:rsidR="00BD25B0" w:rsidRPr="000262D9" w:rsidRDefault="00BD25B0" w:rsidP="000262D9">
            <w:pPr>
              <w:spacing w:after="0"/>
              <w:rPr>
                <w:b/>
                <w:bCs/>
              </w:rPr>
            </w:pPr>
            <w:r w:rsidRPr="000262D9">
              <w:rPr>
                <w:b/>
                <w:bCs/>
              </w:rPr>
              <w:t xml:space="preserve">   </w:t>
            </w:r>
            <w:proofErr w:type="gramStart"/>
            <w:r w:rsidRPr="000262D9">
              <w:rPr>
                <w:b/>
                <w:bCs/>
              </w:rPr>
              <w:t>Autism  (</w:t>
            </w:r>
            <w:proofErr w:type="gramEnd"/>
            <w:r w:rsidRPr="000262D9">
              <w:rPr>
                <w:b/>
                <w:bCs/>
              </w:rPr>
              <w:t>%)</w:t>
            </w:r>
          </w:p>
        </w:tc>
        <w:tc>
          <w:tcPr>
            <w:tcW w:w="1417" w:type="dxa"/>
          </w:tcPr>
          <w:p w14:paraId="0D9B650F" w14:textId="77777777" w:rsidR="00BD25B0" w:rsidRPr="000262D9" w:rsidRDefault="00BD25B0" w:rsidP="000262D9">
            <w:pPr>
              <w:spacing w:after="0"/>
              <w:jc w:val="center"/>
            </w:pPr>
            <w:r w:rsidRPr="000262D9">
              <w:t>2.8</w:t>
            </w:r>
          </w:p>
        </w:tc>
        <w:tc>
          <w:tcPr>
            <w:tcW w:w="1418" w:type="dxa"/>
          </w:tcPr>
          <w:p w14:paraId="1D809E15" w14:textId="77777777" w:rsidR="00BD25B0" w:rsidRPr="000262D9" w:rsidRDefault="00BD25B0" w:rsidP="000262D9">
            <w:pPr>
              <w:spacing w:after="0"/>
              <w:jc w:val="center"/>
            </w:pPr>
            <w:r w:rsidRPr="000262D9">
              <w:t>6.7</w:t>
            </w:r>
          </w:p>
        </w:tc>
        <w:tc>
          <w:tcPr>
            <w:tcW w:w="1417" w:type="dxa"/>
          </w:tcPr>
          <w:p w14:paraId="6A3D56DB" w14:textId="77777777" w:rsidR="00BD25B0" w:rsidRPr="000262D9" w:rsidRDefault="00BD25B0" w:rsidP="000262D9">
            <w:pPr>
              <w:spacing w:after="0"/>
              <w:jc w:val="center"/>
            </w:pPr>
            <w:r w:rsidRPr="000262D9">
              <w:t>15.4</w:t>
            </w:r>
          </w:p>
        </w:tc>
        <w:tc>
          <w:tcPr>
            <w:tcW w:w="1418" w:type="dxa"/>
          </w:tcPr>
          <w:p w14:paraId="4E39F77C" w14:textId="77777777" w:rsidR="00BD25B0" w:rsidRPr="000262D9" w:rsidRDefault="00BD25B0" w:rsidP="000262D9">
            <w:pPr>
              <w:spacing w:after="0" w:line="240" w:lineRule="auto"/>
              <w:jc w:val="center"/>
              <w:rPr>
                <w:rFonts w:cs="Arial"/>
              </w:rPr>
            </w:pPr>
            <w:r w:rsidRPr="000262D9">
              <w:rPr>
                <w:rFonts w:ascii="Symbol" w:hAnsi="Symbol" w:cs="Symbol"/>
              </w:rPr>
              <w:t></w:t>
            </w:r>
            <w:r w:rsidRPr="000262D9">
              <w:rPr>
                <w:vertAlign w:val="superscript"/>
              </w:rPr>
              <w:t>2</w:t>
            </w:r>
            <w:r w:rsidRPr="00B81773">
              <w:t xml:space="preserve">=0.85, </w:t>
            </w:r>
            <w:r w:rsidRPr="000262D9">
              <w:rPr>
                <w:i/>
                <w:iCs/>
              </w:rPr>
              <w:t>p</w:t>
            </w:r>
            <w:r w:rsidRPr="00B81773">
              <w:t>=.36</w:t>
            </w:r>
          </w:p>
        </w:tc>
        <w:tc>
          <w:tcPr>
            <w:tcW w:w="1389" w:type="dxa"/>
          </w:tcPr>
          <w:p w14:paraId="20D8276A" w14:textId="77777777" w:rsidR="00BD25B0" w:rsidRPr="000262D9" w:rsidRDefault="00BD25B0" w:rsidP="000262D9">
            <w:pPr>
              <w:spacing w:after="0" w:line="240" w:lineRule="auto"/>
              <w:jc w:val="center"/>
              <w:rPr>
                <w:rFonts w:cs="Arial"/>
                <w:b/>
                <w:bCs/>
              </w:rPr>
            </w:pPr>
            <w:r w:rsidRPr="000262D9">
              <w:rPr>
                <w:rFonts w:ascii="Symbol" w:hAnsi="Symbol" w:cs="Symbol"/>
                <w:b/>
                <w:bCs/>
              </w:rPr>
              <w:t></w:t>
            </w:r>
            <w:r w:rsidRPr="000262D9">
              <w:rPr>
                <w:b/>
                <w:bCs/>
                <w:vertAlign w:val="superscript"/>
              </w:rPr>
              <w:t>2</w:t>
            </w:r>
            <w:r w:rsidRPr="000262D9">
              <w:rPr>
                <w:b/>
                <w:bCs/>
              </w:rPr>
              <w:t xml:space="preserve">=3.90, </w:t>
            </w:r>
            <w:r w:rsidRPr="000262D9">
              <w:rPr>
                <w:b/>
                <w:bCs/>
                <w:i/>
                <w:iCs/>
              </w:rPr>
              <w:t>p</w:t>
            </w:r>
            <w:r w:rsidRPr="000262D9">
              <w:rPr>
                <w:b/>
                <w:bCs/>
              </w:rPr>
              <w:t>&lt;.05</w:t>
            </w:r>
          </w:p>
        </w:tc>
        <w:tc>
          <w:tcPr>
            <w:tcW w:w="1417" w:type="dxa"/>
          </w:tcPr>
          <w:p w14:paraId="1F6CDF68" w14:textId="77777777" w:rsidR="00BD25B0" w:rsidRPr="000262D9" w:rsidRDefault="00BD25B0" w:rsidP="000262D9">
            <w:pPr>
              <w:spacing w:after="0" w:line="240" w:lineRule="auto"/>
              <w:jc w:val="center"/>
              <w:rPr>
                <w:rFonts w:ascii="Symbol" w:hAnsi="Symbol" w:cs="Symbol"/>
              </w:rPr>
            </w:pPr>
            <w:r w:rsidRPr="000262D9">
              <w:rPr>
                <w:rFonts w:ascii="Symbol" w:hAnsi="Symbol" w:cs="Symbol"/>
              </w:rPr>
              <w:t></w:t>
            </w:r>
            <w:r w:rsidRPr="000262D9">
              <w:rPr>
                <w:vertAlign w:val="superscript"/>
              </w:rPr>
              <w:t>2</w:t>
            </w:r>
            <w:r w:rsidRPr="00B81773">
              <w:t xml:space="preserve">=0.82, </w:t>
            </w:r>
            <w:r w:rsidRPr="000262D9">
              <w:rPr>
                <w:i/>
                <w:iCs/>
              </w:rPr>
              <w:t>p</w:t>
            </w:r>
            <w:r w:rsidRPr="00B81773">
              <w:t>=.37</w:t>
            </w:r>
          </w:p>
        </w:tc>
      </w:tr>
      <w:tr w:rsidR="00BD25B0" w14:paraId="1B3878BE" w14:textId="77777777">
        <w:tc>
          <w:tcPr>
            <w:tcW w:w="2127" w:type="dxa"/>
          </w:tcPr>
          <w:p w14:paraId="18620E58" w14:textId="77777777" w:rsidR="00BD25B0" w:rsidRPr="000262D9" w:rsidRDefault="00BD25B0" w:rsidP="000262D9">
            <w:pPr>
              <w:spacing w:after="0"/>
              <w:rPr>
                <w:b/>
                <w:bCs/>
              </w:rPr>
            </w:pPr>
            <w:r w:rsidRPr="000262D9">
              <w:rPr>
                <w:b/>
                <w:bCs/>
              </w:rPr>
              <w:t xml:space="preserve">   </w:t>
            </w:r>
            <w:proofErr w:type="gramStart"/>
            <w:r w:rsidRPr="000262D9">
              <w:rPr>
                <w:b/>
                <w:bCs/>
              </w:rPr>
              <w:t xml:space="preserve">CI </w:t>
            </w:r>
            <w:r>
              <w:rPr>
                <w:b/>
                <w:bCs/>
              </w:rPr>
              <w:t xml:space="preserve"> </w:t>
            </w:r>
            <w:r w:rsidRPr="000262D9">
              <w:rPr>
                <w:b/>
                <w:bCs/>
              </w:rPr>
              <w:t>(</w:t>
            </w:r>
            <w:proofErr w:type="gramEnd"/>
            <w:r w:rsidRPr="000262D9">
              <w:rPr>
                <w:b/>
                <w:bCs/>
              </w:rPr>
              <w:t>%)</w:t>
            </w:r>
          </w:p>
        </w:tc>
        <w:tc>
          <w:tcPr>
            <w:tcW w:w="1417" w:type="dxa"/>
          </w:tcPr>
          <w:p w14:paraId="04CD12D9" w14:textId="77777777" w:rsidR="00BD25B0" w:rsidRPr="000262D9" w:rsidRDefault="00BD25B0" w:rsidP="000262D9">
            <w:pPr>
              <w:spacing w:after="0"/>
              <w:jc w:val="center"/>
            </w:pPr>
            <w:r w:rsidRPr="000262D9">
              <w:t>10.4</w:t>
            </w:r>
          </w:p>
        </w:tc>
        <w:tc>
          <w:tcPr>
            <w:tcW w:w="1418" w:type="dxa"/>
          </w:tcPr>
          <w:p w14:paraId="4A58D03E" w14:textId="77777777" w:rsidR="00BD25B0" w:rsidRPr="000262D9" w:rsidRDefault="00BD25B0" w:rsidP="000262D9">
            <w:pPr>
              <w:spacing w:after="0"/>
              <w:jc w:val="center"/>
              <w:rPr>
                <w:rFonts w:cs="Arial"/>
              </w:rPr>
            </w:pPr>
            <w:r w:rsidRPr="000262D9">
              <w:t>10</w:t>
            </w:r>
            <w:r>
              <w:t>.0</w:t>
            </w:r>
          </w:p>
        </w:tc>
        <w:tc>
          <w:tcPr>
            <w:tcW w:w="1417" w:type="dxa"/>
          </w:tcPr>
          <w:p w14:paraId="4C39CA51" w14:textId="77777777" w:rsidR="00BD25B0" w:rsidRPr="000262D9" w:rsidRDefault="00BD25B0" w:rsidP="000262D9">
            <w:pPr>
              <w:spacing w:after="0"/>
              <w:jc w:val="center"/>
            </w:pPr>
            <w:r w:rsidRPr="000262D9">
              <w:t>9.1</w:t>
            </w:r>
          </w:p>
        </w:tc>
        <w:tc>
          <w:tcPr>
            <w:tcW w:w="1418" w:type="dxa"/>
          </w:tcPr>
          <w:p w14:paraId="60135F90" w14:textId="77777777" w:rsidR="00BD25B0" w:rsidRPr="000262D9" w:rsidRDefault="00BD25B0" w:rsidP="000262D9">
            <w:pPr>
              <w:spacing w:after="0" w:line="240" w:lineRule="auto"/>
              <w:jc w:val="center"/>
              <w:rPr>
                <w:rFonts w:cs="Arial"/>
              </w:rPr>
            </w:pPr>
            <w:r w:rsidRPr="000262D9">
              <w:rPr>
                <w:rFonts w:ascii="Symbol" w:hAnsi="Symbol" w:cs="Symbol"/>
              </w:rPr>
              <w:t></w:t>
            </w:r>
            <w:r w:rsidRPr="000262D9">
              <w:rPr>
                <w:vertAlign w:val="superscript"/>
              </w:rPr>
              <w:t>2</w:t>
            </w:r>
            <w:r w:rsidRPr="00B81773">
              <w:t xml:space="preserve">=0.01, </w:t>
            </w:r>
            <w:r w:rsidRPr="000262D9">
              <w:rPr>
                <w:i/>
                <w:iCs/>
              </w:rPr>
              <w:t>p</w:t>
            </w:r>
            <w:r w:rsidRPr="00B81773">
              <w:t>=.95</w:t>
            </w:r>
          </w:p>
        </w:tc>
        <w:tc>
          <w:tcPr>
            <w:tcW w:w="1389" w:type="dxa"/>
          </w:tcPr>
          <w:p w14:paraId="624604DB" w14:textId="77777777" w:rsidR="00BD25B0" w:rsidRPr="000262D9" w:rsidRDefault="00BD25B0" w:rsidP="000262D9">
            <w:pPr>
              <w:spacing w:after="0" w:line="240" w:lineRule="auto"/>
              <w:jc w:val="center"/>
              <w:rPr>
                <w:rFonts w:cs="Arial"/>
              </w:rPr>
            </w:pPr>
            <w:r w:rsidRPr="000262D9">
              <w:rPr>
                <w:rFonts w:ascii="Symbol" w:hAnsi="Symbol" w:cs="Symbol"/>
              </w:rPr>
              <w:t></w:t>
            </w:r>
            <w:r w:rsidRPr="000262D9">
              <w:rPr>
                <w:vertAlign w:val="superscript"/>
              </w:rPr>
              <w:t>2</w:t>
            </w:r>
            <w:r w:rsidRPr="00B81773">
              <w:t xml:space="preserve">=0.02, </w:t>
            </w:r>
            <w:r w:rsidRPr="000262D9">
              <w:rPr>
                <w:i/>
                <w:iCs/>
              </w:rPr>
              <w:t>p</w:t>
            </w:r>
            <w:r w:rsidRPr="00B81773">
              <w:t>=.89</w:t>
            </w:r>
          </w:p>
        </w:tc>
        <w:tc>
          <w:tcPr>
            <w:tcW w:w="1417" w:type="dxa"/>
          </w:tcPr>
          <w:p w14:paraId="333534D4" w14:textId="77777777" w:rsidR="00BD25B0" w:rsidRPr="000262D9" w:rsidRDefault="00BD25B0" w:rsidP="000262D9">
            <w:pPr>
              <w:spacing w:after="0" w:line="240" w:lineRule="auto"/>
              <w:jc w:val="center"/>
              <w:rPr>
                <w:rFonts w:ascii="Symbol" w:hAnsi="Symbol" w:cs="Symbol"/>
              </w:rPr>
            </w:pPr>
            <w:r w:rsidRPr="000262D9">
              <w:rPr>
                <w:rFonts w:ascii="Symbol" w:hAnsi="Symbol" w:cs="Symbol"/>
              </w:rPr>
              <w:t></w:t>
            </w:r>
            <w:r w:rsidRPr="000262D9">
              <w:rPr>
                <w:vertAlign w:val="superscript"/>
              </w:rPr>
              <w:t>2</w:t>
            </w:r>
            <w:r w:rsidRPr="00B81773">
              <w:t xml:space="preserve">=0.01, </w:t>
            </w:r>
            <w:r w:rsidRPr="000262D9">
              <w:rPr>
                <w:i/>
                <w:iCs/>
              </w:rPr>
              <w:t>p</w:t>
            </w:r>
            <w:r w:rsidRPr="00B81773">
              <w:t>=.93</w:t>
            </w:r>
          </w:p>
        </w:tc>
      </w:tr>
      <w:tr w:rsidR="00BD25B0" w14:paraId="00B5415D" w14:textId="77777777">
        <w:tc>
          <w:tcPr>
            <w:tcW w:w="2127" w:type="dxa"/>
          </w:tcPr>
          <w:p w14:paraId="607CCEB0" w14:textId="77777777" w:rsidR="00BD25B0" w:rsidRPr="000262D9" w:rsidRDefault="00BD25B0" w:rsidP="000262D9">
            <w:pPr>
              <w:spacing w:after="0" w:line="240" w:lineRule="auto"/>
              <w:rPr>
                <w:rFonts w:cs="Arial"/>
                <w:b/>
                <w:bCs/>
              </w:rPr>
            </w:pPr>
            <w:r w:rsidRPr="000262D9">
              <w:rPr>
                <w:b/>
                <w:bCs/>
              </w:rPr>
              <w:t xml:space="preserve">   CD </w:t>
            </w:r>
            <w:r>
              <w:rPr>
                <w:b/>
                <w:bCs/>
              </w:rPr>
              <w:t xml:space="preserve"> </w:t>
            </w:r>
          </w:p>
          <w:p w14:paraId="2F122296" w14:textId="77777777" w:rsidR="00BD25B0" w:rsidRPr="000262D9" w:rsidRDefault="00BD25B0" w:rsidP="000262D9">
            <w:pPr>
              <w:spacing w:after="0" w:line="240" w:lineRule="auto"/>
              <w:rPr>
                <w:rFonts w:cs="Arial"/>
                <w:b/>
                <w:bCs/>
              </w:rPr>
            </w:pPr>
          </w:p>
        </w:tc>
        <w:tc>
          <w:tcPr>
            <w:tcW w:w="1417" w:type="dxa"/>
          </w:tcPr>
          <w:p w14:paraId="65C59681" w14:textId="239FAA07" w:rsidR="00BD25B0" w:rsidRPr="000262D9" w:rsidRDefault="00D40716" w:rsidP="000262D9">
            <w:pPr>
              <w:spacing w:after="0"/>
              <w:jc w:val="center"/>
            </w:pPr>
            <w:r>
              <w:t>46.38</w:t>
            </w:r>
            <w:r w:rsidR="00BD25B0" w:rsidRPr="000262D9">
              <w:t xml:space="preserve"> </w:t>
            </w:r>
            <w:r>
              <w:t>(10.78</w:t>
            </w:r>
            <w:r w:rsidR="00BD25B0" w:rsidRPr="000262D9">
              <w:t>)</w:t>
            </w:r>
          </w:p>
        </w:tc>
        <w:tc>
          <w:tcPr>
            <w:tcW w:w="1418" w:type="dxa"/>
          </w:tcPr>
          <w:p w14:paraId="682BADAD" w14:textId="77777777" w:rsidR="00BD25B0" w:rsidRPr="000262D9" w:rsidRDefault="00BD25B0" w:rsidP="000262D9">
            <w:pPr>
              <w:spacing w:after="0"/>
              <w:jc w:val="center"/>
            </w:pPr>
            <w:r w:rsidRPr="000262D9">
              <w:t>48.45 (13.45)</w:t>
            </w:r>
          </w:p>
        </w:tc>
        <w:tc>
          <w:tcPr>
            <w:tcW w:w="1417" w:type="dxa"/>
          </w:tcPr>
          <w:p w14:paraId="6EB2A561" w14:textId="77777777" w:rsidR="00BD25B0" w:rsidRPr="000262D9" w:rsidRDefault="00BD25B0" w:rsidP="000262D9">
            <w:pPr>
              <w:spacing w:after="0"/>
              <w:jc w:val="center"/>
            </w:pPr>
            <w:r w:rsidRPr="000262D9">
              <w:t>51.36 (11.16)</w:t>
            </w:r>
          </w:p>
        </w:tc>
        <w:tc>
          <w:tcPr>
            <w:tcW w:w="1418" w:type="dxa"/>
          </w:tcPr>
          <w:p w14:paraId="567F6AC8" w14:textId="77777777" w:rsidR="00BD25B0" w:rsidRPr="000262D9" w:rsidRDefault="00BD25B0" w:rsidP="000262D9">
            <w:pPr>
              <w:spacing w:after="0" w:line="240" w:lineRule="auto"/>
              <w:jc w:val="center"/>
              <w:rPr>
                <w:rFonts w:cs="Arial"/>
              </w:rPr>
            </w:pPr>
            <w:r w:rsidRPr="000262D9">
              <w:rPr>
                <w:lang w:val="es-ES"/>
              </w:rPr>
              <w:t xml:space="preserve">t(101)=-0.83, </w:t>
            </w:r>
            <w:r w:rsidRPr="000262D9">
              <w:rPr>
                <w:i/>
                <w:iCs/>
                <w:lang w:val="es-ES"/>
              </w:rPr>
              <w:t>p</w:t>
            </w:r>
            <w:r w:rsidRPr="000262D9">
              <w:rPr>
                <w:lang w:val="es-ES"/>
              </w:rPr>
              <w:t>=.41</w:t>
            </w:r>
          </w:p>
        </w:tc>
        <w:tc>
          <w:tcPr>
            <w:tcW w:w="1389" w:type="dxa"/>
          </w:tcPr>
          <w:p w14:paraId="71304DE6" w14:textId="77777777" w:rsidR="00BD25B0" w:rsidRPr="000262D9" w:rsidRDefault="00BD25B0" w:rsidP="000262D9">
            <w:pPr>
              <w:spacing w:after="0" w:line="240" w:lineRule="auto"/>
              <w:jc w:val="center"/>
              <w:rPr>
                <w:rFonts w:cs="Arial"/>
              </w:rPr>
            </w:pPr>
            <w:r w:rsidRPr="000262D9">
              <w:rPr>
                <w:lang w:val="es-ES"/>
              </w:rPr>
              <w:t xml:space="preserve">t(81)=-1.42, </w:t>
            </w:r>
            <w:r w:rsidRPr="000262D9">
              <w:rPr>
                <w:i/>
                <w:iCs/>
                <w:lang w:val="es-ES"/>
              </w:rPr>
              <w:t>p</w:t>
            </w:r>
            <w:r w:rsidRPr="000262D9">
              <w:rPr>
                <w:lang w:val="es-ES"/>
              </w:rPr>
              <w:t>=.16</w:t>
            </w:r>
          </w:p>
        </w:tc>
        <w:tc>
          <w:tcPr>
            <w:tcW w:w="1417" w:type="dxa"/>
          </w:tcPr>
          <w:p w14:paraId="65296930" w14:textId="77777777" w:rsidR="00BD25B0" w:rsidRPr="000262D9" w:rsidRDefault="00BD25B0" w:rsidP="000262D9">
            <w:pPr>
              <w:spacing w:after="0" w:line="240" w:lineRule="auto"/>
              <w:jc w:val="center"/>
              <w:rPr>
                <w:rFonts w:ascii="Symbol" w:hAnsi="Symbol" w:cs="Symbol"/>
              </w:rPr>
            </w:pPr>
            <w:r w:rsidRPr="000262D9">
              <w:rPr>
                <w:lang w:val="es-ES"/>
              </w:rPr>
              <w:t xml:space="preserve">t(40)=-0.64, </w:t>
            </w:r>
            <w:r w:rsidRPr="000262D9">
              <w:rPr>
                <w:i/>
                <w:iCs/>
                <w:lang w:val="es-ES"/>
              </w:rPr>
              <w:t>p</w:t>
            </w:r>
            <w:r w:rsidRPr="000262D9">
              <w:rPr>
                <w:lang w:val="es-ES"/>
              </w:rPr>
              <w:t>=.52</w:t>
            </w:r>
          </w:p>
        </w:tc>
      </w:tr>
      <w:tr w:rsidR="00BD25B0" w14:paraId="31B7035F" w14:textId="77777777">
        <w:tc>
          <w:tcPr>
            <w:tcW w:w="2127" w:type="dxa"/>
          </w:tcPr>
          <w:p w14:paraId="449947FB" w14:textId="77777777" w:rsidR="00BD25B0" w:rsidRPr="000262D9" w:rsidRDefault="00BD25B0" w:rsidP="000262D9">
            <w:pPr>
              <w:spacing w:after="0"/>
              <w:rPr>
                <w:b/>
                <w:bCs/>
              </w:rPr>
            </w:pPr>
            <w:r w:rsidRPr="000262D9">
              <w:rPr>
                <w:b/>
                <w:bCs/>
              </w:rPr>
              <w:t xml:space="preserve">   Depression </w:t>
            </w:r>
          </w:p>
          <w:p w14:paraId="476B2EB1" w14:textId="77777777" w:rsidR="00BD25B0" w:rsidRPr="000262D9" w:rsidRDefault="00BD25B0" w:rsidP="000262D9">
            <w:pPr>
              <w:spacing w:after="0"/>
              <w:rPr>
                <w:b/>
                <w:bCs/>
              </w:rPr>
            </w:pPr>
          </w:p>
        </w:tc>
        <w:tc>
          <w:tcPr>
            <w:tcW w:w="1417" w:type="dxa"/>
          </w:tcPr>
          <w:p w14:paraId="75EB1EAE" w14:textId="4FE630F9" w:rsidR="00BD25B0" w:rsidRPr="000262D9" w:rsidRDefault="00D40716" w:rsidP="000262D9">
            <w:pPr>
              <w:spacing w:after="0"/>
              <w:jc w:val="center"/>
            </w:pPr>
            <w:r>
              <w:t>54.29 (13.96</w:t>
            </w:r>
            <w:r w:rsidR="00BD25B0" w:rsidRPr="000262D9">
              <w:t>)</w:t>
            </w:r>
          </w:p>
        </w:tc>
        <w:tc>
          <w:tcPr>
            <w:tcW w:w="1418" w:type="dxa"/>
          </w:tcPr>
          <w:p w14:paraId="5804E601" w14:textId="77777777" w:rsidR="00BD25B0" w:rsidRPr="000262D9" w:rsidRDefault="00BD25B0" w:rsidP="000262D9">
            <w:pPr>
              <w:spacing w:after="0"/>
              <w:jc w:val="center"/>
            </w:pPr>
            <w:r w:rsidRPr="000262D9">
              <w:t>58.19 (14.97)</w:t>
            </w:r>
          </w:p>
        </w:tc>
        <w:tc>
          <w:tcPr>
            <w:tcW w:w="1417" w:type="dxa"/>
          </w:tcPr>
          <w:p w14:paraId="4EF8AAAD" w14:textId="77777777" w:rsidR="00BD25B0" w:rsidRPr="000262D9" w:rsidRDefault="00BD25B0" w:rsidP="000262D9">
            <w:pPr>
              <w:spacing w:after="0"/>
            </w:pPr>
            <w:r w:rsidRPr="000262D9">
              <w:t>65.00 (12.60)</w:t>
            </w:r>
          </w:p>
        </w:tc>
        <w:tc>
          <w:tcPr>
            <w:tcW w:w="1418" w:type="dxa"/>
          </w:tcPr>
          <w:p w14:paraId="34B8816B" w14:textId="77777777" w:rsidR="00BD25B0" w:rsidRPr="000262D9" w:rsidRDefault="00BD25B0" w:rsidP="000262D9">
            <w:pPr>
              <w:spacing w:after="0" w:line="240" w:lineRule="auto"/>
              <w:jc w:val="center"/>
              <w:rPr>
                <w:rFonts w:cs="Arial"/>
              </w:rPr>
            </w:pPr>
            <w:r w:rsidRPr="000262D9">
              <w:rPr>
                <w:lang w:val="es-ES"/>
              </w:rPr>
              <w:t xml:space="preserve">t(101)=-1.27, </w:t>
            </w:r>
            <w:r w:rsidRPr="000262D9">
              <w:rPr>
                <w:i/>
                <w:iCs/>
                <w:lang w:val="es-ES"/>
              </w:rPr>
              <w:t>p</w:t>
            </w:r>
            <w:r w:rsidRPr="000262D9">
              <w:rPr>
                <w:lang w:val="es-ES"/>
              </w:rPr>
              <w:t>=.21</w:t>
            </w:r>
          </w:p>
        </w:tc>
        <w:tc>
          <w:tcPr>
            <w:tcW w:w="1389" w:type="dxa"/>
          </w:tcPr>
          <w:p w14:paraId="2549C628" w14:textId="77777777" w:rsidR="00BD25B0" w:rsidRPr="000262D9" w:rsidRDefault="00BD25B0" w:rsidP="000262D9">
            <w:pPr>
              <w:spacing w:after="0" w:line="240" w:lineRule="auto"/>
              <w:jc w:val="center"/>
              <w:rPr>
                <w:rFonts w:cs="Arial"/>
                <w:b/>
                <w:bCs/>
              </w:rPr>
            </w:pPr>
            <w:r w:rsidRPr="000262D9">
              <w:rPr>
                <w:b/>
                <w:bCs/>
                <w:lang w:val="es-ES"/>
              </w:rPr>
              <w:t xml:space="preserve">t(81)=-2.40, </w:t>
            </w:r>
            <w:r w:rsidRPr="000262D9">
              <w:rPr>
                <w:b/>
                <w:bCs/>
                <w:i/>
                <w:iCs/>
                <w:lang w:val="es-ES"/>
              </w:rPr>
              <w:t>p</w:t>
            </w:r>
            <w:r w:rsidRPr="000262D9">
              <w:rPr>
                <w:b/>
                <w:bCs/>
                <w:lang w:val="es-ES"/>
              </w:rPr>
              <w:t>=.02</w:t>
            </w:r>
          </w:p>
        </w:tc>
        <w:tc>
          <w:tcPr>
            <w:tcW w:w="1417" w:type="dxa"/>
          </w:tcPr>
          <w:p w14:paraId="1A43AFAB" w14:textId="77777777" w:rsidR="00BD25B0" w:rsidRPr="000262D9" w:rsidRDefault="00BD25B0" w:rsidP="000262D9">
            <w:pPr>
              <w:spacing w:after="0" w:line="240" w:lineRule="auto"/>
              <w:jc w:val="center"/>
              <w:rPr>
                <w:rFonts w:ascii="Symbol" w:hAnsi="Symbol" w:cs="Symbol"/>
              </w:rPr>
            </w:pPr>
            <w:r w:rsidRPr="000262D9">
              <w:rPr>
                <w:lang w:val="es-ES"/>
              </w:rPr>
              <w:t xml:space="preserve">t(40)=-1.34, </w:t>
            </w:r>
            <w:r w:rsidRPr="000262D9">
              <w:rPr>
                <w:i/>
                <w:iCs/>
                <w:lang w:val="es-ES"/>
              </w:rPr>
              <w:t>p</w:t>
            </w:r>
            <w:r w:rsidRPr="000262D9">
              <w:rPr>
                <w:lang w:val="es-ES"/>
              </w:rPr>
              <w:t>=.19</w:t>
            </w:r>
          </w:p>
        </w:tc>
      </w:tr>
      <w:tr w:rsidR="00BD25B0" w14:paraId="435D7BF1" w14:textId="77777777">
        <w:tc>
          <w:tcPr>
            <w:tcW w:w="2127" w:type="dxa"/>
          </w:tcPr>
          <w:p w14:paraId="55091B97" w14:textId="77777777" w:rsidR="00BD25B0" w:rsidRPr="000262D9" w:rsidRDefault="00BD25B0" w:rsidP="000262D9">
            <w:pPr>
              <w:spacing w:after="0"/>
              <w:rPr>
                <w:b/>
                <w:bCs/>
              </w:rPr>
            </w:pPr>
            <w:r w:rsidRPr="000262D9">
              <w:rPr>
                <w:b/>
                <w:bCs/>
              </w:rPr>
              <w:t xml:space="preserve">   Anxiety </w:t>
            </w:r>
          </w:p>
          <w:p w14:paraId="59746604" w14:textId="77777777" w:rsidR="00BD25B0" w:rsidRPr="000262D9" w:rsidRDefault="00BD25B0" w:rsidP="000262D9">
            <w:pPr>
              <w:spacing w:after="0"/>
              <w:rPr>
                <w:b/>
                <w:bCs/>
              </w:rPr>
            </w:pPr>
          </w:p>
        </w:tc>
        <w:tc>
          <w:tcPr>
            <w:tcW w:w="1417" w:type="dxa"/>
          </w:tcPr>
          <w:p w14:paraId="617A9273" w14:textId="3C0C1CB9" w:rsidR="00BD25B0" w:rsidRPr="000262D9" w:rsidRDefault="00D40716" w:rsidP="000262D9">
            <w:pPr>
              <w:spacing w:after="0"/>
              <w:jc w:val="center"/>
            </w:pPr>
            <w:r>
              <w:t>54.15 (13.63</w:t>
            </w:r>
            <w:r w:rsidR="00BD25B0" w:rsidRPr="000262D9">
              <w:t>)</w:t>
            </w:r>
          </w:p>
        </w:tc>
        <w:tc>
          <w:tcPr>
            <w:tcW w:w="1418" w:type="dxa"/>
          </w:tcPr>
          <w:p w14:paraId="36512E4E" w14:textId="77777777" w:rsidR="00BD25B0" w:rsidRPr="000262D9" w:rsidRDefault="00BD25B0" w:rsidP="000262D9">
            <w:pPr>
              <w:spacing w:after="0"/>
              <w:jc w:val="center"/>
            </w:pPr>
            <w:r w:rsidRPr="000262D9">
              <w:t>58.03 (14.03)</w:t>
            </w:r>
          </w:p>
        </w:tc>
        <w:tc>
          <w:tcPr>
            <w:tcW w:w="1417" w:type="dxa"/>
          </w:tcPr>
          <w:p w14:paraId="636A28B8" w14:textId="77777777" w:rsidR="00BD25B0" w:rsidRPr="000262D9" w:rsidRDefault="00BD25B0" w:rsidP="000262D9">
            <w:pPr>
              <w:spacing w:after="0"/>
              <w:jc w:val="center"/>
            </w:pPr>
            <w:r w:rsidRPr="000262D9">
              <w:t>62.73 (11.86)</w:t>
            </w:r>
          </w:p>
        </w:tc>
        <w:tc>
          <w:tcPr>
            <w:tcW w:w="1418" w:type="dxa"/>
          </w:tcPr>
          <w:p w14:paraId="7AA9187F" w14:textId="77777777" w:rsidR="00BD25B0" w:rsidRPr="000262D9" w:rsidRDefault="00BD25B0" w:rsidP="000262D9">
            <w:pPr>
              <w:spacing w:after="0" w:line="240" w:lineRule="auto"/>
              <w:jc w:val="center"/>
              <w:rPr>
                <w:rFonts w:cs="Arial"/>
              </w:rPr>
            </w:pPr>
            <w:r w:rsidRPr="000262D9">
              <w:rPr>
                <w:lang w:val="fr-FR"/>
              </w:rPr>
              <w:t xml:space="preserve">t(102)=1.32, </w:t>
            </w:r>
            <w:r w:rsidRPr="000262D9">
              <w:rPr>
                <w:i/>
                <w:iCs/>
                <w:lang w:val="fr-FR"/>
              </w:rPr>
              <w:t>p</w:t>
            </w:r>
            <w:r w:rsidRPr="000262D9">
              <w:rPr>
                <w:lang w:val="fr-FR"/>
              </w:rPr>
              <w:t>=.19</w:t>
            </w:r>
          </w:p>
        </w:tc>
        <w:tc>
          <w:tcPr>
            <w:tcW w:w="1389" w:type="dxa"/>
          </w:tcPr>
          <w:p w14:paraId="441DB16E" w14:textId="524003F3" w:rsidR="00BD25B0" w:rsidRPr="000262D9" w:rsidRDefault="00B13F9E" w:rsidP="000262D9">
            <w:pPr>
              <w:spacing w:after="0" w:line="240" w:lineRule="auto"/>
              <w:jc w:val="center"/>
              <w:rPr>
                <w:rFonts w:cs="Arial"/>
                <w:b/>
                <w:bCs/>
              </w:rPr>
            </w:pPr>
            <w:r>
              <w:rPr>
                <w:b/>
                <w:bCs/>
                <w:lang w:val="fr-FR"/>
              </w:rPr>
              <w:t>t(82)=-2.0</w:t>
            </w:r>
            <w:r w:rsidR="00BD25B0" w:rsidRPr="000262D9">
              <w:rPr>
                <w:b/>
                <w:bCs/>
                <w:lang w:val="fr-FR"/>
              </w:rPr>
              <w:t xml:space="preserve">0, </w:t>
            </w:r>
            <w:r w:rsidR="00BD25B0" w:rsidRPr="000262D9">
              <w:rPr>
                <w:b/>
                <w:bCs/>
                <w:i/>
                <w:iCs/>
                <w:lang w:val="fr-FR"/>
              </w:rPr>
              <w:t>p</w:t>
            </w:r>
            <w:r w:rsidR="00BD25B0" w:rsidRPr="000262D9">
              <w:rPr>
                <w:b/>
                <w:bCs/>
                <w:lang w:val="fr-FR"/>
              </w:rPr>
              <w:t>=.05</w:t>
            </w:r>
          </w:p>
        </w:tc>
        <w:tc>
          <w:tcPr>
            <w:tcW w:w="1417" w:type="dxa"/>
          </w:tcPr>
          <w:p w14:paraId="422C9503" w14:textId="77777777" w:rsidR="00BD25B0" w:rsidRPr="000262D9" w:rsidRDefault="00BD25B0" w:rsidP="000262D9">
            <w:pPr>
              <w:spacing w:after="0" w:line="240" w:lineRule="auto"/>
              <w:jc w:val="center"/>
              <w:rPr>
                <w:rFonts w:ascii="Symbol" w:hAnsi="Symbol" w:cs="Symbol"/>
              </w:rPr>
            </w:pPr>
            <w:r w:rsidRPr="000262D9">
              <w:rPr>
                <w:lang w:val="fr-FR"/>
              </w:rPr>
              <w:t xml:space="preserve">t(40)=-0.99, </w:t>
            </w:r>
            <w:r w:rsidRPr="000262D9">
              <w:rPr>
                <w:i/>
                <w:iCs/>
                <w:lang w:val="fr-FR"/>
              </w:rPr>
              <w:t>p</w:t>
            </w:r>
            <w:r w:rsidRPr="000262D9">
              <w:rPr>
                <w:lang w:val="fr-FR"/>
              </w:rPr>
              <w:t>=.33</w:t>
            </w:r>
          </w:p>
        </w:tc>
      </w:tr>
      <w:tr w:rsidR="00BD25B0" w14:paraId="7CC86AAA" w14:textId="77777777">
        <w:tc>
          <w:tcPr>
            <w:tcW w:w="2127" w:type="dxa"/>
          </w:tcPr>
          <w:p w14:paraId="74689CF2" w14:textId="77777777" w:rsidR="00BD25B0" w:rsidRPr="000262D9" w:rsidRDefault="00BD25B0" w:rsidP="000262D9">
            <w:pPr>
              <w:spacing w:after="0"/>
              <w:rPr>
                <w:b/>
                <w:bCs/>
              </w:rPr>
            </w:pPr>
            <w:proofErr w:type="spellStart"/>
            <w:r w:rsidRPr="000262D9">
              <w:rPr>
                <w:b/>
                <w:bCs/>
              </w:rPr>
              <w:t>QoL</w:t>
            </w:r>
            <w:proofErr w:type="spellEnd"/>
          </w:p>
        </w:tc>
        <w:tc>
          <w:tcPr>
            <w:tcW w:w="1417" w:type="dxa"/>
          </w:tcPr>
          <w:p w14:paraId="6C59EC4B" w14:textId="6F3C892C" w:rsidR="00BD25B0" w:rsidRPr="000262D9" w:rsidRDefault="00D40716" w:rsidP="000262D9">
            <w:pPr>
              <w:spacing w:after="0"/>
            </w:pPr>
            <w:r>
              <w:t>16.92</w:t>
            </w:r>
            <w:r w:rsidR="00BD25B0" w:rsidRPr="000262D9">
              <w:t xml:space="preserve"> (5.38)</w:t>
            </w:r>
          </w:p>
        </w:tc>
        <w:tc>
          <w:tcPr>
            <w:tcW w:w="1418" w:type="dxa"/>
          </w:tcPr>
          <w:p w14:paraId="50CAE72A" w14:textId="77777777" w:rsidR="00BD25B0" w:rsidRPr="000262D9" w:rsidRDefault="00BD25B0" w:rsidP="000262D9">
            <w:pPr>
              <w:spacing w:after="0"/>
            </w:pPr>
            <w:r w:rsidRPr="000262D9">
              <w:t>18.19 (5.05)</w:t>
            </w:r>
          </w:p>
        </w:tc>
        <w:tc>
          <w:tcPr>
            <w:tcW w:w="1417" w:type="dxa"/>
          </w:tcPr>
          <w:p w14:paraId="13132215" w14:textId="77777777" w:rsidR="00BD25B0" w:rsidRPr="000262D9" w:rsidRDefault="00BD25B0" w:rsidP="000262D9">
            <w:pPr>
              <w:spacing w:after="0"/>
            </w:pPr>
            <w:r w:rsidRPr="000262D9">
              <w:t>14.00 (5.33)</w:t>
            </w:r>
          </w:p>
        </w:tc>
        <w:tc>
          <w:tcPr>
            <w:tcW w:w="1418" w:type="dxa"/>
          </w:tcPr>
          <w:p w14:paraId="600F41B7" w14:textId="0FC046AA" w:rsidR="00BD25B0" w:rsidRPr="000262D9" w:rsidRDefault="00D40716" w:rsidP="000262D9">
            <w:pPr>
              <w:spacing w:after="0" w:line="240" w:lineRule="auto"/>
              <w:jc w:val="center"/>
            </w:pPr>
            <w:r>
              <w:t>t(97)=-1.06, p=.29</w:t>
            </w:r>
          </w:p>
        </w:tc>
        <w:tc>
          <w:tcPr>
            <w:tcW w:w="1389" w:type="dxa"/>
          </w:tcPr>
          <w:p w14:paraId="4458EB43" w14:textId="32EE8F41" w:rsidR="00BD25B0" w:rsidRPr="000262D9" w:rsidRDefault="00B13F9E" w:rsidP="000262D9">
            <w:pPr>
              <w:spacing w:after="0" w:line="240" w:lineRule="auto"/>
              <w:jc w:val="center"/>
            </w:pPr>
            <w:r>
              <w:t>t(81)=1.68, p=.10</w:t>
            </w:r>
          </w:p>
        </w:tc>
        <w:tc>
          <w:tcPr>
            <w:tcW w:w="1417" w:type="dxa"/>
          </w:tcPr>
          <w:p w14:paraId="224644C1" w14:textId="77777777" w:rsidR="00BD25B0" w:rsidRPr="000262D9" w:rsidRDefault="00BD25B0" w:rsidP="000262D9">
            <w:pPr>
              <w:spacing w:after="0" w:line="240" w:lineRule="auto"/>
              <w:jc w:val="center"/>
              <w:rPr>
                <w:b/>
                <w:bCs/>
              </w:rPr>
            </w:pPr>
            <w:r w:rsidRPr="000262D9">
              <w:rPr>
                <w:b/>
                <w:bCs/>
              </w:rPr>
              <w:t>t(36)=-2.28, p&lt;.05</w:t>
            </w:r>
          </w:p>
        </w:tc>
      </w:tr>
      <w:tr w:rsidR="00BD25B0" w14:paraId="0CFBB86F" w14:textId="77777777">
        <w:tc>
          <w:tcPr>
            <w:tcW w:w="2127" w:type="dxa"/>
          </w:tcPr>
          <w:p w14:paraId="2FB0F1B2" w14:textId="77777777" w:rsidR="00BD25B0" w:rsidRPr="000262D9" w:rsidRDefault="00BD25B0" w:rsidP="000262D9">
            <w:pPr>
              <w:spacing w:after="0"/>
              <w:rPr>
                <w:b/>
                <w:bCs/>
              </w:rPr>
            </w:pPr>
            <w:r w:rsidRPr="000262D9">
              <w:rPr>
                <w:b/>
                <w:bCs/>
              </w:rPr>
              <w:t>Life circumstances</w:t>
            </w:r>
          </w:p>
        </w:tc>
        <w:tc>
          <w:tcPr>
            <w:tcW w:w="1417" w:type="dxa"/>
          </w:tcPr>
          <w:p w14:paraId="32350FE8" w14:textId="77777777" w:rsidR="00BD25B0" w:rsidRPr="000262D9" w:rsidRDefault="00BD25B0" w:rsidP="000262D9">
            <w:pPr>
              <w:spacing w:after="0"/>
              <w:rPr>
                <w:rFonts w:cs="Arial"/>
              </w:rPr>
            </w:pPr>
          </w:p>
        </w:tc>
        <w:tc>
          <w:tcPr>
            <w:tcW w:w="1418" w:type="dxa"/>
          </w:tcPr>
          <w:p w14:paraId="38B013BE" w14:textId="77777777" w:rsidR="00BD25B0" w:rsidRPr="000262D9" w:rsidRDefault="00BD25B0" w:rsidP="000262D9">
            <w:pPr>
              <w:spacing w:after="0"/>
              <w:rPr>
                <w:rFonts w:cs="Arial"/>
              </w:rPr>
            </w:pPr>
          </w:p>
        </w:tc>
        <w:tc>
          <w:tcPr>
            <w:tcW w:w="1417" w:type="dxa"/>
          </w:tcPr>
          <w:p w14:paraId="55F23F68" w14:textId="77777777" w:rsidR="00BD25B0" w:rsidRPr="000262D9" w:rsidRDefault="00BD25B0" w:rsidP="000262D9">
            <w:pPr>
              <w:spacing w:after="0"/>
              <w:rPr>
                <w:rFonts w:cs="Arial"/>
              </w:rPr>
            </w:pPr>
          </w:p>
        </w:tc>
        <w:tc>
          <w:tcPr>
            <w:tcW w:w="1418" w:type="dxa"/>
          </w:tcPr>
          <w:p w14:paraId="49775B63" w14:textId="77777777" w:rsidR="00BD25B0" w:rsidRPr="000262D9" w:rsidRDefault="00BD25B0" w:rsidP="000262D9">
            <w:pPr>
              <w:spacing w:after="0" w:line="240" w:lineRule="auto"/>
              <w:rPr>
                <w:rFonts w:cs="Arial"/>
              </w:rPr>
            </w:pPr>
          </w:p>
        </w:tc>
        <w:tc>
          <w:tcPr>
            <w:tcW w:w="1389" w:type="dxa"/>
          </w:tcPr>
          <w:p w14:paraId="02F9C04E" w14:textId="77777777" w:rsidR="00BD25B0" w:rsidRPr="000262D9" w:rsidRDefault="00BD25B0" w:rsidP="000262D9">
            <w:pPr>
              <w:spacing w:after="0" w:line="240" w:lineRule="auto"/>
              <w:rPr>
                <w:rFonts w:cs="Arial"/>
              </w:rPr>
            </w:pPr>
          </w:p>
        </w:tc>
        <w:tc>
          <w:tcPr>
            <w:tcW w:w="1417" w:type="dxa"/>
          </w:tcPr>
          <w:p w14:paraId="425333EC" w14:textId="77777777" w:rsidR="00BD25B0" w:rsidRPr="000262D9" w:rsidRDefault="00BD25B0" w:rsidP="000262D9">
            <w:pPr>
              <w:spacing w:after="0" w:line="240" w:lineRule="auto"/>
              <w:rPr>
                <w:rFonts w:cs="Arial"/>
              </w:rPr>
            </w:pPr>
          </w:p>
        </w:tc>
      </w:tr>
      <w:tr w:rsidR="00BD25B0" w14:paraId="454F6AD8" w14:textId="77777777">
        <w:tc>
          <w:tcPr>
            <w:tcW w:w="2127" w:type="dxa"/>
          </w:tcPr>
          <w:p w14:paraId="2FDF40AF" w14:textId="77777777" w:rsidR="00BD25B0" w:rsidRPr="000262D9" w:rsidRDefault="00BD25B0" w:rsidP="000262D9">
            <w:pPr>
              <w:spacing w:after="0"/>
              <w:rPr>
                <w:b/>
                <w:bCs/>
              </w:rPr>
            </w:pPr>
            <w:r w:rsidRPr="000262D9">
              <w:rPr>
                <w:b/>
                <w:bCs/>
              </w:rPr>
              <w:t>Unemployed (%)</w:t>
            </w:r>
          </w:p>
        </w:tc>
        <w:tc>
          <w:tcPr>
            <w:tcW w:w="1417" w:type="dxa"/>
          </w:tcPr>
          <w:p w14:paraId="22C1428E" w14:textId="77777777" w:rsidR="00BD25B0" w:rsidRPr="000262D9" w:rsidRDefault="00BD25B0" w:rsidP="000262D9">
            <w:pPr>
              <w:spacing w:after="0"/>
              <w:jc w:val="center"/>
              <w:rPr>
                <w:rFonts w:cs="Arial"/>
              </w:rPr>
            </w:pPr>
            <w:r w:rsidRPr="000262D9">
              <w:t>12</w:t>
            </w:r>
            <w:r>
              <w:t>.0</w:t>
            </w:r>
          </w:p>
        </w:tc>
        <w:tc>
          <w:tcPr>
            <w:tcW w:w="1418" w:type="dxa"/>
          </w:tcPr>
          <w:p w14:paraId="6B231847" w14:textId="77777777" w:rsidR="00BD25B0" w:rsidRPr="000262D9" w:rsidRDefault="00BD25B0" w:rsidP="000262D9">
            <w:pPr>
              <w:spacing w:after="0"/>
              <w:jc w:val="center"/>
            </w:pPr>
            <w:r w:rsidRPr="000262D9">
              <w:t>24.4</w:t>
            </w:r>
          </w:p>
        </w:tc>
        <w:tc>
          <w:tcPr>
            <w:tcW w:w="1417" w:type="dxa"/>
          </w:tcPr>
          <w:p w14:paraId="3C673BB4" w14:textId="77777777" w:rsidR="00BD25B0" w:rsidRPr="000262D9" w:rsidRDefault="00BD25B0" w:rsidP="000262D9">
            <w:pPr>
              <w:spacing w:after="0"/>
              <w:jc w:val="center"/>
            </w:pPr>
            <w:r w:rsidRPr="000262D9">
              <w:t>88.2</w:t>
            </w:r>
          </w:p>
        </w:tc>
        <w:tc>
          <w:tcPr>
            <w:tcW w:w="1418" w:type="dxa"/>
          </w:tcPr>
          <w:p w14:paraId="5F6A2F0C" w14:textId="77777777" w:rsidR="00BD25B0" w:rsidRPr="000262D9" w:rsidRDefault="00BD25B0" w:rsidP="000262D9">
            <w:pPr>
              <w:spacing w:after="0" w:line="240" w:lineRule="auto"/>
              <w:jc w:val="center"/>
              <w:rPr>
                <w:rFonts w:cs="Arial"/>
              </w:rPr>
            </w:pPr>
            <w:r w:rsidRPr="000262D9">
              <w:rPr>
                <w:rFonts w:ascii="Symbol" w:hAnsi="Symbol" w:cs="Symbol"/>
              </w:rPr>
              <w:t></w:t>
            </w:r>
            <w:r w:rsidRPr="000262D9">
              <w:rPr>
                <w:vertAlign w:val="superscript"/>
              </w:rPr>
              <w:t>2</w:t>
            </w:r>
            <w:r>
              <w:t>=3.30</w:t>
            </w:r>
            <w:r w:rsidRPr="00B81773">
              <w:t xml:space="preserve">, </w:t>
            </w:r>
            <w:r w:rsidRPr="000262D9">
              <w:rPr>
                <w:i/>
                <w:iCs/>
              </w:rPr>
              <w:t>p</w:t>
            </w:r>
            <w:r>
              <w:t>=.07</w:t>
            </w:r>
          </w:p>
        </w:tc>
        <w:tc>
          <w:tcPr>
            <w:tcW w:w="1389" w:type="dxa"/>
          </w:tcPr>
          <w:p w14:paraId="079BC437" w14:textId="77777777" w:rsidR="00BD25B0" w:rsidRPr="000262D9" w:rsidRDefault="00BD25B0" w:rsidP="000262D9">
            <w:pPr>
              <w:spacing w:after="0" w:line="240" w:lineRule="auto"/>
              <w:jc w:val="center"/>
              <w:rPr>
                <w:rFonts w:cs="Arial"/>
                <w:b/>
                <w:bCs/>
              </w:rPr>
            </w:pPr>
            <w:r w:rsidRPr="000262D9">
              <w:rPr>
                <w:rFonts w:ascii="Symbol" w:hAnsi="Symbol" w:cs="Symbol"/>
                <w:b/>
                <w:bCs/>
              </w:rPr>
              <w:t></w:t>
            </w:r>
            <w:r w:rsidRPr="000262D9">
              <w:rPr>
                <w:b/>
                <w:bCs/>
                <w:vertAlign w:val="superscript"/>
              </w:rPr>
              <w:t>2</w:t>
            </w:r>
            <w:r w:rsidRPr="000262D9">
              <w:rPr>
                <w:b/>
                <w:bCs/>
              </w:rPr>
              <w:t xml:space="preserve">=45.96, </w:t>
            </w:r>
            <w:r w:rsidRPr="000262D9">
              <w:rPr>
                <w:b/>
                <w:bCs/>
                <w:i/>
                <w:iCs/>
              </w:rPr>
              <w:t>p</w:t>
            </w:r>
            <w:r w:rsidRPr="000262D9">
              <w:rPr>
                <w:b/>
                <w:bCs/>
              </w:rPr>
              <w:t>&lt;.001</w:t>
            </w:r>
          </w:p>
        </w:tc>
        <w:tc>
          <w:tcPr>
            <w:tcW w:w="1417" w:type="dxa"/>
          </w:tcPr>
          <w:p w14:paraId="7DC3382F" w14:textId="77777777" w:rsidR="00BD25B0" w:rsidRPr="000262D9" w:rsidRDefault="00BD25B0" w:rsidP="000262D9">
            <w:pPr>
              <w:spacing w:after="0" w:line="240" w:lineRule="auto"/>
              <w:jc w:val="center"/>
              <w:rPr>
                <w:rFonts w:ascii="Symbol" w:hAnsi="Symbol" w:cs="Symbol"/>
                <w:b/>
                <w:bCs/>
              </w:rPr>
            </w:pPr>
            <w:r w:rsidRPr="000262D9">
              <w:rPr>
                <w:rFonts w:ascii="Symbol" w:hAnsi="Symbol" w:cs="Symbol"/>
                <w:b/>
                <w:bCs/>
              </w:rPr>
              <w:t></w:t>
            </w:r>
            <w:r w:rsidRPr="000262D9">
              <w:rPr>
                <w:b/>
                <w:bCs/>
                <w:vertAlign w:val="superscript"/>
              </w:rPr>
              <w:t>2</w:t>
            </w:r>
            <w:r w:rsidRPr="000262D9">
              <w:rPr>
                <w:b/>
                <w:bCs/>
              </w:rPr>
              <w:t xml:space="preserve">=19.97, </w:t>
            </w:r>
            <w:r w:rsidRPr="000262D9">
              <w:rPr>
                <w:b/>
                <w:bCs/>
                <w:i/>
                <w:iCs/>
              </w:rPr>
              <w:t>p</w:t>
            </w:r>
            <w:r w:rsidRPr="000262D9">
              <w:rPr>
                <w:b/>
                <w:bCs/>
              </w:rPr>
              <w:t>&lt;.01</w:t>
            </w:r>
          </w:p>
        </w:tc>
      </w:tr>
      <w:tr w:rsidR="00BD25B0" w14:paraId="28582F8D" w14:textId="77777777">
        <w:tc>
          <w:tcPr>
            <w:tcW w:w="2127" w:type="dxa"/>
          </w:tcPr>
          <w:p w14:paraId="12C2BF68" w14:textId="77777777" w:rsidR="00BD25B0" w:rsidRPr="000262D9" w:rsidRDefault="00BD25B0" w:rsidP="000262D9">
            <w:pPr>
              <w:spacing w:after="0"/>
              <w:rPr>
                <w:b/>
                <w:bCs/>
              </w:rPr>
            </w:pPr>
            <w:r w:rsidRPr="000262D9">
              <w:rPr>
                <w:b/>
                <w:bCs/>
              </w:rPr>
              <w:t>Low education (%)</w:t>
            </w:r>
          </w:p>
        </w:tc>
        <w:tc>
          <w:tcPr>
            <w:tcW w:w="1417" w:type="dxa"/>
          </w:tcPr>
          <w:p w14:paraId="5435B193" w14:textId="77777777" w:rsidR="00BD25B0" w:rsidRPr="000262D9" w:rsidRDefault="00BD25B0" w:rsidP="000262D9">
            <w:pPr>
              <w:spacing w:after="0"/>
              <w:jc w:val="center"/>
            </w:pPr>
            <w:r w:rsidRPr="000262D9">
              <w:t>26.4</w:t>
            </w:r>
          </w:p>
        </w:tc>
        <w:tc>
          <w:tcPr>
            <w:tcW w:w="1418" w:type="dxa"/>
          </w:tcPr>
          <w:p w14:paraId="2AEA4878" w14:textId="77777777" w:rsidR="00BD25B0" w:rsidRPr="000262D9" w:rsidRDefault="00BD25B0" w:rsidP="000262D9">
            <w:pPr>
              <w:spacing w:after="0"/>
              <w:jc w:val="center"/>
            </w:pPr>
            <w:r w:rsidRPr="000262D9">
              <w:t>31.7</w:t>
            </w:r>
          </w:p>
        </w:tc>
        <w:tc>
          <w:tcPr>
            <w:tcW w:w="1417" w:type="dxa"/>
          </w:tcPr>
          <w:p w14:paraId="78EAE4EE" w14:textId="77777777" w:rsidR="00BD25B0" w:rsidRPr="000262D9" w:rsidRDefault="00BD25B0" w:rsidP="000262D9">
            <w:pPr>
              <w:spacing w:after="0"/>
              <w:jc w:val="center"/>
            </w:pPr>
            <w:r w:rsidRPr="000262D9">
              <w:t>76.5</w:t>
            </w:r>
          </w:p>
        </w:tc>
        <w:tc>
          <w:tcPr>
            <w:tcW w:w="1418" w:type="dxa"/>
          </w:tcPr>
          <w:p w14:paraId="665D6749" w14:textId="77777777" w:rsidR="00BD25B0" w:rsidRPr="000262D9" w:rsidRDefault="00BD25B0" w:rsidP="000262D9">
            <w:pPr>
              <w:spacing w:after="0" w:line="240" w:lineRule="auto"/>
              <w:jc w:val="center"/>
              <w:rPr>
                <w:rFonts w:cs="Arial"/>
              </w:rPr>
            </w:pPr>
            <w:r w:rsidRPr="000262D9">
              <w:rPr>
                <w:rFonts w:ascii="Symbol" w:hAnsi="Symbol" w:cs="Symbol"/>
              </w:rPr>
              <w:t></w:t>
            </w:r>
            <w:r w:rsidRPr="000262D9">
              <w:rPr>
                <w:vertAlign w:val="superscript"/>
              </w:rPr>
              <w:t>2</w:t>
            </w:r>
            <w:r w:rsidRPr="00B81773">
              <w:t xml:space="preserve">=0.39, </w:t>
            </w:r>
            <w:r w:rsidRPr="000262D9">
              <w:rPr>
                <w:i/>
                <w:iCs/>
              </w:rPr>
              <w:t>p</w:t>
            </w:r>
            <w:r w:rsidRPr="00B81773">
              <w:t>=.53</w:t>
            </w:r>
          </w:p>
        </w:tc>
        <w:tc>
          <w:tcPr>
            <w:tcW w:w="1389" w:type="dxa"/>
          </w:tcPr>
          <w:p w14:paraId="285039DB" w14:textId="77777777" w:rsidR="00BD25B0" w:rsidRPr="000262D9" w:rsidRDefault="00BD25B0" w:rsidP="000262D9">
            <w:pPr>
              <w:spacing w:after="0" w:line="240" w:lineRule="auto"/>
              <w:jc w:val="center"/>
              <w:rPr>
                <w:rFonts w:cs="Arial"/>
                <w:b/>
                <w:bCs/>
              </w:rPr>
            </w:pPr>
            <w:r w:rsidRPr="000262D9">
              <w:rPr>
                <w:rFonts w:ascii="Symbol" w:hAnsi="Symbol" w:cs="Symbol"/>
                <w:b/>
                <w:bCs/>
              </w:rPr>
              <w:t></w:t>
            </w:r>
            <w:r w:rsidRPr="000262D9">
              <w:rPr>
                <w:b/>
                <w:bCs/>
                <w:vertAlign w:val="superscript"/>
              </w:rPr>
              <w:t>2</w:t>
            </w:r>
            <w:r w:rsidRPr="000262D9">
              <w:rPr>
                <w:b/>
                <w:bCs/>
              </w:rPr>
              <w:t xml:space="preserve">=15.96, </w:t>
            </w:r>
            <w:r w:rsidRPr="000262D9">
              <w:rPr>
                <w:b/>
                <w:bCs/>
                <w:i/>
                <w:iCs/>
              </w:rPr>
              <w:t>p</w:t>
            </w:r>
            <w:r w:rsidRPr="000262D9">
              <w:rPr>
                <w:b/>
                <w:bCs/>
              </w:rPr>
              <w:t>&lt;.001</w:t>
            </w:r>
          </w:p>
        </w:tc>
        <w:tc>
          <w:tcPr>
            <w:tcW w:w="1417" w:type="dxa"/>
          </w:tcPr>
          <w:p w14:paraId="28C85456" w14:textId="77777777" w:rsidR="00BD25B0" w:rsidRPr="000262D9" w:rsidRDefault="00BD25B0" w:rsidP="000262D9">
            <w:pPr>
              <w:spacing w:after="0" w:line="240" w:lineRule="auto"/>
              <w:jc w:val="center"/>
              <w:rPr>
                <w:rFonts w:ascii="Symbol" w:hAnsi="Symbol" w:cs="Symbol"/>
                <w:b/>
                <w:bCs/>
              </w:rPr>
            </w:pPr>
            <w:r w:rsidRPr="000262D9">
              <w:rPr>
                <w:rFonts w:ascii="Symbol" w:hAnsi="Symbol" w:cs="Symbol"/>
                <w:b/>
                <w:bCs/>
              </w:rPr>
              <w:t></w:t>
            </w:r>
            <w:r w:rsidRPr="000262D9">
              <w:rPr>
                <w:b/>
                <w:bCs/>
                <w:vertAlign w:val="superscript"/>
              </w:rPr>
              <w:t>2</w:t>
            </w:r>
            <w:r w:rsidRPr="000262D9">
              <w:rPr>
                <w:b/>
                <w:bCs/>
              </w:rPr>
              <w:t xml:space="preserve">=9.74, </w:t>
            </w:r>
            <w:r w:rsidRPr="000262D9">
              <w:rPr>
                <w:b/>
                <w:bCs/>
                <w:i/>
                <w:iCs/>
              </w:rPr>
              <w:t>p</w:t>
            </w:r>
            <w:r w:rsidRPr="000262D9">
              <w:rPr>
                <w:b/>
                <w:bCs/>
              </w:rPr>
              <w:t>&lt;.01</w:t>
            </w:r>
          </w:p>
        </w:tc>
      </w:tr>
      <w:tr w:rsidR="00BD25B0" w14:paraId="2AD85DF1" w14:textId="77777777">
        <w:tc>
          <w:tcPr>
            <w:tcW w:w="2127" w:type="dxa"/>
          </w:tcPr>
          <w:p w14:paraId="5A24F290" w14:textId="77777777" w:rsidR="00BD25B0" w:rsidRPr="000262D9" w:rsidRDefault="00BD25B0" w:rsidP="000262D9">
            <w:pPr>
              <w:spacing w:after="0"/>
              <w:rPr>
                <w:b/>
                <w:bCs/>
              </w:rPr>
            </w:pPr>
            <w:r w:rsidRPr="000262D9">
              <w:rPr>
                <w:b/>
                <w:bCs/>
              </w:rPr>
              <w:t>Married/cohabit (%)</w:t>
            </w:r>
          </w:p>
        </w:tc>
        <w:tc>
          <w:tcPr>
            <w:tcW w:w="1417" w:type="dxa"/>
          </w:tcPr>
          <w:p w14:paraId="567A5CF2" w14:textId="77777777" w:rsidR="00BD25B0" w:rsidRPr="000262D9" w:rsidRDefault="00BD25B0" w:rsidP="000262D9">
            <w:pPr>
              <w:spacing w:after="0"/>
              <w:jc w:val="center"/>
            </w:pPr>
            <w:r w:rsidRPr="000262D9">
              <w:t>22.8</w:t>
            </w:r>
          </w:p>
        </w:tc>
        <w:tc>
          <w:tcPr>
            <w:tcW w:w="1418" w:type="dxa"/>
          </w:tcPr>
          <w:p w14:paraId="2F4C9990" w14:textId="77777777" w:rsidR="00BD25B0" w:rsidRPr="000262D9" w:rsidRDefault="00BD25B0" w:rsidP="000262D9">
            <w:pPr>
              <w:spacing w:after="0"/>
              <w:jc w:val="center"/>
              <w:rPr>
                <w:rFonts w:cs="Arial"/>
              </w:rPr>
            </w:pPr>
            <w:r w:rsidRPr="000262D9">
              <w:t>39</w:t>
            </w:r>
            <w:r>
              <w:t>.0</w:t>
            </w:r>
          </w:p>
        </w:tc>
        <w:tc>
          <w:tcPr>
            <w:tcW w:w="1417" w:type="dxa"/>
          </w:tcPr>
          <w:p w14:paraId="28AC0780" w14:textId="77777777" w:rsidR="00BD25B0" w:rsidRPr="000262D9" w:rsidRDefault="00BD25B0" w:rsidP="000262D9">
            <w:pPr>
              <w:spacing w:after="0"/>
              <w:jc w:val="center"/>
            </w:pPr>
            <w:r w:rsidRPr="000262D9">
              <w:t>17.6</w:t>
            </w:r>
          </w:p>
        </w:tc>
        <w:tc>
          <w:tcPr>
            <w:tcW w:w="1418" w:type="dxa"/>
          </w:tcPr>
          <w:p w14:paraId="6AA87956" w14:textId="77777777" w:rsidR="00BD25B0" w:rsidRPr="000262D9" w:rsidRDefault="00BD25B0" w:rsidP="000262D9">
            <w:pPr>
              <w:spacing w:after="0" w:line="240" w:lineRule="auto"/>
              <w:jc w:val="center"/>
              <w:rPr>
                <w:rFonts w:cs="Arial"/>
              </w:rPr>
            </w:pPr>
            <w:r w:rsidRPr="000262D9">
              <w:rPr>
                <w:rFonts w:ascii="Symbol" w:hAnsi="Symbol" w:cs="Symbol"/>
              </w:rPr>
              <w:t></w:t>
            </w:r>
            <w:r w:rsidRPr="000262D9">
              <w:rPr>
                <w:vertAlign w:val="superscript"/>
              </w:rPr>
              <w:t>2</w:t>
            </w:r>
            <w:r w:rsidRPr="00B81773">
              <w:t>=3.71 ,</w:t>
            </w:r>
            <w:r w:rsidRPr="000262D9">
              <w:rPr>
                <w:i/>
                <w:iCs/>
              </w:rPr>
              <w:t>p</w:t>
            </w:r>
            <w:r>
              <w:t>=.1</w:t>
            </w:r>
            <w:r w:rsidRPr="00B81773">
              <w:t>6</w:t>
            </w:r>
          </w:p>
        </w:tc>
        <w:tc>
          <w:tcPr>
            <w:tcW w:w="1389" w:type="dxa"/>
          </w:tcPr>
          <w:p w14:paraId="5C43CF27" w14:textId="77777777" w:rsidR="00BD25B0" w:rsidRPr="000262D9" w:rsidRDefault="00BD25B0" w:rsidP="000262D9">
            <w:pPr>
              <w:spacing w:after="0" w:line="240" w:lineRule="auto"/>
              <w:jc w:val="center"/>
              <w:rPr>
                <w:rFonts w:cs="Arial"/>
              </w:rPr>
            </w:pPr>
            <w:r w:rsidRPr="000262D9">
              <w:rPr>
                <w:rFonts w:ascii="Symbol" w:hAnsi="Symbol" w:cs="Symbol"/>
              </w:rPr>
              <w:t></w:t>
            </w:r>
            <w:r w:rsidRPr="000262D9">
              <w:rPr>
                <w:vertAlign w:val="superscript"/>
              </w:rPr>
              <w:t>2</w:t>
            </w:r>
            <w:r w:rsidRPr="00B81773">
              <w:t xml:space="preserve">=0.22, </w:t>
            </w:r>
            <w:r w:rsidRPr="000262D9">
              <w:rPr>
                <w:i/>
                <w:iCs/>
              </w:rPr>
              <w:t>p</w:t>
            </w:r>
            <w:r w:rsidRPr="00B81773">
              <w:t>=.64</w:t>
            </w:r>
          </w:p>
        </w:tc>
        <w:tc>
          <w:tcPr>
            <w:tcW w:w="1417" w:type="dxa"/>
          </w:tcPr>
          <w:p w14:paraId="306EEF20" w14:textId="036A8FF8" w:rsidR="00BD25B0" w:rsidRPr="00B13F9E" w:rsidRDefault="00BD25B0" w:rsidP="000262D9">
            <w:pPr>
              <w:spacing w:after="0" w:line="240" w:lineRule="auto"/>
              <w:jc w:val="center"/>
              <w:rPr>
                <w:rFonts w:ascii="Symbol" w:hAnsi="Symbol" w:cs="Symbol"/>
                <w:bCs/>
              </w:rPr>
            </w:pPr>
            <w:r w:rsidRPr="00B13F9E">
              <w:rPr>
                <w:rFonts w:ascii="Symbol" w:hAnsi="Symbol" w:cs="Symbol"/>
                <w:bCs/>
              </w:rPr>
              <w:t></w:t>
            </w:r>
            <w:r w:rsidRPr="00B13F9E">
              <w:rPr>
                <w:bCs/>
                <w:vertAlign w:val="superscript"/>
              </w:rPr>
              <w:t>2</w:t>
            </w:r>
            <w:r w:rsidR="00B13F9E" w:rsidRPr="00B13F9E">
              <w:rPr>
                <w:bCs/>
              </w:rPr>
              <w:t>=2</w:t>
            </w:r>
            <w:r w:rsidR="00B13F9E">
              <w:rPr>
                <w:bCs/>
              </w:rPr>
              <w:t>.49</w:t>
            </w:r>
            <w:r w:rsidRPr="00B13F9E">
              <w:rPr>
                <w:bCs/>
              </w:rPr>
              <w:t xml:space="preserve">, </w:t>
            </w:r>
            <w:r w:rsidRPr="00B13F9E">
              <w:rPr>
                <w:bCs/>
                <w:i/>
                <w:iCs/>
              </w:rPr>
              <w:t>p</w:t>
            </w:r>
            <w:r w:rsidR="00B13F9E">
              <w:rPr>
                <w:bCs/>
              </w:rPr>
              <w:t>=.11</w:t>
            </w:r>
          </w:p>
        </w:tc>
      </w:tr>
    </w:tbl>
    <w:p w14:paraId="4998ACAF" w14:textId="77777777" w:rsidR="00BD25B0" w:rsidRPr="008040C2" w:rsidRDefault="00BD25B0" w:rsidP="00E662EC">
      <w:pPr>
        <w:ind w:left="-709"/>
        <w:rPr>
          <w:rFonts w:cs="Arial"/>
        </w:rPr>
      </w:pPr>
      <w:r w:rsidRPr="008040C2">
        <w:t>Note: Low Risk was a group combining UK adoptees with Romanian Adoptees with less than 6 months of deprivation: High risk was a group containing all Romanian Adoptees with over 6 months deprivation. ADHD- = High risk individuals not meeting ADHD criteria; ADHD+ = High risk individuals meeting ADHD criteria: DSE = disinhibited social engagement (formerly disinhibited attachment); CI = Cognitive Impairment; CD= conduct disorder (Self rated CBRS T score mean and (</w:t>
      </w:r>
      <w:proofErr w:type="spellStart"/>
      <w:r w:rsidRPr="008040C2">
        <w:t>sd</w:t>
      </w:r>
      <w:proofErr w:type="spellEnd"/>
      <w:r w:rsidRPr="008040C2">
        <w:t>)); Depression = Self rated CBRS T score mean and (</w:t>
      </w:r>
      <w:proofErr w:type="spellStart"/>
      <w:r w:rsidRPr="008040C2">
        <w:t>sd</w:t>
      </w:r>
      <w:proofErr w:type="spellEnd"/>
      <w:r w:rsidRPr="008040C2">
        <w:t xml:space="preserve">); Anxiety = Self-rated CBRS T scores mean and sd.; </w:t>
      </w:r>
      <w:proofErr w:type="spellStart"/>
      <w:r w:rsidRPr="008040C2">
        <w:t>QoL</w:t>
      </w:r>
      <w:proofErr w:type="spellEnd"/>
      <w:r w:rsidRPr="008040C2">
        <w:t xml:space="preserve"> = Self rated Satisfaction with Life score mean and (</w:t>
      </w:r>
      <w:proofErr w:type="spellStart"/>
      <w:r w:rsidRPr="008040C2">
        <w:t>sd</w:t>
      </w:r>
      <w:proofErr w:type="spellEnd"/>
      <w:r w:rsidRPr="008040C2">
        <w:t>).</w:t>
      </w:r>
    </w:p>
    <w:p w14:paraId="01259004" w14:textId="77777777" w:rsidR="00BD25B0" w:rsidRDefault="00BD25B0">
      <w:pPr>
        <w:spacing w:after="0" w:line="240" w:lineRule="auto"/>
        <w:rPr>
          <w:rFonts w:cs="Arial"/>
          <w:highlight w:val="green"/>
        </w:rPr>
      </w:pPr>
      <w:r>
        <w:rPr>
          <w:rFonts w:cs="Arial"/>
          <w:highlight w:val="green"/>
        </w:rPr>
        <w:br w:type="page"/>
      </w:r>
    </w:p>
    <w:p w14:paraId="3C859C67" w14:textId="77777777" w:rsidR="00BD25B0" w:rsidRPr="009B0B4D" w:rsidRDefault="00BD25B0" w:rsidP="00E313AE">
      <w:pPr>
        <w:ind w:left="-709"/>
        <w:rPr>
          <w:rFonts w:cs="Arial"/>
        </w:rPr>
      </w:pPr>
    </w:p>
    <w:p w14:paraId="6CCE0045" w14:textId="5C0DB181" w:rsidR="00BD25B0" w:rsidRPr="009B0B4D" w:rsidRDefault="00BD25B0" w:rsidP="00FE1974">
      <w:pPr>
        <w:ind w:left="-709"/>
        <w:rPr>
          <w:rFonts w:cs="Arial"/>
        </w:rPr>
      </w:pPr>
      <w:r w:rsidRPr="009B0B4D">
        <w:t xml:space="preserve">Figure 1: </w:t>
      </w:r>
      <w:r>
        <w:t xml:space="preserve"> The proportion of ADHD cases in the UK comparison and the Romanian adoptees as a function of length of deprivation. </w:t>
      </w:r>
    </w:p>
    <w:p w14:paraId="35ED43A3" w14:textId="07C6C99A" w:rsidR="00BD25B0" w:rsidRPr="009B0B4D" w:rsidRDefault="007B621A" w:rsidP="00FE1974">
      <w:pPr>
        <w:ind w:left="-709"/>
        <w:rPr>
          <w:rFonts w:cs="Arial"/>
        </w:rPr>
      </w:pPr>
      <w:r>
        <w:rPr>
          <w:rFonts w:cs="Arial"/>
          <w:noProof/>
        </w:rPr>
        <w:drawing>
          <wp:inline distT="0" distB="0" distL="0" distR="0" wp14:anchorId="08092CB8" wp14:editId="4B8ED2E7">
            <wp:extent cx="6812280" cy="5422900"/>
            <wp:effectExtent l="0" t="0" r="762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2280" cy="5422900"/>
                    </a:xfrm>
                    <a:prstGeom prst="rect">
                      <a:avLst/>
                    </a:prstGeom>
                    <a:noFill/>
                    <a:ln>
                      <a:noFill/>
                    </a:ln>
                  </pic:spPr>
                </pic:pic>
              </a:graphicData>
            </a:graphic>
          </wp:inline>
        </w:drawing>
      </w:r>
    </w:p>
    <w:p w14:paraId="6A48A5B2" w14:textId="77777777" w:rsidR="00BD25B0" w:rsidRPr="009B0B4D" w:rsidRDefault="00BD25B0" w:rsidP="00E313AE">
      <w:pPr>
        <w:ind w:left="-709"/>
        <w:rPr>
          <w:rFonts w:cs="Arial"/>
        </w:rPr>
      </w:pPr>
    </w:p>
    <w:p w14:paraId="00098392" w14:textId="77777777" w:rsidR="00BD25B0" w:rsidRDefault="00BD25B0">
      <w:pPr>
        <w:rPr>
          <w:rFonts w:cs="Arial"/>
        </w:rPr>
      </w:pPr>
    </w:p>
    <w:sectPr w:rsidR="00BD25B0" w:rsidSect="008B3BA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5BAE9" w14:textId="77777777" w:rsidR="0030695F" w:rsidRDefault="0030695F" w:rsidP="00D335E3">
      <w:pPr>
        <w:spacing w:after="0" w:line="240" w:lineRule="auto"/>
        <w:rPr>
          <w:rFonts w:cs="Arial"/>
        </w:rPr>
      </w:pPr>
      <w:r>
        <w:rPr>
          <w:rFonts w:cs="Arial"/>
        </w:rPr>
        <w:separator/>
      </w:r>
    </w:p>
  </w:endnote>
  <w:endnote w:type="continuationSeparator" w:id="0">
    <w:p w14:paraId="2A77EC69" w14:textId="77777777" w:rsidR="0030695F" w:rsidRDefault="0030695F" w:rsidP="00D335E3">
      <w:pPr>
        <w:spacing w:after="0" w:line="240" w:lineRule="auto"/>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4191F" w14:textId="297651EB" w:rsidR="002A65EF" w:rsidRDefault="002A65EF">
    <w:pPr>
      <w:pStyle w:val="Footer"/>
      <w:jc w:val="right"/>
      <w:rPr>
        <w:rFonts w:cs="Arial"/>
      </w:rPr>
    </w:pPr>
    <w:r>
      <w:fldChar w:fldCharType="begin"/>
    </w:r>
    <w:r>
      <w:instrText>PAGE   \* MERGEFORMAT</w:instrText>
    </w:r>
    <w:r>
      <w:fldChar w:fldCharType="separate"/>
    </w:r>
    <w:r w:rsidR="008B63FD" w:rsidRPr="008B63FD">
      <w:rPr>
        <w:noProof/>
        <w:lang w:val="de-DE"/>
      </w:rPr>
      <w:t>20</w:t>
    </w:r>
    <w:r>
      <w:rPr>
        <w:noProof/>
        <w:lang w:val="de-DE"/>
      </w:rPr>
      <w:fldChar w:fldCharType="end"/>
    </w:r>
  </w:p>
  <w:p w14:paraId="61C48DEB" w14:textId="77777777" w:rsidR="002A65EF" w:rsidRDefault="002A65EF">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ED0A7" w14:textId="77777777" w:rsidR="0030695F" w:rsidRDefault="0030695F" w:rsidP="00D335E3">
      <w:pPr>
        <w:spacing w:after="0" w:line="240" w:lineRule="auto"/>
        <w:rPr>
          <w:rFonts w:cs="Arial"/>
        </w:rPr>
      </w:pPr>
      <w:r>
        <w:rPr>
          <w:rFonts w:cs="Arial"/>
        </w:rPr>
        <w:separator/>
      </w:r>
    </w:p>
  </w:footnote>
  <w:footnote w:type="continuationSeparator" w:id="0">
    <w:p w14:paraId="103914C1" w14:textId="77777777" w:rsidR="0030695F" w:rsidRDefault="0030695F" w:rsidP="00D335E3">
      <w:pPr>
        <w:spacing w:after="0" w:line="240" w:lineRule="auto"/>
        <w:rPr>
          <w:rFonts w:cs="Arial"/>
        </w:rPr>
      </w:pPr>
      <w:r>
        <w:rPr>
          <w:rFonts w:cs="Arial"/>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07920"/>
    <w:multiLevelType w:val="hybridMultilevel"/>
    <w:tmpl w:val="ED14C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1B73E0E"/>
    <w:multiLevelType w:val="hybridMultilevel"/>
    <w:tmpl w:val="50E4D3D2"/>
    <w:lvl w:ilvl="0" w:tplc="0D64366C">
      <w:numFmt w:val="bullet"/>
      <w:lvlText w:val=""/>
      <w:lvlJc w:val="left"/>
      <w:pPr>
        <w:ind w:left="720" w:hanging="360"/>
      </w:pPr>
      <w:rPr>
        <w:rFonts w:ascii="Symbol" w:eastAsia="SimSu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7E001989"/>
    <w:multiLevelType w:val="hybridMultilevel"/>
    <w:tmpl w:val="21DC7A2E"/>
    <w:lvl w:ilvl="0" w:tplc="63367FCC">
      <w:numFmt w:val="bullet"/>
      <w:lvlText w:val=""/>
      <w:lvlJc w:val="left"/>
      <w:pPr>
        <w:ind w:left="720" w:hanging="360"/>
      </w:pPr>
      <w:rPr>
        <w:rFonts w:ascii="Symbol" w:eastAsia="SimSu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FB"/>
    <w:rsid w:val="00000D72"/>
    <w:rsid w:val="00002E79"/>
    <w:rsid w:val="00003DD3"/>
    <w:rsid w:val="00012850"/>
    <w:rsid w:val="00014C5C"/>
    <w:rsid w:val="00017469"/>
    <w:rsid w:val="00017CD1"/>
    <w:rsid w:val="00021246"/>
    <w:rsid w:val="00025F84"/>
    <w:rsid w:val="000262D9"/>
    <w:rsid w:val="00031235"/>
    <w:rsid w:val="000318A1"/>
    <w:rsid w:val="00034CA6"/>
    <w:rsid w:val="00040454"/>
    <w:rsid w:val="00040E11"/>
    <w:rsid w:val="00042059"/>
    <w:rsid w:val="00043DE8"/>
    <w:rsid w:val="00044E01"/>
    <w:rsid w:val="0005081D"/>
    <w:rsid w:val="000531E8"/>
    <w:rsid w:val="00060D7A"/>
    <w:rsid w:val="00060D89"/>
    <w:rsid w:val="0006228A"/>
    <w:rsid w:val="00067012"/>
    <w:rsid w:val="00067745"/>
    <w:rsid w:val="00083165"/>
    <w:rsid w:val="000844A3"/>
    <w:rsid w:val="00084D73"/>
    <w:rsid w:val="0008596C"/>
    <w:rsid w:val="00092AE5"/>
    <w:rsid w:val="00092B72"/>
    <w:rsid w:val="00094DC5"/>
    <w:rsid w:val="000965FD"/>
    <w:rsid w:val="000A40A9"/>
    <w:rsid w:val="000A5641"/>
    <w:rsid w:val="000A70AF"/>
    <w:rsid w:val="000B4E71"/>
    <w:rsid w:val="000B7338"/>
    <w:rsid w:val="000B73FF"/>
    <w:rsid w:val="000C1E62"/>
    <w:rsid w:val="000D0506"/>
    <w:rsid w:val="000D0E34"/>
    <w:rsid w:val="000D270D"/>
    <w:rsid w:val="000E1760"/>
    <w:rsid w:val="000F43B0"/>
    <w:rsid w:val="000F4E54"/>
    <w:rsid w:val="000F53A1"/>
    <w:rsid w:val="000F5F6B"/>
    <w:rsid w:val="000F64F2"/>
    <w:rsid w:val="000F7593"/>
    <w:rsid w:val="0010275A"/>
    <w:rsid w:val="0010588E"/>
    <w:rsid w:val="001112F8"/>
    <w:rsid w:val="001141F6"/>
    <w:rsid w:val="00114CA4"/>
    <w:rsid w:val="00115068"/>
    <w:rsid w:val="0012436E"/>
    <w:rsid w:val="00136AFC"/>
    <w:rsid w:val="00141433"/>
    <w:rsid w:val="00142007"/>
    <w:rsid w:val="001434B1"/>
    <w:rsid w:val="00143ADD"/>
    <w:rsid w:val="001514E2"/>
    <w:rsid w:val="00155E10"/>
    <w:rsid w:val="00156035"/>
    <w:rsid w:val="00162411"/>
    <w:rsid w:val="001633B6"/>
    <w:rsid w:val="00163D94"/>
    <w:rsid w:val="00165A0C"/>
    <w:rsid w:val="0016681C"/>
    <w:rsid w:val="00177EEA"/>
    <w:rsid w:val="00181291"/>
    <w:rsid w:val="00182369"/>
    <w:rsid w:val="00182447"/>
    <w:rsid w:val="00190489"/>
    <w:rsid w:val="00190BBF"/>
    <w:rsid w:val="001944E7"/>
    <w:rsid w:val="00196F96"/>
    <w:rsid w:val="001A21C6"/>
    <w:rsid w:val="001A30C5"/>
    <w:rsid w:val="001A70FC"/>
    <w:rsid w:val="001A789D"/>
    <w:rsid w:val="001B13E0"/>
    <w:rsid w:val="001B14AA"/>
    <w:rsid w:val="001C10EA"/>
    <w:rsid w:val="001C166D"/>
    <w:rsid w:val="001C3643"/>
    <w:rsid w:val="001D406C"/>
    <w:rsid w:val="001D6078"/>
    <w:rsid w:val="001E1C93"/>
    <w:rsid w:val="001E4C02"/>
    <w:rsid w:val="001E6929"/>
    <w:rsid w:val="001F3935"/>
    <w:rsid w:val="002006DA"/>
    <w:rsid w:val="002064B2"/>
    <w:rsid w:val="002066D4"/>
    <w:rsid w:val="00207165"/>
    <w:rsid w:val="002074A1"/>
    <w:rsid w:val="0021775A"/>
    <w:rsid w:val="00217FA5"/>
    <w:rsid w:val="00222BC3"/>
    <w:rsid w:val="002239CD"/>
    <w:rsid w:val="00224F11"/>
    <w:rsid w:val="00235E96"/>
    <w:rsid w:val="002369B0"/>
    <w:rsid w:val="00243D11"/>
    <w:rsid w:val="00245144"/>
    <w:rsid w:val="0024748A"/>
    <w:rsid w:val="002507D9"/>
    <w:rsid w:val="00257566"/>
    <w:rsid w:val="0026001F"/>
    <w:rsid w:val="00260E70"/>
    <w:rsid w:val="00262CA2"/>
    <w:rsid w:val="00263CDF"/>
    <w:rsid w:val="002651A7"/>
    <w:rsid w:val="002666B0"/>
    <w:rsid w:val="002700A4"/>
    <w:rsid w:val="002740C7"/>
    <w:rsid w:val="00275B37"/>
    <w:rsid w:val="002908B3"/>
    <w:rsid w:val="00293045"/>
    <w:rsid w:val="00296AAB"/>
    <w:rsid w:val="002A07A3"/>
    <w:rsid w:val="002A62C3"/>
    <w:rsid w:val="002A65EF"/>
    <w:rsid w:val="002B648B"/>
    <w:rsid w:val="002B695B"/>
    <w:rsid w:val="002C2809"/>
    <w:rsid w:val="002C3564"/>
    <w:rsid w:val="002C49F7"/>
    <w:rsid w:val="002C503F"/>
    <w:rsid w:val="002E18AA"/>
    <w:rsid w:val="002E2162"/>
    <w:rsid w:val="002E62BA"/>
    <w:rsid w:val="002F0AC6"/>
    <w:rsid w:val="002F23A9"/>
    <w:rsid w:val="002F2FB2"/>
    <w:rsid w:val="0030695F"/>
    <w:rsid w:val="003164DD"/>
    <w:rsid w:val="00320067"/>
    <w:rsid w:val="003251A4"/>
    <w:rsid w:val="003334B4"/>
    <w:rsid w:val="00334DF3"/>
    <w:rsid w:val="003356F6"/>
    <w:rsid w:val="003421FC"/>
    <w:rsid w:val="00344EF8"/>
    <w:rsid w:val="00350420"/>
    <w:rsid w:val="00353500"/>
    <w:rsid w:val="00353BFA"/>
    <w:rsid w:val="00353C53"/>
    <w:rsid w:val="00365095"/>
    <w:rsid w:val="00366B1D"/>
    <w:rsid w:val="0037444D"/>
    <w:rsid w:val="00375DB5"/>
    <w:rsid w:val="003829EB"/>
    <w:rsid w:val="003A1D37"/>
    <w:rsid w:val="003A3AA4"/>
    <w:rsid w:val="003A44D2"/>
    <w:rsid w:val="003A595B"/>
    <w:rsid w:val="003A702F"/>
    <w:rsid w:val="003A7D9A"/>
    <w:rsid w:val="003B367C"/>
    <w:rsid w:val="003B562C"/>
    <w:rsid w:val="003B6C67"/>
    <w:rsid w:val="003C1438"/>
    <w:rsid w:val="003D0604"/>
    <w:rsid w:val="003D4B8B"/>
    <w:rsid w:val="003E5E8D"/>
    <w:rsid w:val="003F0E00"/>
    <w:rsid w:val="003F7E9E"/>
    <w:rsid w:val="004008D5"/>
    <w:rsid w:val="004009F0"/>
    <w:rsid w:val="004020AD"/>
    <w:rsid w:val="004044A5"/>
    <w:rsid w:val="00407A08"/>
    <w:rsid w:val="00411CC8"/>
    <w:rsid w:val="00425252"/>
    <w:rsid w:val="00426520"/>
    <w:rsid w:val="00426F52"/>
    <w:rsid w:val="00432D7D"/>
    <w:rsid w:val="004360F2"/>
    <w:rsid w:val="00442042"/>
    <w:rsid w:val="004445E1"/>
    <w:rsid w:val="00444E67"/>
    <w:rsid w:val="00446BEA"/>
    <w:rsid w:val="00456AAC"/>
    <w:rsid w:val="004615C3"/>
    <w:rsid w:val="00467B8C"/>
    <w:rsid w:val="004737D9"/>
    <w:rsid w:val="00477B0A"/>
    <w:rsid w:val="00482F46"/>
    <w:rsid w:val="00484968"/>
    <w:rsid w:val="00485681"/>
    <w:rsid w:val="00486072"/>
    <w:rsid w:val="0048647F"/>
    <w:rsid w:val="00487FFB"/>
    <w:rsid w:val="0049258F"/>
    <w:rsid w:val="0049311F"/>
    <w:rsid w:val="004941AA"/>
    <w:rsid w:val="00495BFB"/>
    <w:rsid w:val="00497D38"/>
    <w:rsid w:val="004A07C7"/>
    <w:rsid w:val="004A0D46"/>
    <w:rsid w:val="004A4B76"/>
    <w:rsid w:val="004B7AC4"/>
    <w:rsid w:val="004C37C9"/>
    <w:rsid w:val="004C5298"/>
    <w:rsid w:val="004D377A"/>
    <w:rsid w:val="004D384D"/>
    <w:rsid w:val="004D3F8C"/>
    <w:rsid w:val="004D4548"/>
    <w:rsid w:val="004E0AD8"/>
    <w:rsid w:val="004E6661"/>
    <w:rsid w:val="004E674E"/>
    <w:rsid w:val="004F071A"/>
    <w:rsid w:val="004F1472"/>
    <w:rsid w:val="004F22C0"/>
    <w:rsid w:val="004F3034"/>
    <w:rsid w:val="004F420F"/>
    <w:rsid w:val="004F44F9"/>
    <w:rsid w:val="004F4DD4"/>
    <w:rsid w:val="00500AB5"/>
    <w:rsid w:val="00507C0E"/>
    <w:rsid w:val="00516FBC"/>
    <w:rsid w:val="00524C1E"/>
    <w:rsid w:val="00531DCD"/>
    <w:rsid w:val="005367A4"/>
    <w:rsid w:val="005371CA"/>
    <w:rsid w:val="00537230"/>
    <w:rsid w:val="00541697"/>
    <w:rsid w:val="00550CE2"/>
    <w:rsid w:val="00556C43"/>
    <w:rsid w:val="005575FF"/>
    <w:rsid w:val="00571344"/>
    <w:rsid w:val="00573307"/>
    <w:rsid w:val="0057725E"/>
    <w:rsid w:val="0058089A"/>
    <w:rsid w:val="005849AD"/>
    <w:rsid w:val="005928E6"/>
    <w:rsid w:val="005A0394"/>
    <w:rsid w:val="005A5113"/>
    <w:rsid w:val="005A5B98"/>
    <w:rsid w:val="005B0763"/>
    <w:rsid w:val="005B2884"/>
    <w:rsid w:val="005B5DD3"/>
    <w:rsid w:val="005B73AB"/>
    <w:rsid w:val="005C1B11"/>
    <w:rsid w:val="005E074E"/>
    <w:rsid w:val="005E3DCF"/>
    <w:rsid w:val="005E54C2"/>
    <w:rsid w:val="005F0563"/>
    <w:rsid w:val="005F3AAC"/>
    <w:rsid w:val="005F3F9C"/>
    <w:rsid w:val="005F6EDA"/>
    <w:rsid w:val="0060005F"/>
    <w:rsid w:val="0060110B"/>
    <w:rsid w:val="00603CCD"/>
    <w:rsid w:val="006054E5"/>
    <w:rsid w:val="00605A19"/>
    <w:rsid w:val="00606309"/>
    <w:rsid w:val="0060756B"/>
    <w:rsid w:val="00611F97"/>
    <w:rsid w:val="0061222E"/>
    <w:rsid w:val="0061687F"/>
    <w:rsid w:val="00623AFF"/>
    <w:rsid w:val="00624C4F"/>
    <w:rsid w:val="00627A81"/>
    <w:rsid w:val="006305F2"/>
    <w:rsid w:val="006329FE"/>
    <w:rsid w:val="00632A39"/>
    <w:rsid w:val="00636C30"/>
    <w:rsid w:val="00640D3D"/>
    <w:rsid w:val="006463B6"/>
    <w:rsid w:val="00650688"/>
    <w:rsid w:val="006724A9"/>
    <w:rsid w:val="006733E3"/>
    <w:rsid w:val="00675698"/>
    <w:rsid w:val="006763F9"/>
    <w:rsid w:val="00680809"/>
    <w:rsid w:val="006830EB"/>
    <w:rsid w:val="006855E1"/>
    <w:rsid w:val="00685AE7"/>
    <w:rsid w:val="00685FF5"/>
    <w:rsid w:val="0068679D"/>
    <w:rsid w:val="00686CC1"/>
    <w:rsid w:val="00690A65"/>
    <w:rsid w:val="00691ECE"/>
    <w:rsid w:val="006A167F"/>
    <w:rsid w:val="006A2052"/>
    <w:rsid w:val="006A2A8D"/>
    <w:rsid w:val="006A2EE6"/>
    <w:rsid w:val="006A487A"/>
    <w:rsid w:val="006A70B7"/>
    <w:rsid w:val="006B3DBC"/>
    <w:rsid w:val="006B4C70"/>
    <w:rsid w:val="006B788E"/>
    <w:rsid w:val="006C3B0B"/>
    <w:rsid w:val="006D01F0"/>
    <w:rsid w:val="006D0B59"/>
    <w:rsid w:val="006D1F94"/>
    <w:rsid w:val="006D21A0"/>
    <w:rsid w:val="006D4AA3"/>
    <w:rsid w:val="006E14CD"/>
    <w:rsid w:val="006E535F"/>
    <w:rsid w:val="006E6A89"/>
    <w:rsid w:val="006F472A"/>
    <w:rsid w:val="006F674F"/>
    <w:rsid w:val="006F68DC"/>
    <w:rsid w:val="006F77DF"/>
    <w:rsid w:val="007124EF"/>
    <w:rsid w:val="0071463F"/>
    <w:rsid w:val="00717BC0"/>
    <w:rsid w:val="0072600C"/>
    <w:rsid w:val="007261EB"/>
    <w:rsid w:val="00730CA7"/>
    <w:rsid w:val="00732A95"/>
    <w:rsid w:val="007349B2"/>
    <w:rsid w:val="00742322"/>
    <w:rsid w:val="00757C1D"/>
    <w:rsid w:val="007611ED"/>
    <w:rsid w:val="007711A8"/>
    <w:rsid w:val="0077150B"/>
    <w:rsid w:val="00771C3D"/>
    <w:rsid w:val="0077316D"/>
    <w:rsid w:val="00774605"/>
    <w:rsid w:val="00774D34"/>
    <w:rsid w:val="00775056"/>
    <w:rsid w:val="00782115"/>
    <w:rsid w:val="007824B4"/>
    <w:rsid w:val="0078364E"/>
    <w:rsid w:val="00785AC7"/>
    <w:rsid w:val="00792404"/>
    <w:rsid w:val="007A1C40"/>
    <w:rsid w:val="007A261D"/>
    <w:rsid w:val="007A2CFD"/>
    <w:rsid w:val="007A42B0"/>
    <w:rsid w:val="007A6178"/>
    <w:rsid w:val="007B1EE8"/>
    <w:rsid w:val="007B34AC"/>
    <w:rsid w:val="007B621A"/>
    <w:rsid w:val="007C4D20"/>
    <w:rsid w:val="007D2FC4"/>
    <w:rsid w:val="007D3A47"/>
    <w:rsid w:val="007E7488"/>
    <w:rsid w:val="007F1E7A"/>
    <w:rsid w:val="007F276A"/>
    <w:rsid w:val="007F7951"/>
    <w:rsid w:val="00800EBB"/>
    <w:rsid w:val="008014D6"/>
    <w:rsid w:val="008040C2"/>
    <w:rsid w:val="00804EB7"/>
    <w:rsid w:val="00807259"/>
    <w:rsid w:val="00813425"/>
    <w:rsid w:val="00813AFF"/>
    <w:rsid w:val="008143A3"/>
    <w:rsid w:val="008148DA"/>
    <w:rsid w:val="00814DD2"/>
    <w:rsid w:val="00815EA3"/>
    <w:rsid w:val="00816ECE"/>
    <w:rsid w:val="00817E57"/>
    <w:rsid w:val="00823928"/>
    <w:rsid w:val="00832C33"/>
    <w:rsid w:val="0084256F"/>
    <w:rsid w:val="00842D54"/>
    <w:rsid w:val="00843D10"/>
    <w:rsid w:val="00846B58"/>
    <w:rsid w:val="00850870"/>
    <w:rsid w:val="0085645E"/>
    <w:rsid w:val="00860269"/>
    <w:rsid w:val="00862C3B"/>
    <w:rsid w:val="008645D6"/>
    <w:rsid w:val="00866FE6"/>
    <w:rsid w:val="00870DF8"/>
    <w:rsid w:val="0087759C"/>
    <w:rsid w:val="008871EC"/>
    <w:rsid w:val="00891C59"/>
    <w:rsid w:val="00892FE5"/>
    <w:rsid w:val="008943F9"/>
    <w:rsid w:val="008A3BB2"/>
    <w:rsid w:val="008A52F2"/>
    <w:rsid w:val="008B3BA3"/>
    <w:rsid w:val="008B63FD"/>
    <w:rsid w:val="008C203E"/>
    <w:rsid w:val="008C3390"/>
    <w:rsid w:val="008C5123"/>
    <w:rsid w:val="008D07C8"/>
    <w:rsid w:val="008D2C27"/>
    <w:rsid w:val="008D3756"/>
    <w:rsid w:val="008D6557"/>
    <w:rsid w:val="008E547E"/>
    <w:rsid w:val="008E731E"/>
    <w:rsid w:val="008F2573"/>
    <w:rsid w:val="008F509E"/>
    <w:rsid w:val="008F6FFF"/>
    <w:rsid w:val="00902ABD"/>
    <w:rsid w:val="00902DD6"/>
    <w:rsid w:val="00903D02"/>
    <w:rsid w:val="00904C28"/>
    <w:rsid w:val="00910CB1"/>
    <w:rsid w:val="009149C6"/>
    <w:rsid w:val="00922A35"/>
    <w:rsid w:val="00923C3E"/>
    <w:rsid w:val="00930D0F"/>
    <w:rsid w:val="00931623"/>
    <w:rsid w:val="00933FC1"/>
    <w:rsid w:val="00934811"/>
    <w:rsid w:val="00935871"/>
    <w:rsid w:val="00935BF3"/>
    <w:rsid w:val="00936904"/>
    <w:rsid w:val="00936967"/>
    <w:rsid w:val="0094592F"/>
    <w:rsid w:val="009459F6"/>
    <w:rsid w:val="00952377"/>
    <w:rsid w:val="00952B39"/>
    <w:rsid w:val="009542A2"/>
    <w:rsid w:val="00955CDD"/>
    <w:rsid w:val="0095718F"/>
    <w:rsid w:val="009632A9"/>
    <w:rsid w:val="00970473"/>
    <w:rsid w:val="009750BF"/>
    <w:rsid w:val="00976558"/>
    <w:rsid w:val="009800C6"/>
    <w:rsid w:val="0098092D"/>
    <w:rsid w:val="0098584F"/>
    <w:rsid w:val="00994311"/>
    <w:rsid w:val="0099558A"/>
    <w:rsid w:val="009967FA"/>
    <w:rsid w:val="009A002F"/>
    <w:rsid w:val="009A0F99"/>
    <w:rsid w:val="009A1EFD"/>
    <w:rsid w:val="009A3AFB"/>
    <w:rsid w:val="009A75DB"/>
    <w:rsid w:val="009B0B4D"/>
    <w:rsid w:val="009B57A1"/>
    <w:rsid w:val="009C0BBD"/>
    <w:rsid w:val="009C18EE"/>
    <w:rsid w:val="009D0DDA"/>
    <w:rsid w:val="009D10F3"/>
    <w:rsid w:val="009D1EFC"/>
    <w:rsid w:val="009D22F9"/>
    <w:rsid w:val="009D41EB"/>
    <w:rsid w:val="009D41F6"/>
    <w:rsid w:val="009E2EF1"/>
    <w:rsid w:val="009E3AB7"/>
    <w:rsid w:val="009E73A3"/>
    <w:rsid w:val="009F4C95"/>
    <w:rsid w:val="00A02B58"/>
    <w:rsid w:val="00A12AAE"/>
    <w:rsid w:val="00A169E1"/>
    <w:rsid w:val="00A17011"/>
    <w:rsid w:val="00A205F6"/>
    <w:rsid w:val="00A24BBE"/>
    <w:rsid w:val="00A26246"/>
    <w:rsid w:val="00A27279"/>
    <w:rsid w:val="00A44880"/>
    <w:rsid w:val="00A53883"/>
    <w:rsid w:val="00A60023"/>
    <w:rsid w:val="00A616FD"/>
    <w:rsid w:val="00A6405E"/>
    <w:rsid w:val="00A64635"/>
    <w:rsid w:val="00A661EE"/>
    <w:rsid w:val="00A67EFA"/>
    <w:rsid w:val="00A764A6"/>
    <w:rsid w:val="00AA25D5"/>
    <w:rsid w:val="00AB2AAE"/>
    <w:rsid w:val="00AB4E15"/>
    <w:rsid w:val="00AD261A"/>
    <w:rsid w:val="00AD7823"/>
    <w:rsid w:val="00AE57C5"/>
    <w:rsid w:val="00AF237D"/>
    <w:rsid w:val="00AF6A84"/>
    <w:rsid w:val="00AF6D67"/>
    <w:rsid w:val="00AF7E8B"/>
    <w:rsid w:val="00B06439"/>
    <w:rsid w:val="00B13F9E"/>
    <w:rsid w:val="00B229ED"/>
    <w:rsid w:val="00B24657"/>
    <w:rsid w:val="00B251BA"/>
    <w:rsid w:val="00B318AD"/>
    <w:rsid w:val="00B32566"/>
    <w:rsid w:val="00B34D14"/>
    <w:rsid w:val="00B36F3E"/>
    <w:rsid w:val="00B402C0"/>
    <w:rsid w:val="00B43F3D"/>
    <w:rsid w:val="00B45C16"/>
    <w:rsid w:val="00B46281"/>
    <w:rsid w:val="00B553DE"/>
    <w:rsid w:val="00B57E1A"/>
    <w:rsid w:val="00B61B3C"/>
    <w:rsid w:val="00B635B5"/>
    <w:rsid w:val="00B724E1"/>
    <w:rsid w:val="00B747CF"/>
    <w:rsid w:val="00B81773"/>
    <w:rsid w:val="00B849F6"/>
    <w:rsid w:val="00B85B37"/>
    <w:rsid w:val="00B907D6"/>
    <w:rsid w:val="00B90901"/>
    <w:rsid w:val="00B90C9B"/>
    <w:rsid w:val="00B95C99"/>
    <w:rsid w:val="00BA41EE"/>
    <w:rsid w:val="00BA4934"/>
    <w:rsid w:val="00BA672C"/>
    <w:rsid w:val="00BB3470"/>
    <w:rsid w:val="00BB4E6C"/>
    <w:rsid w:val="00BB6E94"/>
    <w:rsid w:val="00BC4777"/>
    <w:rsid w:val="00BD25B0"/>
    <w:rsid w:val="00BD37ED"/>
    <w:rsid w:val="00BD55E7"/>
    <w:rsid w:val="00BE279F"/>
    <w:rsid w:val="00BE5FCE"/>
    <w:rsid w:val="00BE7071"/>
    <w:rsid w:val="00BF0370"/>
    <w:rsid w:val="00BF053F"/>
    <w:rsid w:val="00BF14E6"/>
    <w:rsid w:val="00BF2DFA"/>
    <w:rsid w:val="00BF367E"/>
    <w:rsid w:val="00C0269C"/>
    <w:rsid w:val="00C03734"/>
    <w:rsid w:val="00C0391B"/>
    <w:rsid w:val="00C059D4"/>
    <w:rsid w:val="00C05A99"/>
    <w:rsid w:val="00C10C0B"/>
    <w:rsid w:val="00C1673E"/>
    <w:rsid w:val="00C21579"/>
    <w:rsid w:val="00C22B5E"/>
    <w:rsid w:val="00C24046"/>
    <w:rsid w:val="00C25B76"/>
    <w:rsid w:val="00C261AF"/>
    <w:rsid w:val="00C3044E"/>
    <w:rsid w:val="00C3213C"/>
    <w:rsid w:val="00C34961"/>
    <w:rsid w:val="00C35AF9"/>
    <w:rsid w:val="00C37551"/>
    <w:rsid w:val="00C37841"/>
    <w:rsid w:val="00C447CC"/>
    <w:rsid w:val="00C47325"/>
    <w:rsid w:val="00C533F1"/>
    <w:rsid w:val="00C540A2"/>
    <w:rsid w:val="00C66701"/>
    <w:rsid w:val="00C71AF6"/>
    <w:rsid w:val="00C83317"/>
    <w:rsid w:val="00C85BA4"/>
    <w:rsid w:val="00C90A4E"/>
    <w:rsid w:val="00C92B38"/>
    <w:rsid w:val="00C94321"/>
    <w:rsid w:val="00C94433"/>
    <w:rsid w:val="00CA0637"/>
    <w:rsid w:val="00CA283A"/>
    <w:rsid w:val="00CA5D39"/>
    <w:rsid w:val="00CA615B"/>
    <w:rsid w:val="00CB1C7A"/>
    <w:rsid w:val="00CB3913"/>
    <w:rsid w:val="00CB6788"/>
    <w:rsid w:val="00CC2223"/>
    <w:rsid w:val="00CC46F8"/>
    <w:rsid w:val="00CC5019"/>
    <w:rsid w:val="00CC737B"/>
    <w:rsid w:val="00CD17E4"/>
    <w:rsid w:val="00CD6DB3"/>
    <w:rsid w:val="00CE10E3"/>
    <w:rsid w:val="00CE6533"/>
    <w:rsid w:val="00CF07BF"/>
    <w:rsid w:val="00CF0DFC"/>
    <w:rsid w:val="00CF32C9"/>
    <w:rsid w:val="00CF3958"/>
    <w:rsid w:val="00CF3D23"/>
    <w:rsid w:val="00CF5DEE"/>
    <w:rsid w:val="00D00702"/>
    <w:rsid w:val="00D02458"/>
    <w:rsid w:val="00D06A28"/>
    <w:rsid w:val="00D23074"/>
    <w:rsid w:val="00D279F0"/>
    <w:rsid w:val="00D320AC"/>
    <w:rsid w:val="00D335E3"/>
    <w:rsid w:val="00D358AD"/>
    <w:rsid w:val="00D37DD9"/>
    <w:rsid w:val="00D40716"/>
    <w:rsid w:val="00D42B12"/>
    <w:rsid w:val="00D43C0B"/>
    <w:rsid w:val="00D44587"/>
    <w:rsid w:val="00D50A1B"/>
    <w:rsid w:val="00D559BF"/>
    <w:rsid w:val="00D65982"/>
    <w:rsid w:val="00D76020"/>
    <w:rsid w:val="00D76F0D"/>
    <w:rsid w:val="00D86627"/>
    <w:rsid w:val="00D92ADB"/>
    <w:rsid w:val="00D942FE"/>
    <w:rsid w:val="00D96548"/>
    <w:rsid w:val="00DA087C"/>
    <w:rsid w:val="00DA087F"/>
    <w:rsid w:val="00DA31C1"/>
    <w:rsid w:val="00DA5287"/>
    <w:rsid w:val="00DB444B"/>
    <w:rsid w:val="00DC0EE4"/>
    <w:rsid w:val="00DD25B0"/>
    <w:rsid w:val="00DD3288"/>
    <w:rsid w:val="00DD47DB"/>
    <w:rsid w:val="00DE5488"/>
    <w:rsid w:val="00DE715A"/>
    <w:rsid w:val="00DF1625"/>
    <w:rsid w:val="00DF47A9"/>
    <w:rsid w:val="00DF53FD"/>
    <w:rsid w:val="00DF6365"/>
    <w:rsid w:val="00DF6929"/>
    <w:rsid w:val="00E07E42"/>
    <w:rsid w:val="00E150DA"/>
    <w:rsid w:val="00E174DD"/>
    <w:rsid w:val="00E212AA"/>
    <w:rsid w:val="00E214C6"/>
    <w:rsid w:val="00E24544"/>
    <w:rsid w:val="00E248C5"/>
    <w:rsid w:val="00E26077"/>
    <w:rsid w:val="00E261B5"/>
    <w:rsid w:val="00E313AE"/>
    <w:rsid w:val="00E32BC8"/>
    <w:rsid w:val="00E330EB"/>
    <w:rsid w:val="00E3385F"/>
    <w:rsid w:val="00E37809"/>
    <w:rsid w:val="00E45254"/>
    <w:rsid w:val="00E46323"/>
    <w:rsid w:val="00E4764D"/>
    <w:rsid w:val="00E47827"/>
    <w:rsid w:val="00E508EA"/>
    <w:rsid w:val="00E53222"/>
    <w:rsid w:val="00E60457"/>
    <w:rsid w:val="00E60B6F"/>
    <w:rsid w:val="00E61933"/>
    <w:rsid w:val="00E662EC"/>
    <w:rsid w:val="00E6711B"/>
    <w:rsid w:val="00E67A32"/>
    <w:rsid w:val="00E726DB"/>
    <w:rsid w:val="00E735C8"/>
    <w:rsid w:val="00E83FC9"/>
    <w:rsid w:val="00E85785"/>
    <w:rsid w:val="00E86D53"/>
    <w:rsid w:val="00E93C9E"/>
    <w:rsid w:val="00E94E84"/>
    <w:rsid w:val="00EA1C7D"/>
    <w:rsid w:val="00EB3306"/>
    <w:rsid w:val="00EB6248"/>
    <w:rsid w:val="00EB7782"/>
    <w:rsid w:val="00EC239B"/>
    <w:rsid w:val="00EC41AC"/>
    <w:rsid w:val="00EC56FA"/>
    <w:rsid w:val="00EC6F9E"/>
    <w:rsid w:val="00ED2557"/>
    <w:rsid w:val="00EE07C1"/>
    <w:rsid w:val="00EE310A"/>
    <w:rsid w:val="00EE6C38"/>
    <w:rsid w:val="00EE7826"/>
    <w:rsid w:val="00EF3403"/>
    <w:rsid w:val="00F01D1C"/>
    <w:rsid w:val="00F02E25"/>
    <w:rsid w:val="00F039D4"/>
    <w:rsid w:val="00F04C12"/>
    <w:rsid w:val="00F0791D"/>
    <w:rsid w:val="00F103D5"/>
    <w:rsid w:val="00F12AE9"/>
    <w:rsid w:val="00F15215"/>
    <w:rsid w:val="00F22AD6"/>
    <w:rsid w:val="00F237B7"/>
    <w:rsid w:val="00F2386A"/>
    <w:rsid w:val="00F32E73"/>
    <w:rsid w:val="00F35BBB"/>
    <w:rsid w:val="00F429F3"/>
    <w:rsid w:val="00F42F4F"/>
    <w:rsid w:val="00F4377B"/>
    <w:rsid w:val="00F61134"/>
    <w:rsid w:val="00F63BB1"/>
    <w:rsid w:val="00F65003"/>
    <w:rsid w:val="00F677E8"/>
    <w:rsid w:val="00F70AC6"/>
    <w:rsid w:val="00F71523"/>
    <w:rsid w:val="00F7167E"/>
    <w:rsid w:val="00F74561"/>
    <w:rsid w:val="00F92074"/>
    <w:rsid w:val="00F9266F"/>
    <w:rsid w:val="00F93E85"/>
    <w:rsid w:val="00F94C13"/>
    <w:rsid w:val="00F96789"/>
    <w:rsid w:val="00FA3EE3"/>
    <w:rsid w:val="00FA4045"/>
    <w:rsid w:val="00FA46FE"/>
    <w:rsid w:val="00FA7826"/>
    <w:rsid w:val="00FB19A0"/>
    <w:rsid w:val="00FB2FF6"/>
    <w:rsid w:val="00FB3681"/>
    <w:rsid w:val="00FB5782"/>
    <w:rsid w:val="00FB63A6"/>
    <w:rsid w:val="00FB6C30"/>
    <w:rsid w:val="00FC3DFC"/>
    <w:rsid w:val="00FC4B73"/>
    <w:rsid w:val="00FC4F8B"/>
    <w:rsid w:val="00FC6E9E"/>
    <w:rsid w:val="00FD0288"/>
    <w:rsid w:val="00FD07E7"/>
    <w:rsid w:val="00FD3B53"/>
    <w:rsid w:val="00FD4381"/>
    <w:rsid w:val="00FE1974"/>
    <w:rsid w:val="00FE7718"/>
    <w:rsid w:val="00FF4E3E"/>
    <w:rsid w:val="00FF4EE2"/>
    <w:rsid w:val="00FF5F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86E16"/>
  <w15:docId w15:val="{7CF44EB2-17BD-4CB9-B066-A5FF698B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544"/>
    <w:pPr>
      <w:spacing w:after="160" w:line="259" w:lineRule="auto"/>
    </w:pPr>
    <w:rPr>
      <w:rFonts w:cs="Calibri"/>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6C43"/>
    <w:pPr>
      <w:spacing w:after="0" w:line="240" w:lineRule="auto"/>
    </w:pPr>
    <w:rPr>
      <w:rFonts w:ascii="Tahoma"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56C43"/>
    <w:rPr>
      <w:rFonts w:ascii="Tahoma" w:hAnsi="Tahoma" w:cs="Tahoma"/>
      <w:sz w:val="16"/>
      <w:szCs w:val="16"/>
    </w:rPr>
  </w:style>
  <w:style w:type="character" w:styleId="CommentReference">
    <w:name w:val="annotation reference"/>
    <w:basedOn w:val="DefaultParagraphFont"/>
    <w:uiPriority w:val="99"/>
    <w:semiHidden/>
    <w:rsid w:val="00556C43"/>
    <w:rPr>
      <w:sz w:val="16"/>
      <w:szCs w:val="16"/>
    </w:rPr>
  </w:style>
  <w:style w:type="paragraph" w:styleId="CommentText">
    <w:name w:val="annotation text"/>
    <w:basedOn w:val="Normal"/>
    <w:link w:val="CommentTextChar"/>
    <w:uiPriority w:val="99"/>
    <w:semiHidden/>
    <w:rsid w:val="00556C43"/>
    <w:pPr>
      <w:spacing w:line="240" w:lineRule="auto"/>
    </w:pPr>
    <w:rPr>
      <w:sz w:val="20"/>
      <w:szCs w:val="20"/>
      <w:lang w:val="en-US" w:eastAsia="ja-JP"/>
    </w:rPr>
  </w:style>
  <w:style w:type="character" w:customStyle="1" w:styleId="CommentTextChar">
    <w:name w:val="Comment Text Char"/>
    <w:basedOn w:val="DefaultParagraphFont"/>
    <w:link w:val="CommentText"/>
    <w:uiPriority w:val="99"/>
    <w:semiHidden/>
    <w:locked/>
    <w:rsid w:val="00556C43"/>
    <w:rPr>
      <w:sz w:val="20"/>
      <w:szCs w:val="20"/>
    </w:rPr>
  </w:style>
  <w:style w:type="paragraph" w:styleId="CommentSubject">
    <w:name w:val="annotation subject"/>
    <w:basedOn w:val="CommentText"/>
    <w:next w:val="CommentText"/>
    <w:link w:val="CommentSubjectChar"/>
    <w:uiPriority w:val="99"/>
    <w:semiHidden/>
    <w:rsid w:val="00556C43"/>
    <w:rPr>
      <w:b/>
      <w:bCs/>
    </w:rPr>
  </w:style>
  <w:style w:type="character" w:customStyle="1" w:styleId="CommentSubjectChar">
    <w:name w:val="Comment Subject Char"/>
    <w:basedOn w:val="CommentTextChar"/>
    <w:link w:val="CommentSubject"/>
    <w:uiPriority w:val="99"/>
    <w:semiHidden/>
    <w:locked/>
    <w:rsid w:val="00556C43"/>
    <w:rPr>
      <w:b/>
      <w:bCs/>
      <w:sz w:val="20"/>
      <w:szCs w:val="20"/>
    </w:rPr>
  </w:style>
  <w:style w:type="paragraph" w:styleId="ListParagraph">
    <w:name w:val="List Paragraph"/>
    <w:basedOn w:val="Normal"/>
    <w:uiPriority w:val="99"/>
    <w:qFormat/>
    <w:rsid w:val="002E2162"/>
    <w:pPr>
      <w:ind w:left="720"/>
    </w:pPr>
  </w:style>
  <w:style w:type="table" w:styleId="TableGrid">
    <w:name w:val="Table Grid"/>
    <w:basedOn w:val="TableNormal"/>
    <w:uiPriority w:val="99"/>
    <w:locked/>
    <w:rsid w:val="00C0269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D25B0"/>
    <w:pPr>
      <w:autoSpaceDE w:val="0"/>
      <w:autoSpaceDN w:val="0"/>
      <w:adjustRightInd w:val="0"/>
    </w:pPr>
    <w:rPr>
      <w:rFonts w:cs="Calibri"/>
      <w:color w:val="000000"/>
      <w:sz w:val="24"/>
      <w:szCs w:val="24"/>
      <w:lang w:val="en-GB" w:eastAsia="zh-CN"/>
    </w:rPr>
  </w:style>
  <w:style w:type="paragraph" w:styleId="Header">
    <w:name w:val="header"/>
    <w:basedOn w:val="Normal"/>
    <w:link w:val="HeaderChar"/>
    <w:uiPriority w:val="99"/>
    <w:rsid w:val="00D335E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335E3"/>
    <w:rPr>
      <w:sz w:val="22"/>
      <w:szCs w:val="22"/>
    </w:rPr>
  </w:style>
  <w:style w:type="paragraph" w:styleId="Footer">
    <w:name w:val="footer"/>
    <w:basedOn w:val="Normal"/>
    <w:link w:val="FooterChar"/>
    <w:uiPriority w:val="99"/>
    <w:rsid w:val="00D335E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335E3"/>
    <w:rPr>
      <w:sz w:val="22"/>
      <w:szCs w:val="22"/>
    </w:rPr>
  </w:style>
  <w:style w:type="paragraph" w:styleId="Revision">
    <w:name w:val="Revision"/>
    <w:hidden/>
    <w:uiPriority w:val="99"/>
    <w:semiHidden/>
    <w:rsid w:val="00FB63A6"/>
    <w:rPr>
      <w:rFonts w:cs="Calibri"/>
      <w:lang w:val="en-GB" w:eastAsia="zh-CN"/>
    </w:rPr>
  </w:style>
  <w:style w:type="character" w:styleId="Hyperlink">
    <w:name w:val="Hyperlink"/>
    <w:basedOn w:val="DefaultParagraphFont"/>
    <w:uiPriority w:val="99"/>
    <w:rsid w:val="004F0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8310">
      <w:bodyDiv w:val="1"/>
      <w:marLeft w:val="0"/>
      <w:marRight w:val="0"/>
      <w:marTop w:val="0"/>
      <w:marBottom w:val="0"/>
      <w:divBdr>
        <w:top w:val="none" w:sz="0" w:space="0" w:color="auto"/>
        <w:left w:val="none" w:sz="0" w:space="0" w:color="auto"/>
        <w:bottom w:val="none" w:sz="0" w:space="0" w:color="auto"/>
        <w:right w:val="none" w:sz="0" w:space="0" w:color="auto"/>
      </w:divBdr>
      <w:divsChild>
        <w:div w:id="1785074475">
          <w:marLeft w:val="0"/>
          <w:marRight w:val="0"/>
          <w:marTop w:val="0"/>
          <w:marBottom w:val="0"/>
          <w:divBdr>
            <w:top w:val="none" w:sz="0" w:space="0" w:color="auto"/>
            <w:left w:val="none" w:sz="0" w:space="0" w:color="auto"/>
            <w:bottom w:val="none" w:sz="0" w:space="0" w:color="auto"/>
            <w:right w:val="none" w:sz="0" w:space="0" w:color="auto"/>
          </w:divBdr>
          <w:divsChild>
            <w:div w:id="824471389">
              <w:marLeft w:val="0"/>
              <w:marRight w:val="0"/>
              <w:marTop w:val="0"/>
              <w:marBottom w:val="0"/>
              <w:divBdr>
                <w:top w:val="none" w:sz="0" w:space="0" w:color="auto"/>
                <w:left w:val="none" w:sz="0" w:space="0" w:color="auto"/>
                <w:bottom w:val="none" w:sz="0" w:space="0" w:color="auto"/>
                <w:right w:val="none" w:sz="0" w:space="0" w:color="auto"/>
              </w:divBdr>
              <w:divsChild>
                <w:div w:id="1062603891">
                  <w:marLeft w:val="0"/>
                  <w:marRight w:val="0"/>
                  <w:marTop w:val="0"/>
                  <w:marBottom w:val="0"/>
                  <w:divBdr>
                    <w:top w:val="none" w:sz="0" w:space="0" w:color="auto"/>
                    <w:left w:val="none" w:sz="0" w:space="0" w:color="auto"/>
                    <w:bottom w:val="none" w:sz="0" w:space="0" w:color="auto"/>
                    <w:right w:val="none" w:sz="0" w:space="0" w:color="auto"/>
                  </w:divBdr>
                  <w:divsChild>
                    <w:div w:id="557470867">
                      <w:marLeft w:val="0"/>
                      <w:marRight w:val="0"/>
                      <w:marTop w:val="0"/>
                      <w:marBottom w:val="0"/>
                      <w:divBdr>
                        <w:top w:val="none" w:sz="0" w:space="0" w:color="auto"/>
                        <w:left w:val="none" w:sz="0" w:space="0" w:color="auto"/>
                        <w:bottom w:val="none" w:sz="0" w:space="0" w:color="auto"/>
                        <w:right w:val="none" w:sz="0" w:space="0" w:color="auto"/>
                      </w:divBdr>
                      <w:divsChild>
                        <w:div w:id="1107576364">
                          <w:marLeft w:val="0"/>
                          <w:marRight w:val="0"/>
                          <w:marTop w:val="0"/>
                          <w:marBottom w:val="0"/>
                          <w:divBdr>
                            <w:top w:val="none" w:sz="0" w:space="0" w:color="auto"/>
                            <w:left w:val="none" w:sz="0" w:space="0" w:color="auto"/>
                            <w:bottom w:val="none" w:sz="0" w:space="0" w:color="auto"/>
                            <w:right w:val="none" w:sz="0" w:space="0" w:color="auto"/>
                          </w:divBdr>
                          <w:divsChild>
                            <w:div w:id="16255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01567">
      <w:marLeft w:val="0"/>
      <w:marRight w:val="0"/>
      <w:marTop w:val="0"/>
      <w:marBottom w:val="0"/>
      <w:divBdr>
        <w:top w:val="none" w:sz="0" w:space="0" w:color="auto"/>
        <w:left w:val="none" w:sz="0" w:space="0" w:color="auto"/>
        <w:bottom w:val="none" w:sz="0" w:space="0" w:color="auto"/>
        <w:right w:val="none" w:sz="0" w:space="0" w:color="auto"/>
      </w:divBdr>
    </w:div>
    <w:div w:id="1435201568">
      <w:marLeft w:val="0"/>
      <w:marRight w:val="0"/>
      <w:marTop w:val="0"/>
      <w:marBottom w:val="0"/>
      <w:divBdr>
        <w:top w:val="none" w:sz="0" w:space="0" w:color="auto"/>
        <w:left w:val="none" w:sz="0" w:space="0" w:color="auto"/>
        <w:bottom w:val="none" w:sz="0" w:space="0" w:color="auto"/>
        <w:right w:val="none" w:sz="0" w:space="0" w:color="auto"/>
      </w:divBdr>
    </w:div>
    <w:div w:id="1435201574">
      <w:marLeft w:val="0"/>
      <w:marRight w:val="0"/>
      <w:marTop w:val="0"/>
      <w:marBottom w:val="0"/>
      <w:divBdr>
        <w:top w:val="none" w:sz="0" w:space="0" w:color="auto"/>
        <w:left w:val="none" w:sz="0" w:space="0" w:color="auto"/>
        <w:bottom w:val="none" w:sz="0" w:space="0" w:color="auto"/>
        <w:right w:val="none" w:sz="0" w:space="0" w:color="auto"/>
      </w:divBdr>
    </w:div>
    <w:div w:id="1435201576">
      <w:marLeft w:val="0"/>
      <w:marRight w:val="0"/>
      <w:marTop w:val="0"/>
      <w:marBottom w:val="0"/>
      <w:divBdr>
        <w:top w:val="none" w:sz="0" w:space="0" w:color="auto"/>
        <w:left w:val="none" w:sz="0" w:space="0" w:color="auto"/>
        <w:bottom w:val="none" w:sz="0" w:space="0" w:color="auto"/>
        <w:right w:val="none" w:sz="0" w:space="0" w:color="auto"/>
      </w:divBdr>
      <w:divsChild>
        <w:div w:id="1435201573">
          <w:marLeft w:val="0"/>
          <w:marRight w:val="0"/>
          <w:marTop w:val="0"/>
          <w:marBottom w:val="0"/>
          <w:divBdr>
            <w:top w:val="none" w:sz="0" w:space="0" w:color="auto"/>
            <w:left w:val="none" w:sz="0" w:space="0" w:color="auto"/>
            <w:bottom w:val="none" w:sz="0" w:space="0" w:color="auto"/>
            <w:right w:val="none" w:sz="0" w:space="0" w:color="auto"/>
          </w:divBdr>
          <w:divsChild>
            <w:div w:id="1435201575">
              <w:marLeft w:val="0"/>
              <w:marRight w:val="0"/>
              <w:marTop w:val="0"/>
              <w:marBottom w:val="0"/>
              <w:divBdr>
                <w:top w:val="none" w:sz="0" w:space="0" w:color="auto"/>
                <w:left w:val="none" w:sz="0" w:space="0" w:color="auto"/>
                <w:bottom w:val="none" w:sz="0" w:space="0" w:color="auto"/>
                <w:right w:val="none" w:sz="0" w:space="0" w:color="auto"/>
              </w:divBdr>
              <w:divsChild>
                <w:div w:id="1435201572">
                  <w:marLeft w:val="0"/>
                  <w:marRight w:val="0"/>
                  <w:marTop w:val="0"/>
                  <w:marBottom w:val="0"/>
                  <w:divBdr>
                    <w:top w:val="none" w:sz="0" w:space="0" w:color="auto"/>
                    <w:left w:val="none" w:sz="0" w:space="0" w:color="auto"/>
                    <w:bottom w:val="none" w:sz="0" w:space="0" w:color="auto"/>
                    <w:right w:val="none" w:sz="0" w:space="0" w:color="auto"/>
                  </w:divBdr>
                  <w:divsChild>
                    <w:div w:id="1435201569">
                      <w:marLeft w:val="0"/>
                      <w:marRight w:val="0"/>
                      <w:marTop w:val="0"/>
                      <w:marBottom w:val="0"/>
                      <w:divBdr>
                        <w:top w:val="none" w:sz="0" w:space="0" w:color="auto"/>
                        <w:left w:val="none" w:sz="0" w:space="0" w:color="auto"/>
                        <w:bottom w:val="none" w:sz="0" w:space="0" w:color="auto"/>
                        <w:right w:val="none" w:sz="0" w:space="0" w:color="auto"/>
                      </w:divBdr>
                      <w:divsChild>
                        <w:div w:id="1435201570">
                          <w:marLeft w:val="0"/>
                          <w:marRight w:val="0"/>
                          <w:marTop w:val="0"/>
                          <w:marBottom w:val="0"/>
                          <w:divBdr>
                            <w:top w:val="none" w:sz="0" w:space="0" w:color="auto"/>
                            <w:left w:val="none" w:sz="0" w:space="0" w:color="auto"/>
                            <w:bottom w:val="none" w:sz="0" w:space="0" w:color="auto"/>
                            <w:right w:val="none" w:sz="0" w:space="0" w:color="auto"/>
                          </w:divBdr>
                          <w:divsChild>
                            <w:div w:id="143520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jb3@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33</Pages>
  <Words>8054</Words>
  <Characters>45911</Characters>
  <Application>Microsoft Office Word</Application>
  <DocSecurity>0</DocSecurity>
  <Lines>382</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striking persistence of attention-deficit/hyperactivity disorder into adulthood in adoptees exposed to extreme early childhood deprivation: Clinical presentation, developmental continuities and functional impairment</vt:lpstr>
      <vt:lpstr>The striking persistence of attention-deficit/hyperactivity disorder into adulthood in adoptees exposed to extreme early childhood deprivation: Clinical presentation, developmental continuities and functional impairment</vt:lpstr>
    </vt:vector>
  </TitlesOfParts>
  <Company>University of Southampton</Company>
  <LinksUpToDate>false</LinksUpToDate>
  <CharactersWithSpaces>53858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striking persistence of attention-deficit/hyperactivity disorder into adulthood in adoptees exposed to extreme early childhood deprivation: Clinical presentation, developmental continuities and functional impairment</dc:title>
  <dc:creator>Sonuga-Barke E.J.</dc:creator>
  <cp:lastModifiedBy>Sonuga-Barke E.J.</cp:lastModifiedBy>
  <cp:revision>16</cp:revision>
  <dcterms:created xsi:type="dcterms:W3CDTF">2016-01-04T05:59:00Z</dcterms:created>
  <dcterms:modified xsi:type="dcterms:W3CDTF">2016-01-06T13:34:00Z</dcterms:modified>
</cp:coreProperties>
</file>