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D865B" w14:textId="77777777" w:rsidR="00DD191D" w:rsidRPr="00017DCF" w:rsidRDefault="00DD191D" w:rsidP="00DD191D">
      <w:pPr>
        <w:widowControl w:val="0"/>
        <w:autoSpaceDE w:val="0"/>
        <w:autoSpaceDN w:val="0"/>
        <w:adjustRightInd w:val="0"/>
        <w:spacing w:line="360" w:lineRule="auto"/>
        <w:rPr>
          <w:rFonts w:ascii="Times New Roman" w:hAnsi="Times New Roman" w:cs="Times New Roman"/>
          <w:b/>
          <w:lang w:val="en-GB"/>
        </w:rPr>
      </w:pPr>
      <w:r w:rsidRPr="00017DCF">
        <w:rPr>
          <w:i/>
          <w:lang w:val="en-GB"/>
        </w:rPr>
        <w:t>European Journal of Archaeology</w:t>
      </w:r>
      <w:r w:rsidRPr="00017DCF">
        <w:rPr>
          <w:rFonts w:ascii="Times New Roman" w:hAnsi="Times New Roman" w:cs="Times New Roman"/>
          <w:b/>
          <w:lang w:val="en-GB"/>
        </w:rPr>
        <w:t xml:space="preserve"> </w:t>
      </w:r>
    </w:p>
    <w:p w14:paraId="6D58445F" w14:textId="77777777" w:rsidR="00DD191D" w:rsidRPr="00017DCF" w:rsidRDefault="00DD191D" w:rsidP="00DD191D">
      <w:pPr>
        <w:spacing w:line="360" w:lineRule="auto"/>
        <w:contextualSpacing/>
        <w:rPr>
          <w:rFonts w:cs="Times New Roman"/>
          <w:i/>
          <w:lang w:val="en-GB"/>
        </w:rPr>
      </w:pPr>
      <w:r w:rsidRPr="00017DCF">
        <w:rPr>
          <w:i/>
          <w:shd w:val="clear" w:color="auto" w:fill="FFFFFF"/>
          <w:lang w:val="en-GB"/>
        </w:rPr>
        <w:t>Submitted</w:t>
      </w:r>
      <w:r w:rsidR="00CD358C">
        <w:rPr>
          <w:i/>
          <w:shd w:val="clear" w:color="auto" w:fill="FFFFFF"/>
          <w:lang w:val="en-GB"/>
        </w:rPr>
        <w:t xml:space="preserve"> 2/2/</w:t>
      </w:r>
      <w:proofErr w:type="gramStart"/>
      <w:r w:rsidR="00CD358C">
        <w:rPr>
          <w:i/>
          <w:shd w:val="clear" w:color="auto" w:fill="FFFFFF"/>
          <w:lang w:val="en-GB"/>
        </w:rPr>
        <w:t xml:space="preserve">16 </w:t>
      </w:r>
      <w:r w:rsidRPr="00017DCF">
        <w:rPr>
          <w:i/>
          <w:shd w:val="clear" w:color="auto" w:fill="FFFFFF"/>
          <w:lang w:val="en-GB"/>
        </w:rPr>
        <w:t>,</w:t>
      </w:r>
      <w:proofErr w:type="gramEnd"/>
      <w:r w:rsidRPr="00017DCF">
        <w:rPr>
          <w:i/>
          <w:shd w:val="clear" w:color="auto" w:fill="FFFFFF"/>
          <w:lang w:val="en-GB"/>
        </w:rPr>
        <w:t xml:space="preserve"> revised, accepted</w:t>
      </w:r>
    </w:p>
    <w:p w14:paraId="6E43DF41" w14:textId="77777777" w:rsidR="00DD191D" w:rsidRPr="00017DCF" w:rsidRDefault="00DD191D" w:rsidP="00DD191D">
      <w:pPr>
        <w:widowControl w:val="0"/>
        <w:autoSpaceDE w:val="0"/>
        <w:autoSpaceDN w:val="0"/>
        <w:adjustRightInd w:val="0"/>
        <w:spacing w:line="360" w:lineRule="auto"/>
        <w:rPr>
          <w:rFonts w:ascii="Times New Roman" w:hAnsi="Times New Roman" w:cs="Times New Roman"/>
          <w:b/>
          <w:lang w:val="en-GB"/>
        </w:rPr>
      </w:pPr>
    </w:p>
    <w:p w14:paraId="3CD8AC70" w14:textId="77777777" w:rsidR="004E65B1" w:rsidRPr="00017DCF" w:rsidRDefault="004E65B1" w:rsidP="00DD191D">
      <w:pPr>
        <w:widowControl w:val="0"/>
        <w:autoSpaceDE w:val="0"/>
        <w:autoSpaceDN w:val="0"/>
        <w:adjustRightInd w:val="0"/>
        <w:spacing w:line="360" w:lineRule="auto"/>
        <w:rPr>
          <w:rFonts w:ascii="Times New Roman" w:hAnsi="Times New Roman" w:cs="Times New Roman"/>
          <w:b/>
          <w:lang w:val="en-GB"/>
        </w:rPr>
      </w:pPr>
      <w:r w:rsidRPr="00017DCF">
        <w:rPr>
          <w:rFonts w:ascii="Times New Roman" w:hAnsi="Times New Roman" w:cs="Times New Roman"/>
          <w:b/>
          <w:lang w:val="en-GB"/>
        </w:rPr>
        <w:t>The Warrior</w:t>
      </w:r>
      <w:r w:rsidR="00EC0FF2" w:rsidRPr="00017DCF">
        <w:rPr>
          <w:rFonts w:ascii="Times New Roman" w:hAnsi="Times New Roman" w:cs="Times New Roman"/>
          <w:b/>
          <w:lang w:val="en-GB"/>
        </w:rPr>
        <w:t>’</w:t>
      </w:r>
      <w:r w:rsidRPr="00017DCF">
        <w:rPr>
          <w:rFonts w:ascii="Times New Roman" w:hAnsi="Times New Roman" w:cs="Times New Roman"/>
          <w:b/>
          <w:lang w:val="en-GB"/>
        </w:rPr>
        <w:t>s Seduction</w:t>
      </w:r>
    </w:p>
    <w:p w14:paraId="5F5C06D9" w14:textId="77777777" w:rsidR="004E65B1" w:rsidRPr="00017DCF" w:rsidRDefault="00DD191D" w:rsidP="00DD191D">
      <w:pPr>
        <w:widowControl w:val="0"/>
        <w:autoSpaceDE w:val="0"/>
        <w:autoSpaceDN w:val="0"/>
        <w:adjustRightInd w:val="0"/>
        <w:spacing w:line="360" w:lineRule="auto"/>
        <w:rPr>
          <w:rFonts w:ascii="Times New Roman" w:hAnsi="Times New Roman" w:cs="Times New Roman"/>
          <w:lang w:val="en-GB"/>
        </w:rPr>
      </w:pPr>
      <w:r w:rsidRPr="00017DCF">
        <w:rPr>
          <w:rFonts w:ascii="Times New Roman" w:hAnsi="Times New Roman" w:cs="Times New Roman"/>
          <w:lang w:val="en-GB"/>
        </w:rPr>
        <w:t>Joanna Sofaer</w:t>
      </w:r>
    </w:p>
    <w:p w14:paraId="687F9B94" w14:textId="77777777" w:rsidR="00DD191D" w:rsidRPr="00017DCF" w:rsidRDefault="00AE5022" w:rsidP="00DD191D">
      <w:pPr>
        <w:widowControl w:val="0"/>
        <w:autoSpaceDE w:val="0"/>
        <w:autoSpaceDN w:val="0"/>
        <w:adjustRightInd w:val="0"/>
        <w:spacing w:line="360" w:lineRule="auto"/>
        <w:rPr>
          <w:rFonts w:ascii="Times New Roman" w:hAnsi="Times New Roman" w:cs="Times New Roman"/>
          <w:i/>
          <w:lang w:val="en-GB"/>
        </w:rPr>
      </w:pPr>
      <w:r w:rsidRPr="00AE5022">
        <w:rPr>
          <w:rFonts w:ascii="Times New Roman" w:hAnsi="Times New Roman" w:cs="Times New Roman"/>
          <w:i/>
          <w:lang w:val="en-GB"/>
        </w:rPr>
        <w:t>Department of Archaeology, University of Southampton</w:t>
      </w:r>
    </w:p>
    <w:p w14:paraId="02807A6D" w14:textId="77777777" w:rsidR="00DD191D" w:rsidRPr="00017DCF" w:rsidRDefault="00DD191D" w:rsidP="00DD191D">
      <w:pPr>
        <w:widowControl w:val="0"/>
        <w:autoSpaceDE w:val="0"/>
        <w:autoSpaceDN w:val="0"/>
        <w:adjustRightInd w:val="0"/>
        <w:spacing w:line="360" w:lineRule="auto"/>
        <w:rPr>
          <w:rFonts w:ascii="Times New Roman" w:hAnsi="Times New Roman" w:cs="Times New Roman"/>
          <w:lang w:val="en-GB"/>
        </w:rPr>
      </w:pPr>
    </w:p>
    <w:p w14:paraId="15E54C2A" w14:textId="77777777" w:rsidR="000D3C6E" w:rsidRPr="00017DCF" w:rsidRDefault="000D3C6E" w:rsidP="00DD191D">
      <w:pPr>
        <w:widowControl w:val="0"/>
        <w:autoSpaceDE w:val="0"/>
        <w:autoSpaceDN w:val="0"/>
        <w:adjustRightInd w:val="0"/>
        <w:spacing w:line="360" w:lineRule="auto"/>
        <w:rPr>
          <w:rFonts w:ascii="Times New Roman" w:hAnsi="Times New Roman" w:cs="Times New Roman"/>
          <w:lang w:val="en-GB"/>
        </w:rPr>
      </w:pPr>
      <w:r w:rsidRPr="00017DCF">
        <w:rPr>
          <w:rFonts w:ascii="Times New Roman" w:hAnsi="Times New Roman" w:cs="Times New Roman"/>
          <w:lang w:val="en-GB"/>
        </w:rPr>
        <w:t xml:space="preserve">In </w:t>
      </w:r>
      <w:r w:rsidR="00017DCF" w:rsidRPr="00017DCF">
        <w:rPr>
          <w:rFonts w:ascii="Times New Roman" w:hAnsi="Times New Roman" w:cs="Times New Roman"/>
          <w:lang w:val="en-GB"/>
        </w:rPr>
        <w:t xml:space="preserve">his </w:t>
      </w:r>
      <w:r w:rsidRPr="00017DCF">
        <w:rPr>
          <w:rFonts w:ascii="Times New Roman" w:hAnsi="Times New Roman" w:cs="Times New Roman"/>
          <w:lang w:val="en-GB"/>
        </w:rPr>
        <w:t xml:space="preserve">novel </w:t>
      </w:r>
      <w:r w:rsidRPr="00017DCF">
        <w:rPr>
          <w:rFonts w:ascii="Times New Roman" w:hAnsi="Times New Roman" w:cs="Times New Roman"/>
          <w:i/>
          <w:lang w:val="en-GB"/>
        </w:rPr>
        <w:t>The Narrow Road to the Deep North</w:t>
      </w:r>
      <w:r w:rsidRPr="00017DCF">
        <w:rPr>
          <w:rFonts w:ascii="Times New Roman" w:hAnsi="Times New Roman" w:cs="Times New Roman"/>
          <w:lang w:val="en-GB"/>
        </w:rPr>
        <w:t xml:space="preserve"> </w:t>
      </w:r>
      <w:r w:rsidR="00017DCF" w:rsidRPr="00017DCF">
        <w:rPr>
          <w:rFonts w:ascii="Times New Roman" w:hAnsi="Times New Roman" w:cs="Times New Roman"/>
          <w:lang w:val="en-GB"/>
        </w:rPr>
        <w:t xml:space="preserve">Richard Flanagan </w:t>
      </w:r>
      <w:r w:rsidRPr="00017DCF">
        <w:rPr>
          <w:rFonts w:ascii="Times New Roman" w:hAnsi="Times New Roman" w:cs="Times New Roman"/>
          <w:lang w:val="en-GB"/>
        </w:rPr>
        <w:t xml:space="preserve">describes the </w:t>
      </w:r>
      <w:r w:rsidR="00017DCF" w:rsidRPr="00017DCF">
        <w:rPr>
          <w:rFonts w:ascii="Times New Roman" w:hAnsi="Times New Roman" w:cs="Times New Roman"/>
          <w:lang w:val="en-GB"/>
        </w:rPr>
        <w:t xml:space="preserve">attitude to virtue of his </w:t>
      </w:r>
      <w:r w:rsidRPr="00017DCF">
        <w:rPr>
          <w:rFonts w:ascii="Times New Roman" w:hAnsi="Times New Roman" w:cs="Times New Roman"/>
          <w:lang w:val="en-GB"/>
        </w:rPr>
        <w:t>central character, war he</w:t>
      </w:r>
      <w:r w:rsidR="00070953" w:rsidRPr="00017DCF">
        <w:rPr>
          <w:rFonts w:ascii="Times New Roman" w:hAnsi="Times New Roman" w:cs="Times New Roman"/>
          <w:lang w:val="en-GB"/>
        </w:rPr>
        <w:t>ro Dorrigo Evans</w:t>
      </w:r>
      <w:r w:rsidRPr="00017DCF">
        <w:rPr>
          <w:rFonts w:ascii="Times New Roman" w:hAnsi="Times New Roman" w:cs="Times New Roman"/>
          <w:lang w:val="en-GB"/>
        </w:rPr>
        <w:t xml:space="preserve">: </w:t>
      </w:r>
    </w:p>
    <w:p w14:paraId="18A7B351" w14:textId="77777777" w:rsidR="00070953" w:rsidRPr="00017DCF" w:rsidRDefault="00070953" w:rsidP="00DD191D">
      <w:pPr>
        <w:widowControl w:val="0"/>
        <w:autoSpaceDE w:val="0"/>
        <w:autoSpaceDN w:val="0"/>
        <w:adjustRightInd w:val="0"/>
        <w:spacing w:line="360" w:lineRule="auto"/>
        <w:rPr>
          <w:rFonts w:ascii="Times New Roman" w:hAnsi="Times New Roman" w:cs="Times New Roman"/>
          <w:lang w:val="en-GB"/>
        </w:rPr>
      </w:pPr>
    </w:p>
    <w:p w14:paraId="7496DC8D" w14:textId="77777777" w:rsidR="00636723" w:rsidRDefault="00273C41">
      <w:pPr>
        <w:widowControl w:val="0"/>
        <w:autoSpaceDE w:val="0"/>
        <w:autoSpaceDN w:val="0"/>
        <w:adjustRightInd w:val="0"/>
        <w:spacing w:line="360" w:lineRule="auto"/>
        <w:ind w:left="567" w:right="567"/>
        <w:rPr>
          <w:rFonts w:ascii="Times New Roman" w:hAnsi="Times New Roman" w:cs="Times New Roman"/>
          <w:lang w:val="en-GB"/>
        </w:rPr>
      </w:pPr>
      <w:r>
        <w:rPr>
          <w:rFonts w:ascii="Times New Roman" w:hAnsi="Times New Roman" w:cs="Times New Roman"/>
          <w:lang w:val="en-GB"/>
        </w:rPr>
        <w:t>‘</w:t>
      </w:r>
      <w:proofErr w:type="spellStart"/>
      <w:r w:rsidR="00070953" w:rsidRPr="00017DCF">
        <w:rPr>
          <w:rFonts w:ascii="Times New Roman" w:hAnsi="Times New Roman" w:cs="Times New Roman"/>
          <w:lang w:val="en-GB"/>
        </w:rPr>
        <w:t>Dorrigo</w:t>
      </w:r>
      <w:proofErr w:type="spellEnd"/>
      <w:r w:rsidR="00070953" w:rsidRPr="00017DCF">
        <w:rPr>
          <w:rFonts w:ascii="Times New Roman" w:hAnsi="Times New Roman" w:cs="Times New Roman"/>
          <w:lang w:val="en-GB"/>
        </w:rPr>
        <w:t xml:space="preserve"> Evans hated virtue, hated virtue being admired, hated people who pretended he had virtue or pretended to virtue themselves. And the more he was accused of virtue as he grew older, the more he hated it. </w:t>
      </w:r>
      <w:r w:rsidR="000D3C6E" w:rsidRPr="00017DCF">
        <w:rPr>
          <w:rFonts w:ascii="Times New Roman" w:hAnsi="Times New Roman" w:cs="Times New Roman"/>
          <w:lang w:val="en-GB"/>
        </w:rPr>
        <w:t>He did not believe in virtue.</w:t>
      </w:r>
      <w:r w:rsidR="00070953" w:rsidRPr="00017DCF">
        <w:rPr>
          <w:rFonts w:ascii="Times New Roman" w:hAnsi="Times New Roman" w:cs="Times New Roman"/>
          <w:lang w:val="en-GB"/>
        </w:rPr>
        <w:t xml:space="preserve"> Virtue was vanity dressed up and waiting for applause.</w:t>
      </w:r>
      <w:r w:rsidR="00684E45">
        <w:rPr>
          <w:rFonts w:ascii="Times New Roman" w:hAnsi="Times New Roman" w:cs="Times New Roman"/>
          <w:lang w:val="en-GB"/>
        </w:rPr>
        <w:t xml:space="preserve">’ </w:t>
      </w:r>
      <w:r w:rsidR="00774056" w:rsidRPr="00017DCF">
        <w:rPr>
          <w:rFonts w:ascii="Times New Roman" w:hAnsi="Times New Roman" w:cs="Times New Roman"/>
          <w:lang w:val="en-GB"/>
        </w:rPr>
        <w:t>(Flanagan 2013: 53)</w:t>
      </w:r>
    </w:p>
    <w:p w14:paraId="5A97FAEB" w14:textId="77777777" w:rsidR="000D3C6E" w:rsidRPr="00017DCF" w:rsidRDefault="000D3C6E" w:rsidP="00DD191D">
      <w:pPr>
        <w:widowControl w:val="0"/>
        <w:autoSpaceDE w:val="0"/>
        <w:autoSpaceDN w:val="0"/>
        <w:adjustRightInd w:val="0"/>
        <w:spacing w:line="360" w:lineRule="auto"/>
        <w:rPr>
          <w:rFonts w:ascii="Times New Roman" w:hAnsi="Times New Roman" w:cs="Times New Roman"/>
          <w:lang w:val="en-GB"/>
        </w:rPr>
      </w:pPr>
    </w:p>
    <w:p w14:paraId="1381E037" w14:textId="77777777" w:rsidR="00FB03E5" w:rsidRDefault="009A4279" w:rsidP="00DD191D">
      <w:pPr>
        <w:widowControl w:val="0"/>
        <w:autoSpaceDE w:val="0"/>
        <w:autoSpaceDN w:val="0"/>
        <w:adjustRightInd w:val="0"/>
        <w:spacing w:line="360" w:lineRule="auto"/>
        <w:rPr>
          <w:rFonts w:ascii="Times New Roman" w:hAnsi="Times New Roman" w:cs="Times New Roman"/>
          <w:lang w:val="en-GB"/>
        </w:rPr>
      </w:pPr>
      <w:r w:rsidRPr="00017DCF">
        <w:rPr>
          <w:rFonts w:ascii="Times New Roman" w:hAnsi="Times New Roman" w:cs="Times New Roman"/>
          <w:lang w:val="en-GB"/>
        </w:rPr>
        <w:t>Virtue</w:t>
      </w:r>
      <w:r w:rsidR="00045FBF" w:rsidRPr="00017DCF">
        <w:rPr>
          <w:rFonts w:ascii="Times New Roman" w:hAnsi="Times New Roman" w:cs="Times New Roman"/>
          <w:lang w:val="en-GB"/>
        </w:rPr>
        <w:t xml:space="preserve"> </w:t>
      </w:r>
      <w:r w:rsidRPr="00017DCF">
        <w:rPr>
          <w:rFonts w:ascii="Times New Roman" w:hAnsi="Times New Roman" w:cs="Times New Roman"/>
          <w:lang w:val="en-GB"/>
        </w:rPr>
        <w:t>then is n</w:t>
      </w:r>
      <w:r w:rsidR="00070953" w:rsidRPr="00017DCF">
        <w:rPr>
          <w:rFonts w:ascii="Times New Roman" w:hAnsi="Times New Roman" w:cs="Times New Roman"/>
          <w:lang w:val="en-GB"/>
        </w:rPr>
        <w:t xml:space="preserve">ot a matter of </w:t>
      </w:r>
      <w:r w:rsidR="00070953" w:rsidRPr="00017DCF">
        <w:rPr>
          <w:rFonts w:ascii="Times New Roman" w:hAnsi="Times New Roman" w:cs="Times New Roman"/>
          <w:i/>
          <w:lang w:val="en-GB"/>
        </w:rPr>
        <w:t>self</w:t>
      </w:r>
      <w:r w:rsidR="00070953" w:rsidRPr="00017DCF">
        <w:rPr>
          <w:rFonts w:ascii="Times New Roman" w:hAnsi="Times New Roman" w:cs="Times New Roman"/>
          <w:lang w:val="en-GB"/>
        </w:rPr>
        <w:t>-identity</w:t>
      </w:r>
      <w:r w:rsidRPr="00017DCF">
        <w:rPr>
          <w:rFonts w:ascii="Times New Roman" w:hAnsi="Times New Roman" w:cs="Times New Roman"/>
          <w:lang w:val="en-GB"/>
        </w:rPr>
        <w:t>,</w:t>
      </w:r>
      <w:r w:rsidR="00070953" w:rsidRPr="00017DCF">
        <w:rPr>
          <w:rFonts w:ascii="Times New Roman" w:hAnsi="Times New Roman" w:cs="Times New Roman"/>
          <w:lang w:val="en-GB"/>
        </w:rPr>
        <w:t xml:space="preserve"> which</w:t>
      </w:r>
      <w:r w:rsidR="00017DCF" w:rsidRPr="00017DCF">
        <w:rPr>
          <w:rFonts w:ascii="Times New Roman" w:hAnsi="Times New Roman" w:cs="Times New Roman"/>
          <w:lang w:val="en-GB"/>
        </w:rPr>
        <w:t>,</w:t>
      </w:r>
      <w:r w:rsidRPr="00017DCF">
        <w:rPr>
          <w:rFonts w:ascii="Times New Roman" w:hAnsi="Times New Roman" w:cs="Times New Roman"/>
          <w:lang w:val="en-GB"/>
        </w:rPr>
        <w:t xml:space="preserve"> as Dorrigo Evans</w:t>
      </w:r>
      <w:r w:rsidR="00017DCF" w:rsidRPr="00017DCF">
        <w:rPr>
          <w:rFonts w:ascii="Times New Roman" w:hAnsi="Times New Roman" w:cs="Times New Roman"/>
          <w:lang w:val="en-GB"/>
        </w:rPr>
        <w:t>’s</w:t>
      </w:r>
      <w:r w:rsidRPr="00017DCF">
        <w:rPr>
          <w:rFonts w:ascii="Times New Roman" w:hAnsi="Times New Roman" w:cs="Times New Roman"/>
          <w:lang w:val="en-GB"/>
        </w:rPr>
        <w:t xml:space="preserve"> story unfolds</w:t>
      </w:r>
      <w:r w:rsidR="00A132D3" w:rsidRPr="00017DCF">
        <w:rPr>
          <w:rFonts w:ascii="Times New Roman" w:hAnsi="Times New Roman" w:cs="Times New Roman"/>
          <w:lang w:val="en-GB"/>
        </w:rPr>
        <w:t>,</w:t>
      </w:r>
      <w:r w:rsidR="00070953" w:rsidRPr="00017DCF">
        <w:rPr>
          <w:rFonts w:ascii="Times New Roman" w:hAnsi="Times New Roman" w:cs="Times New Roman"/>
          <w:lang w:val="en-GB"/>
        </w:rPr>
        <w:t xml:space="preserve"> is full of </w:t>
      </w:r>
      <w:r w:rsidR="00840DEB" w:rsidRPr="00017DCF">
        <w:rPr>
          <w:rFonts w:ascii="Times New Roman" w:hAnsi="Times New Roman" w:cs="Times New Roman"/>
          <w:lang w:val="en-GB"/>
        </w:rPr>
        <w:t xml:space="preserve">complexity and </w:t>
      </w:r>
      <w:r w:rsidR="00070953" w:rsidRPr="00017DCF">
        <w:rPr>
          <w:rFonts w:ascii="Times New Roman" w:hAnsi="Times New Roman" w:cs="Times New Roman"/>
          <w:lang w:val="en-GB"/>
        </w:rPr>
        <w:t xml:space="preserve">doubt </w:t>
      </w:r>
      <w:r w:rsidR="005B15F7" w:rsidRPr="00017DCF">
        <w:rPr>
          <w:rFonts w:ascii="Times New Roman" w:hAnsi="Times New Roman" w:cs="Times New Roman"/>
          <w:lang w:val="en-GB"/>
        </w:rPr>
        <w:t xml:space="preserve">borne of self-knowledge and </w:t>
      </w:r>
      <w:r w:rsidR="007D3CE5" w:rsidRPr="00017DCF">
        <w:rPr>
          <w:rFonts w:ascii="Times New Roman" w:hAnsi="Times New Roman" w:cs="Times New Roman"/>
          <w:lang w:val="en-GB"/>
        </w:rPr>
        <w:t>introspection</w:t>
      </w:r>
      <w:r w:rsidRPr="00017DCF">
        <w:rPr>
          <w:rFonts w:ascii="Times New Roman" w:hAnsi="Times New Roman" w:cs="Times New Roman"/>
          <w:lang w:val="en-GB"/>
        </w:rPr>
        <w:t>. Instead</w:t>
      </w:r>
      <w:r w:rsidR="00D06F52" w:rsidRPr="00017DCF">
        <w:rPr>
          <w:rFonts w:ascii="Times New Roman" w:hAnsi="Times New Roman" w:cs="Times New Roman"/>
          <w:lang w:val="en-GB"/>
        </w:rPr>
        <w:t>,</w:t>
      </w:r>
      <w:r w:rsidRPr="00017DCF">
        <w:rPr>
          <w:rFonts w:ascii="Times New Roman" w:hAnsi="Times New Roman" w:cs="Times New Roman"/>
          <w:lang w:val="en-GB"/>
        </w:rPr>
        <w:t xml:space="preserve"> virtue</w:t>
      </w:r>
      <w:r w:rsidR="000323AE" w:rsidRPr="00017DCF">
        <w:rPr>
          <w:rFonts w:ascii="Times New Roman" w:hAnsi="Times New Roman" w:cs="Times New Roman"/>
          <w:lang w:val="en-GB"/>
        </w:rPr>
        <w:t xml:space="preserve"> in relation to self</w:t>
      </w:r>
      <w:r w:rsidRPr="00017DCF">
        <w:rPr>
          <w:rFonts w:ascii="Times New Roman" w:hAnsi="Times New Roman" w:cs="Times New Roman"/>
          <w:lang w:val="en-GB"/>
        </w:rPr>
        <w:t xml:space="preserve"> </w:t>
      </w:r>
      <w:r w:rsidR="00917105" w:rsidRPr="00017DCF">
        <w:rPr>
          <w:rFonts w:ascii="Times New Roman" w:hAnsi="Times New Roman" w:cs="Times New Roman"/>
          <w:lang w:val="en-GB"/>
        </w:rPr>
        <w:t xml:space="preserve">does not really exist, or at most </w:t>
      </w:r>
      <w:r w:rsidR="000864A8" w:rsidRPr="00017DCF">
        <w:rPr>
          <w:rFonts w:ascii="Times New Roman" w:hAnsi="Times New Roman" w:cs="Times New Roman"/>
          <w:lang w:val="en-GB"/>
        </w:rPr>
        <w:t xml:space="preserve">is shallow and showy. It </w:t>
      </w:r>
      <w:r w:rsidRPr="00017DCF">
        <w:rPr>
          <w:rFonts w:ascii="Times New Roman" w:hAnsi="Times New Roman" w:cs="Times New Roman"/>
          <w:lang w:val="en-GB"/>
        </w:rPr>
        <w:t>emerges</w:t>
      </w:r>
      <w:r w:rsidR="00EA1218" w:rsidRPr="00017DCF">
        <w:rPr>
          <w:rFonts w:ascii="Times New Roman" w:hAnsi="Times New Roman" w:cs="Times New Roman"/>
          <w:lang w:val="en-GB"/>
        </w:rPr>
        <w:t xml:space="preserve"> primarily</w:t>
      </w:r>
      <w:r w:rsidRPr="00017DCF">
        <w:rPr>
          <w:rFonts w:ascii="Times New Roman" w:hAnsi="Times New Roman" w:cs="Times New Roman"/>
          <w:lang w:val="en-GB"/>
        </w:rPr>
        <w:t xml:space="preserve"> from </w:t>
      </w:r>
      <w:r w:rsidR="00070953" w:rsidRPr="00017DCF">
        <w:rPr>
          <w:rFonts w:ascii="Times New Roman" w:hAnsi="Times New Roman" w:cs="Times New Roman"/>
          <w:lang w:val="en-GB"/>
        </w:rPr>
        <w:t xml:space="preserve">the desire of </w:t>
      </w:r>
      <w:r w:rsidR="000864A8" w:rsidRPr="00017DCF">
        <w:rPr>
          <w:rFonts w:ascii="Times New Roman" w:hAnsi="Times New Roman" w:cs="Times New Roman"/>
          <w:lang w:val="en-GB"/>
        </w:rPr>
        <w:t>people</w:t>
      </w:r>
      <w:r w:rsidR="00070953" w:rsidRPr="00017DCF">
        <w:rPr>
          <w:rFonts w:ascii="Times New Roman" w:hAnsi="Times New Roman" w:cs="Times New Roman"/>
          <w:lang w:val="en-GB"/>
        </w:rPr>
        <w:t xml:space="preserve"> to attribute </w:t>
      </w:r>
      <w:r w:rsidR="00045FBF" w:rsidRPr="00017DCF">
        <w:rPr>
          <w:rFonts w:ascii="Times New Roman" w:hAnsi="Times New Roman" w:cs="Times New Roman"/>
          <w:lang w:val="en-GB"/>
        </w:rPr>
        <w:t xml:space="preserve">qualities </w:t>
      </w:r>
      <w:r w:rsidR="00EA1218" w:rsidRPr="00017DCF">
        <w:rPr>
          <w:rFonts w:ascii="Times New Roman" w:hAnsi="Times New Roman" w:cs="Times New Roman"/>
          <w:lang w:val="en-GB"/>
        </w:rPr>
        <w:t>to</w:t>
      </w:r>
      <w:r w:rsidR="00045FBF" w:rsidRPr="00017DCF">
        <w:rPr>
          <w:rFonts w:ascii="Times New Roman" w:hAnsi="Times New Roman" w:cs="Times New Roman"/>
          <w:lang w:val="en-GB"/>
        </w:rPr>
        <w:t xml:space="preserve"> others</w:t>
      </w:r>
      <w:r w:rsidR="00F3630A" w:rsidRPr="00017DCF">
        <w:rPr>
          <w:rFonts w:ascii="Times New Roman" w:hAnsi="Times New Roman" w:cs="Times New Roman"/>
          <w:lang w:val="en-GB"/>
        </w:rPr>
        <w:t>,</w:t>
      </w:r>
      <w:r w:rsidR="00045FBF" w:rsidRPr="00017DCF">
        <w:rPr>
          <w:rFonts w:ascii="Times New Roman" w:hAnsi="Times New Roman" w:cs="Times New Roman"/>
          <w:lang w:val="en-GB"/>
        </w:rPr>
        <w:t xml:space="preserve"> </w:t>
      </w:r>
      <w:r w:rsidR="00070953" w:rsidRPr="00017DCF">
        <w:rPr>
          <w:rFonts w:ascii="Times New Roman" w:hAnsi="Times New Roman" w:cs="Times New Roman"/>
          <w:lang w:val="en-GB"/>
        </w:rPr>
        <w:t xml:space="preserve">as if to give </w:t>
      </w:r>
      <w:proofErr w:type="gramStart"/>
      <w:r w:rsidR="00017DCF" w:rsidRPr="00017DCF">
        <w:rPr>
          <w:rFonts w:ascii="Times New Roman" w:hAnsi="Times New Roman" w:cs="Times New Roman"/>
          <w:lang w:val="en-GB"/>
        </w:rPr>
        <w:t>themselves</w:t>
      </w:r>
      <w:proofErr w:type="gramEnd"/>
      <w:r w:rsidR="00017DCF" w:rsidRPr="00017DCF">
        <w:rPr>
          <w:rFonts w:ascii="Times New Roman" w:hAnsi="Times New Roman" w:cs="Times New Roman"/>
          <w:lang w:val="en-GB"/>
        </w:rPr>
        <w:t xml:space="preserve"> </w:t>
      </w:r>
      <w:r w:rsidR="00070953" w:rsidRPr="00017DCF">
        <w:rPr>
          <w:rFonts w:ascii="Times New Roman" w:hAnsi="Times New Roman" w:cs="Times New Roman"/>
          <w:lang w:val="en-GB"/>
        </w:rPr>
        <w:t xml:space="preserve">hope </w:t>
      </w:r>
      <w:r w:rsidR="002877CD" w:rsidRPr="00017DCF">
        <w:rPr>
          <w:rFonts w:ascii="Times New Roman" w:hAnsi="Times New Roman" w:cs="Times New Roman"/>
          <w:lang w:val="en-GB"/>
        </w:rPr>
        <w:t xml:space="preserve">in a world </w:t>
      </w:r>
      <w:r w:rsidR="009A700C" w:rsidRPr="00017DCF">
        <w:rPr>
          <w:rFonts w:ascii="Times New Roman" w:hAnsi="Times New Roman" w:cs="Times New Roman"/>
          <w:lang w:val="en-GB"/>
        </w:rPr>
        <w:t>where</w:t>
      </w:r>
      <w:r w:rsidR="002877CD" w:rsidRPr="00017DCF">
        <w:rPr>
          <w:rFonts w:ascii="Times New Roman" w:hAnsi="Times New Roman" w:cs="Times New Roman"/>
          <w:lang w:val="en-GB"/>
        </w:rPr>
        <w:t xml:space="preserve"> </w:t>
      </w:r>
      <w:r w:rsidR="00643956" w:rsidRPr="00017DCF">
        <w:rPr>
          <w:rFonts w:ascii="Times New Roman" w:hAnsi="Times New Roman" w:cs="Times New Roman"/>
          <w:lang w:val="en-GB"/>
        </w:rPr>
        <w:t xml:space="preserve">honour </w:t>
      </w:r>
      <w:r w:rsidR="000D31FE" w:rsidRPr="00017DCF">
        <w:rPr>
          <w:rFonts w:ascii="Times New Roman" w:hAnsi="Times New Roman" w:cs="Times New Roman"/>
          <w:lang w:val="en-GB"/>
        </w:rPr>
        <w:t xml:space="preserve">and </w:t>
      </w:r>
      <w:r w:rsidR="00643956" w:rsidRPr="00017DCF">
        <w:rPr>
          <w:rFonts w:ascii="Times New Roman" w:hAnsi="Times New Roman" w:cs="Times New Roman"/>
          <w:lang w:val="en-GB"/>
        </w:rPr>
        <w:t xml:space="preserve">heroism </w:t>
      </w:r>
      <w:r w:rsidR="000D31FE" w:rsidRPr="00017DCF">
        <w:rPr>
          <w:rFonts w:ascii="Times New Roman" w:hAnsi="Times New Roman" w:cs="Times New Roman"/>
          <w:lang w:val="en-GB"/>
        </w:rPr>
        <w:t>seem</w:t>
      </w:r>
      <w:r w:rsidR="002877CD" w:rsidRPr="00017DCF">
        <w:rPr>
          <w:rFonts w:ascii="Times New Roman" w:hAnsi="Times New Roman" w:cs="Times New Roman"/>
          <w:lang w:val="en-GB"/>
        </w:rPr>
        <w:t xml:space="preserve"> in short supply.</w:t>
      </w:r>
      <w:r w:rsidR="007D3CE5" w:rsidRPr="00017DCF">
        <w:rPr>
          <w:rFonts w:ascii="Times New Roman" w:hAnsi="Times New Roman" w:cs="Times New Roman"/>
          <w:lang w:val="en-GB"/>
        </w:rPr>
        <w:t xml:space="preserve"> </w:t>
      </w:r>
    </w:p>
    <w:p w14:paraId="78836575" w14:textId="527484C9" w:rsidR="000D3C6E" w:rsidRPr="00017DCF" w:rsidRDefault="007D3CE5" w:rsidP="00FB03E5">
      <w:pPr>
        <w:widowControl w:val="0"/>
        <w:autoSpaceDE w:val="0"/>
        <w:autoSpaceDN w:val="0"/>
        <w:adjustRightInd w:val="0"/>
        <w:spacing w:line="360" w:lineRule="auto"/>
        <w:ind w:firstLine="720"/>
        <w:rPr>
          <w:rFonts w:ascii="Times New Roman" w:hAnsi="Times New Roman" w:cs="Times New Roman"/>
          <w:lang w:val="en-GB"/>
        </w:rPr>
      </w:pPr>
      <w:r w:rsidRPr="00017DCF">
        <w:rPr>
          <w:rFonts w:ascii="Times New Roman" w:hAnsi="Times New Roman" w:cs="Times New Roman"/>
          <w:lang w:val="en-GB"/>
        </w:rPr>
        <w:t>A</w:t>
      </w:r>
      <w:r w:rsidR="00734795" w:rsidRPr="00017DCF">
        <w:rPr>
          <w:rFonts w:ascii="Times New Roman" w:hAnsi="Times New Roman" w:cs="Times New Roman"/>
          <w:lang w:val="en-GB"/>
        </w:rPr>
        <w:t>s I write</w:t>
      </w:r>
      <w:r w:rsidR="009A700C" w:rsidRPr="00017DCF">
        <w:rPr>
          <w:rFonts w:ascii="Times New Roman" w:hAnsi="Times New Roman" w:cs="Times New Roman"/>
          <w:lang w:val="en-GB"/>
        </w:rPr>
        <w:t>,</w:t>
      </w:r>
      <w:r w:rsidR="00734795" w:rsidRPr="00017DCF">
        <w:rPr>
          <w:rFonts w:ascii="Times New Roman" w:hAnsi="Times New Roman" w:cs="Times New Roman"/>
          <w:lang w:val="en-GB"/>
        </w:rPr>
        <w:t xml:space="preserve"> the news is full of refugees </w:t>
      </w:r>
      <w:r w:rsidR="00017DCF">
        <w:rPr>
          <w:rFonts w:ascii="Times New Roman" w:hAnsi="Times New Roman" w:cs="Times New Roman"/>
          <w:lang w:val="en-GB"/>
        </w:rPr>
        <w:t>fleeing</w:t>
      </w:r>
      <w:r w:rsidR="00017DCF" w:rsidRPr="00017DCF">
        <w:rPr>
          <w:rFonts w:ascii="Times New Roman" w:hAnsi="Times New Roman" w:cs="Times New Roman"/>
          <w:lang w:val="en-GB"/>
        </w:rPr>
        <w:t xml:space="preserve"> </w:t>
      </w:r>
      <w:r w:rsidRPr="00017DCF">
        <w:rPr>
          <w:rFonts w:ascii="Times New Roman" w:hAnsi="Times New Roman" w:cs="Times New Roman"/>
          <w:lang w:val="en-GB"/>
        </w:rPr>
        <w:t xml:space="preserve">conflict, stories of soldiers suffering </w:t>
      </w:r>
      <w:r w:rsidR="00E70700" w:rsidRPr="00017DCF">
        <w:rPr>
          <w:rFonts w:ascii="Times New Roman" w:hAnsi="Times New Roman" w:cs="Times New Roman"/>
          <w:lang w:val="en-GB"/>
        </w:rPr>
        <w:t xml:space="preserve">from </w:t>
      </w:r>
      <w:r w:rsidRPr="00017DCF">
        <w:rPr>
          <w:rFonts w:ascii="Times New Roman" w:hAnsi="Times New Roman" w:cs="Times New Roman"/>
          <w:lang w:val="en-GB"/>
        </w:rPr>
        <w:t>post-traumatic stress</w:t>
      </w:r>
      <w:r w:rsidR="00E70700" w:rsidRPr="00017DCF">
        <w:rPr>
          <w:rFonts w:ascii="Times New Roman" w:hAnsi="Times New Roman" w:cs="Times New Roman"/>
          <w:lang w:val="en-GB"/>
        </w:rPr>
        <w:t xml:space="preserve"> disorder, and terrorist atrocities.</w:t>
      </w:r>
      <w:r w:rsidR="00C4001F" w:rsidRPr="00017DCF">
        <w:rPr>
          <w:rFonts w:ascii="Times New Roman" w:hAnsi="Times New Roman" w:cs="Times New Roman"/>
          <w:lang w:val="en-GB"/>
        </w:rPr>
        <w:t xml:space="preserve"> </w:t>
      </w:r>
      <w:r w:rsidR="00643956" w:rsidRPr="00017DCF">
        <w:rPr>
          <w:rFonts w:ascii="Times New Roman" w:hAnsi="Times New Roman" w:cs="Times New Roman"/>
          <w:lang w:val="en-GB"/>
        </w:rPr>
        <w:t>Perhaps</w:t>
      </w:r>
      <w:r w:rsidR="00E70700" w:rsidRPr="00017DCF">
        <w:rPr>
          <w:rFonts w:ascii="Times New Roman" w:hAnsi="Times New Roman" w:cs="Times New Roman"/>
          <w:lang w:val="en-GB"/>
        </w:rPr>
        <w:t xml:space="preserve"> it is precisely because of the lack of virtue in </w:t>
      </w:r>
      <w:r w:rsidR="00643956" w:rsidRPr="00017DCF">
        <w:rPr>
          <w:rFonts w:ascii="Times New Roman" w:hAnsi="Times New Roman" w:cs="Times New Roman"/>
          <w:lang w:val="en-GB"/>
        </w:rPr>
        <w:t xml:space="preserve">the </w:t>
      </w:r>
      <w:r w:rsidR="00E70700" w:rsidRPr="00017DCF">
        <w:rPr>
          <w:rFonts w:ascii="Times New Roman" w:hAnsi="Times New Roman" w:cs="Times New Roman"/>
          <w:lang w:val="en-GB"/>
        </w:rPr>
        <w:t>modern world that t</w:t>
      </w:r>
      <w:r w:rsidR="00643956" w:rsidRPr="00017DCF">
        <w:rPr>
          <w:rFonts w:ascii="Times New Roman" w:hAnsi="Times New Roman" w:cs="Times New Roman"/>
          <w:lang w:val="en-GB"/>
        </w:rPr>
        <w:t>he romantic vision</w:t>
      </w:r>
      <w:r w:rsidR="00E70700" w:rsidRPr="00017DCF">
        <w:rPr>
          <w:rFonts w:ascii="Times New Roman" w:hAnsi="Times New Roman" w:cs="Times New Roman"/>
          <w:lang w:val="en-GB"/>
        </w:rPr>
        <w:t xml:space="preserve"> of a warrior golden age offered by </w:t>
      </w:r>
      <w:proofErr w:type="spellStart"/>
      <w:r w:rsidR="00E70700" w:rsidRPr="00017DCF">
        <w:rPr>
          <w:rFonts w:ascii="Times New Roman" w:hAnsi="Times New Roman" w:cs="Times New Roman"/>
          <w:lang w:val="en-GB"/>
        </w:rPr>
        <w:t>Treherne</w:t>
      </w:r>
      <w:proofErr w:type="spellEnd"/>
      <w:r w:rsidR="00E70700" w:rsidRPr="00017DCF">
        <w:rPr>
          <w:rFonts w:ascii="Times New Roman" w:hAnsi="Times New Roman" w:cs="Times New Roman"/>
          <w:lang w:val="en-GB"/>
        </w:rPr>
        <w:t xml:space="preserve"> is so appealing. Yet i</w:t>
      </w:r>
      <w:r w:rsidR="00C4001F" w:rsidRPr="00017DCF">
        <w:rPr>
          <w:rFonts w:ascii="Times New Roman" w:hAnsi="Times New Roman" w:cs="Times New Roman"/>
          <w:lang w:val="en-GB"/>
        </w:rPr>
        <w:t xml:space="preserve">t is </w:t>
      </w:r>
      <w:r w:rsidR="00E70700" w:rsidRPr="00017DCF">
        <w:rPr>
          <w:rFonts w:ascii="Times New Roman" w:hAnsi="Times New Roman" w:cs="Times New Roman"/>
          <w:lang w:val="en-GB"/>
        </w:rPr>
        <w:t xml:space="preserve">both </w:t>
      </w:r>
      <w:r w:rsidR="00C4001F" w:rsidRPr="00017DCF">
        <w:rPr>
          <w:rFonts w:ascii="Times New Roman" w:hAnsi="Times New Roman" w:cs="Times New Roman"/>
          <w:lang w:val="en-GB"/>
        </w:rPr>
        <w:t>striking and disturbing that</w:t>
      </w:r>
      <w:r w:rsidR="005054D1" w:rsidRPr="00017DCF">
        <w:rPr>
          <w:rFonts w:ascii="Times New Roman" w:hAnsi="Times New Roman" w:cs="Times New Roman"/>
          <w:lang w:val="en-GB"/>
        </w:rPr>
        <w:t xml:space="preserve"> the combination of </w:t>
      </w:r>
      <w:r w:rsidR="00C4001F" w:rsidRPr="00017DCF">
        <w:rPr>
          <w:rFonts w:ascii="Times New Roman" w:hAnsi="Times New Roman" w:cs="Times New Roman"/>
          <w:lang w:val="en-GB"/>
        </w:rPr>
        <w:t xml:space="preserve">heroic traits identified by </w:t>
      </w:r>
      <w:proofErr w:type="spellStart"/>
      <w:r w:rsidR="00C4001F" w:rsidRPr="00017DCF">
        <w:rPr>
          <w:rFonts w:ascii="Times New Roman" w:hAnsi="Times New Roman" w:cs="Times New Roman"/>
          <w:lang w:val="en-GB"/>
        </w:rPr>
        <w:t>Treherne</w:t>
      </w:r>
      <w:proofErr w:type="spellEnd"/>
      <w:r w:rsidR="00C4001F" w:rsidRPr="00017DCF">
        <w:rPr>
          <w:rFonts w:ascii="Times New Roman" w:hAnsi="Times New Roman" w:cs="Times New Roman"/>
          <w:lang w:val="en-GB"/>
        </w:rPr>
        <w:t xml:space="preserve"> </w:t>
      </w:r>
      <w:r w:rsidR="00017DCF">
        <w:rPr>
          <w:rFonts w:ascii="Times New Roman" w:hAnsi="Times New Roman" w:cs="Times New Roman"/>
          <w:lang w:val="en-GB"/>
        </w:rPr>
        <w:t>—</w:t>
      </w:r>
      <w:r w:rsidR="00C4001F" w:rsidRPr="00017DCF">
        <w:rPr>
          <w:rFonts w:ascii="Times New Roman" w:hAnsi="Times New Roman" w:cs="Times New Roman"/>
          <w:lang w:val="en-GB"/>
        </w:rPr>
        <w:t xml:space="preserve"> </w:t>
      </w:r>
      <w:r w:rsidR="00E70700" w:rsidRPr="00017DCF">
        <w:rPr>
          <w:rFonts w:ascii="Times New Roman" w:hAnsi="Times New Roman" w:cs="Times New Roman"/>
          <w:lang w:val="en-GB"/>
        </w:rPr>
        <w:t xml:space="preserve">a focus on </w:t>
      </w:r>
      <w:r w:rsidR="005054D1" w:rsidRPr="00017DCF">
        <w:rPr>
          <w:rFonts w:ascii="Times New Roman" w:hAnsi="Times New Roman" w:cs="Times New Roman"/>
          <w:lang w:val="en-GB"/>
        </w:rPr>
        <w:t xml:space="preserve">hair and grooming as </w:t>
      </w:r>
      <w:r w:rsidR="00017DCF">
        <w:rPr>
          <w:rFonts w:ascii="Times New Roman" w:hAnsi="Times New Roman" w:cs="Times New Roman"/>
          <w:lang w:val="en-GB"/>
        </w:rPr>
        <w:t xml:space="preserve">a </w:t>
      </w:r>
      <w:r w:rsidR="00E70700" w:rsidRPr="00017DCF">
        <w:rPr>
          <w:rFonts w:ascii="Times New Roman" w:hAnsi="Times New Roman" w:cs="Times New Roman"/>
          <w:lang w:val="en-GB"/>
        </w:rPr>
        <w:t>marker of identity and lifestyle, the search for glory,</w:t>
      </w:r>
      <w:r w:rsidR="00C4001F" w:rsidRPr="00017DCF">
        <w:rPr>
          <w:rFonts w:ascii="Times New Roman" w:hAnsi="Times New Roman" w:cs="Times New Roman"/>
          <w:lang w:val="en-GB"/>
        </w:rPr>
        <w:t xml:space="preserve"> eternal remembrance</w:t>
      </w:r>
      <w:r w:rsidR="00017DCF">
        <w:rPr>
          <w:rFonts w:ascii="Times New Roman" w:hAnsi="Times New Roman" w:cs="Times New Roman"/>
          <w:lang w:val="en-GB"/>
        </w:rPr>
        <w:t>,</w:t>
      </w:r>
      <w:r w:rsidR="00C4001F" w:rsidRPr="00017DCF">
        <w:rPr>
          <w:rFonts w:ascii="Times New Roman" w:hAnsi="Times New Roman" w:cs="Times New Roman"/>
          <w:lang w:val="en-GB"/>
        </w:rPr>
        <w:t xml:space="preserve"> and heroic death </w:t>
      </w:r>
      <w:r w:rsidR="00017DCF">
        <w:rPr>
          <w:rFonts w:ascii="Times New Roman" w:hAnsi="Times New Roman" w:cs="Times New Roman"/>
          <w:lang w:val="en-GB"/>
        </w:rPr>
        <w:t>—</w:t>
      </w:r>
      <w:r w:rsidR="00C4001F" w:rsidRPr="00017DCF">
        <w:rPr>
          <w:rFonts w:ascii="Times New Roman" w:hAnsi="Times New Roman" w:cs="Times New Roman"/>
          <w:lang w:val="en-GB"/>
        </w:rPr>
        <w:t xml:space="preserve"> are hallmarks of </w:t>
      </w:r>
      <w:r w:rsidR="005054D1" w:rsidRPr="00017DCF">
        <w:rPr>
          <w:rFonts w:ascii="Times New Roman" w:hAnsi="Times New Roman" w:cs="Times New Roman"/>
          <w:lang w:val="en-GB"/>
        </w:rPr>
        <w:t xml:space="preserve">a range of </w:t>
      </w:r>
      <w:r w:rsidR="00F9241D" w:rsidRPr="00017DCF">
        <w:rPr>
          <w:rFonts w:ascii="Times New Roman" w:hAnsi="Times New Roman" w:cs="Times New Roman"/>
          <w:lang w:val="en-GB"/>
        </w:rPr>
        <w:t xml:space="preserve">modern </w:t>
      </w:r>
      <w:r w:rsidR="005054D1" w:rsidRPr="00017DCF">
        <w:rPr>
          <w:rFonts w:ascii="Times New Roman" w:hAnsi="Times New Roman" w:cs="Times New Roman"/>
          <w:lang w:val="en-GB"/>
        </w:rPr>
        <w:t>military and terrorist groups</w:t>
      </w:r>
      <w:r w:rsidR="00416B6A" w:rsidRPr="00017DCF">
        <w:rPr>
          <w:rFonts w:ascii="Times New Roman" w:hAnsi="Times New Roman" w:cs="Times New Roman"/>
          <w:lang w:val="en-GB"/>
        </w:rPr>
        <w:t>, albeit in different ways</w:t>
      </w:r>
      <w:r w:rsidR="005054D1" w:rsidRPr="00017DCF">
        <w:rPr>
          <w:rFonts w:ascii="Times New Roman" w:hAnsi="Times New Roman" w:cs="Times New Roman"/>
          <w:lang w:val="en-GB"/>
        </w:rPr>
        <w:t xml:space="preserve">. One thinks of the </w:t>
      </w:r>
      <w:r w:rsidR="008E564C" w:rsidRPr="00017DCF">
        <w:rPr>
          <w:rFonts w:ascii="Times New Roman" w:hAnsi="Times New Roman" w:cs="Times New Roman"/>
          <w:lang w:val="en-GB"/>
        </w:rPr>
        <w:t>‘</w:t>
      </w:r>
      <w:r w:rsidR="005054D1" w:rsidRPr="00017DCF">
        <w:rPr>
          <w:rFonts w:ascii="Times New Roman" w:hAnsi="Times New Roman" w:cs="Times New Roman"/>
          <w:lang w:val="en-GB"/>
        </w:rPr>
        <w:t xml:space="preserve">buzz-cut’ in the US military, the immaculately groomed and uniformed soldiers of </w:t>
      </w:r>
      <w:r w:rsidR="00F9241D" w:rsidRPr="00017DCF">
        <w:rPr>
          <w:rFonts w:ascii="Times New Roman" w:hAnsi="Times New Roman" w:cs="Times New Roman"/>
          <w:lang w:val="en-GB"/>
        </w:rPr>
        <w:t xml:space="preserve">the </w:t>
      </w:r>
      <w:r w:rsidR="005054D1" w:rsidRPr="00017DCF">
        <w:rPr>
          <w:rFonts w:ascii="Times New Roman" w:hAnsi="Times New Roman" w:cs="Times New Roman"/>
          <w:lang w:val="en-GB"/>
        </w:rPr>
        <w:t>North Korea</w:t>
      </w:r>
      <w:r w:rsidR="00F9241D" w:rsidRPr="00017DCF">
        <w:rPr>
          <w:rFonts w:ascii="Times New Roman" w:hAnsi="Times New Roman" w:cs="Times New Roman"/>
          <w:lang w:val="en-GB"/>
        </w:rPr>
        <w:t>n regime,</w:t>
      </w:r>
      <w:r w:rsidR="005054D1" w:rsidRPr="00017DCF">
        <w:rPr>
          <w:rFonts w:ascii="Times New Roman" w:hAnsi="Times New Roman" w:cs="Times New Roman"/>
          <w:lang w:val="en-GB"/>
        </w:rPr>
        <w:t xml:space="preserve"> </w:t>
      </w:r>
      <w:r w:rsidR="00F9241D" w:rsidRPr="00017DCF">
        <w:rPr>
          <w:rFonts w:ascii="Times New Roman" w:hAnsi="Times New Roman" w:cs="Times New Roman"/>
          <w:lang w:val="en-GB"/>
        </w:rPr>
        <w:t>and</w:t>
      </w:r>
      <w:r w:rsidR="005054D1" w:rsidRPr="00017DCF">
        <w:rPr>
          <w:rFonts w:ascii="Times New Roman" w:hAnsi="Times New Roman" w:cs="Times New Roman"/>
          <w:lang w:val="en-GB"/>
        </w:rPr>
        <w:t xml:space="preserve"> </w:t>
      </w:r>
      <w:r w:rsidR="00E70700" w:rsidRPr="00017DCF">
        <w:rPr>
          <w:rFonts w:ascii="Times New Roman" w:hAnsi="Times New Roman" w:cs="Times New Roman"/>
          <w:lang w:val="en-GB"/>
        </w:rPr>
        <w:t xml:space="preserve">the propaganda promulgated by the </w:t>
      </w:r>
      <w:r w:rsidR="0073196B" w:rsidRPr="00017DCF">
        <w:rPr>
          <w:rFonts w:ascii="Times New Roman" w:hAnsi="Times New Roman" w:cs="Times New Roman"/>
          <w:lang w:val="en-GB"/>
        </w:rPr>
        <w:t>self-style</w:t>
      </w:r>
      <w:r w:rsidR="00E70700" w:rsidRPr="00017DCF">
        <w:rPr>
          <w:rFonts w:ascii="Times New Roman" w:hAnsi="Times New Roman" w:cs="Times New Roman"/>
          <w:lang w:val="en-GB"/>
        </w:rPr>
        <w:t>d</w:t>
      </w:r>
      <w:r w:rsidR="0073196B" w:rsidRPr="00017DCF">
        <w:rPr>
          <w:rFonts w:ascii="Times New Roman" w:hAnsi="Times New Roman" w:cs="Times New Roman"/>
          <w:lang w:val="en-GB"/>
        </w:rPr>
        <w:t xml:space="preserve"> warriors </w:t>
      </w:r>
      <w:r w:rsidR="00E70700" w:rsidRPr="00017DCF">
        <w:rPr>
          <w:rFonts w:ascii="Times New Roman" w:hAnsi="Times New Roman" w:cs="Times New Roman"/>
          <w:lang w:val="en-GB"/>
        </w:rPr>
        <w:t>of</w:t>
      </w:r>
      <w:r w:rsidR="0073196B" w:rsidRPr="00017DCF">
        <w:rPr>
          <w:rFonts w:ascii="Times New Roman" w:hAnsi="Times New Roman" w:cs="Times New Roman"/>
          <w:lang w:val="en-GB"/>
        </w:rPr>
        <w:t xml:space="preserve"> </w:t>
      </w:r>
      <w:proofErr w:type="spellStart"/>
      <w:r w:rsidR="004D2530">
        <w:rPr>
          <w:rFonts w:ascii="Times New Roman" w:hAnsi="Times New Roman" w:cs="Times New Roman"/>
          <w:lang w:val="en-GB"/>
        </w:rPr>
        <w:t>Daesh</w:t>
      </w:r>
      <w:proofErr w:type="spellEnd"/>
      <w:r w:rsidR="00F9241D" w:rsidRPr="00017DCF">
        <w:rPr>
          <w:rFonts w:ascii="Times New Roman" w:hAnsi="Times New Roman" w:cs="Times New Roman"/>
          <w:lang w:val="en-GB"/>
        </w:rPr>
        <w:t>.</w:t>
      </w:r>
      <w:r w:rsidR="00416B6A" w:rsidRPr="00017DCF">
        <w:rPr>
          <w:rFonts w:ascii="Times New Roman" w:hAnsi="Times New Roman" w:cs="Times New Roman"/>
          <w:lang w:val="en-GB"/>
        </w:rPr>
        <w:t xml:space="preserve"> In each of these cases the individual male body</w:t>
      </w:r>
      <w:r w:rsidR="00B3182C" w:rsidRPr="00017DCF">
        <w:rPr>
          <w:rFonts w:ascii="Times New Roman" w:hAnsi="Times New Roman" w:cs="Times New Roman"/>
          <w:lang w:val="en-GB"/>
        </w:rPr>
        <w:t xml:space="preserve"> is linked to the body politic (</w:t>
      </w:r>
      <w:proofErr w:type="spellStart"/>
      <w:r w:rsidR="004D2530">
        <w:rPr>
          <w:rFonts w:ascii="Times New Roman" w:hAnsi="Times New Roman" w:cs="Times New Roman"/>
          <w:lang w:val="en-GB"/>
        </w:rPr>
        <w:t>Brod</w:t>
      </w:r>
      <w:proofErr w:type="spellEnd"/>
      <w:r w:rsidR="004D2530">
        <w:rPr>
          <w:rFonts w:ascii="Times New Roman" w:hAnsi="Times New Roman" w:cs="Times New Roman"/>
          <w:lang w:val="en-GB"/>
        </w:rPr>
        <w:t xml:space="preserve"> &amp; </w:t>
      </w:r>
      <w:r w:rsidR="00B3182C" w:rsidRPr="00017DCF">
        <w:rPr>
          <w:rFonts w:ascii="Times New Roman" w:hAnsi="Times New Roman" w:cs="Times New Roman"/>
          <w:lang w:val="en-GB"/>
        </w:rPr>
        <w:t>Kaufman</w:t>
      </w:r>
      <w:r w:rsidR="00684E45">
        <w:rPr>
          <w:rFonts w:ascii="Times New Roman" w:hAnsi="Times New Roman" w:cs="Times New Roman"/>
          <w:lang w:val="en-GB"/>
        </w:rPr>
        <w:t>,</w:t>
      </w:r>
      <w:r w:rsidR="00B3182C" w:rsidRPr="00017DCF">
        <w:rPr>
          <w:rFonts w:ascii="Times New Roman" w:hAnsi="Times New Roman" w:cs="Times New Roman"/>
          <w:lang w:val="en-GB"/>
        </w:rPr>
        <w:t xml:space="preserve"> 1994: 8). </w:t>
      </w:r>
      <w:r w:rsidR="00416B6A" w:rsidRPr="00017DCF">
        <w:rPr>
          <w:rFonts w:ascii="Times New Roman" w:hAnsi="Times New Roman" w:cs="Times New Roman"/>
          <w:lang w:val="en-GB"/>
        </w:rPr>
        <w:t>There seems very little of beauty here</w:t>
      </w:r>
      <w:r w:rsidR="00B3182C" w:rsidRPr="00017DCF">
        <w:rPr>
          <w:rFonts w:ascii="Times New Roman" w:hAnsi="Times New Roman" w:cs="Times New Roman"/>
          <w:lang w:val="en-GB"/>
        </w:rPr>
        <w:t>.</w:t>
      </w:r>
    </w:p>
    <w:p w14:paraId="7ACE539E" w14:textId="04D7167F" w:rsidR="00636723" w:rsidRDefault="00FD3032" w:rsidP="006A562D">
      <w:pPr>
        <w:spacing w:line="360" w:lineRule="auto"/>
        <w:ind w:firstLine="720"/>
        <w:contextualSpacing/>
        <w:rPr>
          <w:rFonts w:ascii="Times New Roman" w:hAnsi="Times New Roman" w:cs="Times New Roman"/>
          <w:lang w:val="en-GB"/>
        </w:rPr>
      </w:pPr>
      <w:r w:rsidRPr="00017DCF">
        <w:rPr>
          <w:rFonts w:ascii="Times New Roman" w:hAnsi="Times New Roman" w:cs="Times New Roman"/>
          <w:lang w:val="en-GB"/>
        </w:rPr>
        <w:lastRenderedPageBreak/>
        <w:t>I do not doubt the importance of soci</w:t>
      </w:r>
      <w:r w:rsidR="008832D5" w:rsidRPr="00017DCF">
        <w:rPr>
          <w:rFonts w:ascii="Times New Roman" w:hAnsi="Times New Roman" w:cs="Times New Roman"/>
          <w:lang w:val="en-GB"/>
        </w:rPr>
        <w:t xml:space="preserve">al categories in the Bronze Age, </w:t>
      </w:r>
      <w:r w:rsidRPr="00017DCF">
        <w:rPr>
          <w:rFonts w:ascii="Times New Roman" w:hAnsi="Times New Roman" w:cs="Times New Roman"/>
          <w:lang w:val="en-GB"/>
        </w:rPr>
        <w:t>that ‘the warrior’ may have been one such category</w:t>
      </w:r>
      <w:r w:rsidR="008832D5" w:rsidRPr="00017DCF">
        <w:rPr>
          <w:rFonts w:ascii="Times New Roman" w:hAnsi="Times New Roman" w:cs="Times New Roman"/>
          <w:lang w:val="en-GB"/>
        </w:rPr>
        <w:t xml:space="preserve">, or </w:t>
      </w:r>
      <w:r w:rsidR="00273C41">
        <w:rPr>
          <w:rFonts w:ascii="Times New Roman" w:hAnsi="Times New Roman" w:cs="Times New Roman"/>
          <w:lang w:val="en-GB"/>
        </w:rPr>
        <w:t>that</w:t>
      </w:r>
      <w:r w:rsidR="008832D5" w:rsidRPr="00017DCF">
        <w:rPr>
          <w:rFonts w:ascii="Times New Roman" w:hAnsi="Times New Roman" w:cs="Times New Roman"/>
          <w:lang w:val="en-GB"/>
        </w:rPr>
        <w:t xml:space="preserve"> the body, its display</w:t>
      </w:r>
      <w:r w:rsidR="00273C41">
        <w:rPr>
          <w:rFonts w:ascii="Times New Roman" w:hAnsi="Times New Roman" w:cs="Times New Roman"/>
          <w:lang w:val="en-GB"/>
        </w:rPr>
        <w:t>,</w:t>
      </w:r>
      <w:r w:rsidR="008832D5" w:rsidRPr="00017DCF">
        <w:rPr>
          <w:rFonts w:ascii="Times New Roman" w:hAnsi="Times New Roman" w:cs="Times New Roman"/>
          <w:lang w:val="en-GB"/>
        </w:rPr>
        <w:t xml:space="preserve"> and adornment </w:t>
      </w:r>
      <w:r w:rsidR="00273C41">
        <w:rPr>
          <w:rFonts w:ascii="Times New Roman" w:hAnsi="Times New Roman" w:cs="Times New Roman"/>
          <w:lang w:val="en-GB"/>
        </w:rPr>
        <w:t xml:space="preserve">played a significant role </w:t>
      </w:r>
      <w:r w:rsidR="008832D5" w:rsidRPr="00017DCF">
        <w:rPr>
          <w:rFonts w:ascii="Times New Roman" w:hAnsi="Times New Roman" w:cs="Times New Roman"/>
          <w:lang w:val="en-GB"/>
        </w:rPr>
        <w:t>in the mediation of Bronze Age social relations. However,</w:t>
      </w:r>
      <w:r w:rsidRPr="00017DCF">
        <w:rPr>
          <w:rFonts w:ascii="Times New Roman" w:hAnsi="Times New Roman" w:cs="Times New Roman"/>
          <w:lang w:val="en-GB"/>
        </w:rPr>
        <w:t xml:space="preserve"> </w:t>
      </w:r>
      <w:r w:rsidRPr="00017DCF">
        <w:rPr>
          <w:rFonts w:ascii="Times New Roman" w:hAnsi="Times New Roman" w:cs="Times New Roman"/>
          <w:i/>
          <w:lang w:val="en-GB"/>
        </w:rPr>
        <w:t>The Warrior’s Beauty</w:t>
      </w:r>
      <w:r w:rsidRPr="00017DCF">
        <w:rPr>
          <w:rFonts w:ascii="Times New Roman" w:hAnsi="Times New Roman" w:cs="Times New Roman"/>
          <w:lang w:val="en-GB"/>
        </w:rPr>
        <w:t xml:space="preserve"> </w:t>
      </w:r>
      <w:r w:rsidR="00763E15" w:rsidRPr="00017DCF">
        <w:rPr>
          <w:rFonts w:ascii="Times New Roman" w:hAnsi="Times New Roman" w:cs="Times New Roman"/>
          <w:lang w:val="en-GB"/>
        </w:rPr>
        <w:t xml:space="preserve">proffers a highly </w:t>
      </w:r>
      <w:r w:rsidR="00093CC2" w:rsidRPr="00017DCF">
        <w:rPr>
          <w:rFonts w:ascii="Times New Roman" w:hAnsi="Times New Roman" w:cs="Times New Roman"/>
          <w:lang w:val="en-GB"/>
        </w:rPr>
        <w:t>sanitis</w:t>
      </w:r>
      <w:r w:rsidR="00617175" w:rsidRPr="00017DCF">
        <w:rPr>
          <w:rFonts w:ascii="Times New Roman" w:hAnsi="Times New Roman" w:cs="Times New Roman"/>
          <w:lang w:val="en-GB"/>
        </w:rPr>
        <w:t>ed</w:t>
      </w:r>
      <w:r w:rsidRPr="00017DCF">
        <w:rPr>
          <w:rFonts w:ascii="Times New Roman" w:hAnsi="Times New Roman" w:cs="Times New Roman"/>
          <w:lang w:val="en-GB"/>
        </w:rPr>
        <w:t xml:space="preserve"> </w:t>
      </w:r>
      <w:r w:rsidR="00D44C6C" w:rsidRPr="00017DCF">
        <w:rPr>
          <w:rFonts w:ascii="Times New Roman" w:hAnsi="Times New Roman" w:cs="Times New Roman"/>
          <w:lang w:val="en-GB"/>
        </w:rPr>
        <w:t xml:space="preserve">and </w:t>
      </w:r>
      <w:r w:rsidRPr="00017DCF">
        <w:rPr>
          <w:rFonts w:ascii="Times New Roman" w:hAnsi="Times New Roman" w:cs="Times New Roman"/>
          <w:lang w:val="en-GB"/>
        </w:rPr>
        <w:t xml:space="preserve">hegemonic </w:t>
      </w:r>
      <w:r w:rsidR="00763E15" w:rsidRPr="00017DCF">
        <w:rPr>
          <w:rFonts w:ascii="Times New Roman" w:hAnsi="Times New Roman" w:cs="Times New Roman"/>
          <w:lang w:val="en-GB"/>
        </w:rPr>
        <w:t xml:space="preserve">view of Bronze Age </w:t>
      </w:r>
      <w:r w:rsidR="0032679B" w:rsidRPr="00017DCF">
        <w:rPr>
          <w:rFonts w:ascii="Times New Roman" w:hAnsi="Times New Roman" w:cs="Times New Roman"/>
          <w:lang w:val="en-GB"/>
        </w:rPr>
        <w:t xml:space="preserve">masculinity </w:t>
      </w:r>
      <w:r w:rsidRPr="00017DCF">
        <w:rPr>
          <w:rFonts w:ascii="Times New Roman" w:hAnsi="Times New Roman" w:cs="Times New Roman"/>
          <w:lang w:val="en-GB"/>
        </w:rPr>
        <w:t xml:space="preserve">that does </w:t>
      </w:r>
      <w:r w:rsidR="0032679B" w:rsidRPr="00017DCF">
        <w:rPr>
          <w:rFonts w:ascii="Times New Roman" w:hAnsi="Times New Roman" w:cs="Times New Roman"/>
          <w:lang w:val="en-GB"/>
        </w:rPr>
        <w:t>little</w:t>
      </w:r>
      <w:r w:rsidRPr="00017DCF">
        <w:rPr>
          <w:rFonts w:ascii="Times New Roman" w:hAnsi="Times New Roman" w:cs="Times New Roman"/>
          <w:lang w:val="en-GB"/>
        </w:rPr>
        <w:t xml:space="preserve"> justice to the complexity of human </w:t>
      </w:r>
      <w:r w:rsidR="00D44C6C" w:rsidRPr="00017DCF">
        <w:rPr>
          <w:rFonts w:ascii="Times New Roman" w:hAnsi="Times New Roman" w:cs="Times New Roman"/>
          <w:lang w:val="en-GB"/>
        </w:rPr>
        <w:t>identity</w:t>
      </w:r>
      <w:r w:rsidR="0032679B" w:rsidRPr="00017DCF">
        <w:rPr>
          <w:rFonts w:ascii="Times New Roman" w:hAnsi="Times New Roman" w:cs="Times New Roman"/>
          <w:lang w:val="en-GB"/>
        </w:rPr>
        <w:t xml:space="preserve"> (</w:t>
      </w:r>
      <w:r w:rsidR="00273C41">
        <w:rPr>
          <w:rFonts w:ascii="Times New Roman" w:hAnsi="Times New Roman" w:cs="Times New Roman"/>
          <w:lang w:val="en-GB"/>
        </w:rPr>
        <w:t>see</w:t>
      </w:r>
      <w:r w:rsidR="00273C41" w:rsidRPr="00017DCF">
        <w:rPr>
          <w:rFonts w:ascii="Times New Roman" w:hAnsi="Times New Roman" w:cs="Times New Roman"/>
          <w:lang w:val="en-GB"/>
        </w:rPr>
        <w:t xml:space="preserve"> </w:t>
      </w:r>
      <w:r w:rsidR="00CB14DB" w:rsidRPr="00017DCF">
        <w:rPr>
          <w:rFonts w:ascii="Times New Roman" w:hAnsi="Times New Roman" w:cs="Times New Roman"/>
          <w:lang w:val="en-GB"/>
        </w:rPr>
        <w:t xml:space="preserve">Cornwall </w:t>
      </w:r>
      <w:r w:rsidR="00273C41">
        <w:rPr>
          <w:rFonts w:ascii="Times New Roman" w:hAnsi="Times New Roman" w:cs="Times New Roman"/>
          <w:lang w:val="en-GB"/>
        </w:rPr>
        <w:t>&amp;</w:t>
      </w:r>
      <w:r w:rsidR="00273C41" w:rsidRPr="00017DCF">
        <w:rPr>
          <w:rFonts w:ascii="Times New Roman" w:hAnsi="Times New Roman" w:cs="Times New Roman"/>
          <w:lang w:val="en-GB"/>
        </w:rPr>
        <w:t xml:space="preserve"> </w:t>
      </w:r>
      <w:r w:rsidR="00CB14DB" w:rsidRPr="00017DCF">
        <w:rPr>
          <w:rFonts w:ascii="Times New Roman" w:hAnsi="Times New Roman" w:cs="Times New Roman"/>
          <w:lang w:val="en-GB"/>
        </w:rPr>
        <w:t>Lindisfarne</w:t>
      </w:r>
      <w:r w:rsidR="00684E45">
        <w:rPr>
          <w:rFonts w:ascii="Times New Roman" w:hAnsi="Times New Roman" w:cs="Times New Roman"/>
          <w:lang w:val="en-GB"/>
        </w:rPr>
        <w:t>,</w:t>
      </w:r>
      <w:r w:rsidR="00CB14DB" w:rsidRPr="00017DCF">
        <w:rPr>
          <w:rFonts w:ascii="Times New Roman" w:hAnsi="Times New Roman" w:cs="Times New Roman"/>
          <w:lang w:val="en-GB"/>
        </w:rPr>
        <w:t xml:space="preserve"> 1994</w:t>
      </w:r>
      <w:r w:rsidR="0032679B" w:rsidRPr="00017DCF">
        <w:rPr>
          <w:rFonts w:ascii="Times New Roman" w:hAnsi="Times New Roman" w:cs="Times New Roman"/>
          <w:lang w:val="en-GB"/>
        </w:rPr>
        <w:t>)</w:t>
      </w:r>
      <w:r w:rsidR="00F3630A" w:rsidRPr="00017DCF">
        <w:rPr>
          <w:rFonts w:ascii="Times New Roman" w:hAnsi="Times New Roman" w:cs="Times New Roman"/>
          <w:lang w:val="en-GB"/>
        </w:rPr>
        <w:t>. A</w:t>
      </w:r>
      <w:r w:rsidR="00EF2FF5" w:rsidRPr="00017DCF">
        <w:rPr>
          <w:rFonts w:ascii="Times New Roman" w:hAnsi="Times New Roman" w:cs="Times New Roman"/>
          <w:lang w:val="en-GB"/>
        </w:rPr>
        <w:t xml:space="preserve">sserting that there was </w:t>
      </w:r>
      <w:r w:rsidR="00314437" w:rsidRPr="00017DCF">
        <w:rPr>
          <w:rFonts w:ascii="Times New Roman" w:hAnsi="Times New Roman" w:cs="Times New Roman"/>
          <w:lang w:val="en-GB"/>
        </w:rPr>
        <w:t xml:space="preserve">a </w:t>
      </w:r>
      <w:r w:rsidR="00273C41">
        <w:rPr>
          <w:rFonts w:ascii="Times New Roman" w:hAnsi="Times New Roman" w:cs="Times New Roman"/>
          <w:lang w:val="en-GB"/>
        </w:rPr>
        <w:t>‘</w:t>
      </w:r>
      <w:r w:rsidR="00314437" w:rsidRPr="00017DCF">
        <w:rPr>
          <w:rFonts w:ascii="Times New Roman" w:hAnsi="Times New Roman" w:cs="Times New Roman"/>
          <w:lang w:val="en-GB"/>
        </w:rPr>
        <w:t>coherent warrior lifestyle</w:t>
      </w:r>
      <w:r w:rsidR="00273C41">
        <w:rPr>
          <w:rFonts w:ascii="Times New Roman" w:hAnsi="Times New Roman" w:cs="Times New Roman"/>
          <w:lang w:val="en-GB"/>
        </w:rPr>
        <w:t>’</w:t>
      </w:r>
      <w:r w:rsidR="00EF2FF5" w:rsidRPr="00017DCF">
        <w:rPr>
          <w:rFonts w:ascii="Times New Roman" w:hAnsi="Times New Roman" w:cs="Times New Roman"/>
          <w:lang w:val="en-GB"/>
        </w:rPr>
        <w:t xml:space="preserve"> does not mean that </w:t>
      </w:r>
      <w:r w:rsidR="0068497D" w:rsidRPr="00017DCF">
        <w:rPr>
          <w:rFonts w:ascii="Times New Roman" w:hAnsi="Times New Roman" w:cs="Times New Roman"/>
          <w:lang w:val="en-GB"/>
        </w:rPr>
        <w:t>all eligible men</w:t>
      </w:r>
      <w:r w:rsidR="00EF2FF5" w:rsidRPr="00017DCF">
        <w:rPr>
          <w:rFonts w:ascii="Times New Roman" w:hAnsi="Times New Roman" w:cs="Times New Roman"/>
          <w:lang w:val="en-GB"/>
        </w:rPr>
        <w:t xml:space="preserve"> </w:t>
      </w:r>
      <w:r w:rsidR="008F3FC3" w:rsidRPr="00017DCF">
        <w:rPr>
          <w:rFonts w:ascii="Times New Roman" w:hAnsi="Times New Roman" w:cs="Times New Roman"/>
          <w:lang w:val="en-GB"/>
        </w:rPr>
        <w:t>conformed</w:t>
      </w:r>
      <w:r w:rsidR="00EF2FF5" w:rsidRPr="00017DCF">
        <w:rPr>
          <w:rFonts w:ascii="Times New Roman" w:hAnsi="Times New Roman" w:cs="Times New Roman"/>
          <w:lang w:val="en-GB"/>
        </w:rPr>
        <w:t xml:space="preserve"> to it. </w:t>
      </w:r>
      <w:r w:rsidR="008F3FC3" w:rsidRPr="00017DCF">
        <w:rPr>
          <w:rFonts w:ascii="Times New Roman" w:hAnsi="Times New Roman" w:cs="Times New Roman"/>
          <w:lang w:val="en-GB"/>
        </w:rPr>
        <w:t>The evidence for</w:t>
      </w:r>
      <w:r w:rsidR="003203E5" w:rsidRPr="00017DCF">
        <w:rPr>
          <w:rFonts w:ascii="Times New Roman" w:hAnsi="Times New Roman" w:cs="Times New Roman"/>
          <w:lang w:val="en-GB"/>
        </w:rPr>
        <w:t xml:space="preserve"> </w:t>
      </w:r>
      <w:r w:rsidR="008F3FC3" w:rsidRPr="00017DCF">
        <w:rPr>
          <w:rFonts w:ascii="Times New Roman" w:hAnsi="Times New Roman" w:cs="Times New Roman"/>
          <w:lang w:val="en-GB"/>
        </w:rPr>
        <w:t xml:space="preserve">how </w:t>
      </w:r>
      <w:r w:rsidR="003203E5" w:rsidRPr="00017DCF">
        <w:rPr>
          <w:rFonts w:ascii="Times New Roman" w:hAnsi="Times New Roman" w:cs="Times New Roman"/>
          <w:lang w:val="en-GB"/>
        </w:rPr>
        <w:t>regularly</w:t>
      </w:r>
      <w:r w:rsidR="00EF2FF5" w:rsidRPr="00017DCF">
        <w:rPr>
          <w:rFonts w:ascii="Times New Roman" w:hAnsi="Times New Roman" w:cs="Times New Roman"/>
          <w:lang w:val="en-GB"/>
        </w:rPr>
        <w:t xml:space="preserve"> </w:t>
      </w:r>
      <w:r w:rsidR="00E416A8" w:rsidRPr="00017DCF">
        <w:rPr>
          <w:rFonts w:ascii="Times New Roman" w:hAnsi="Times New Roman" w:cs="Times New Roman"/>
          <w:lang w:val="en-GB"/>
        </w:rPr>
        <w:t>masculine</w:t>
      </w:r>
      <w:r w:rsidR="00EF2FF5" w:rsidRPr="00017DCF">
        <w:rPr>
          <w:rFonts w:ascii="Times New Roman" w:hAnsi="Times New Roman" w:cs="Times New Roman"/>
          <w:lang w:val="en-GB"/>
        </w:rPr>
        <w:t xml:space="preserve"> ideals </w:t>
      </w:r>
      <w:r w:rsidR="00F74959" w:rsidRPr="00017DCF">
        <w:rPr>
          <w:rFonts w:ascii="Times New Roman" w:hAnsi="Times New Roman" w:cs="Times New Roman"/>
          <w:lang w:val="en-GB"/>
        </w:rPr>
        <w:t>were</w:t>
      </w:r>
      <w:r w:rsidR="006F1A2D" w:rsidRPr="00017DCF">
        <w:rPr>
          <w:rFonts w:ascii="Times New Roman" w:hAnsi="Times New Roman" w:cs="Times New Roman"/>
          <w:lang w:val="en-GB"/>
        </w:rPr>
        <w:t xml:space="preserve"> </w:t>
      </w:r>
      <w:r w:rsidR="00EF2FF5" w:rsidRPr="00017DCF">
        <w:rPr>
          <w:rFonts w:ascii="Times New Roman" w:hAnsi="Times New Roman" w:cs="Times New Roman"/>
          <w:lang w:val="en-GB"/>
        </w:rPr>
        <w:t>enacted</w:t>
      </w:r>
      <w:r w:rsidR="00314437" w:rsidRPr="00017DCF">
        <w:rPr>
          <w:rFonts w:ascii="Times New Roman" w:hAnsi="Times New Roman" w:cs="Times New Roman"/>
          <w:lang w:val="en-GB"/>
        </w:rPr>
        <w:t xml:space="preserve"> and</w:t>
      </w:r>
      <w:r w:rsidR="00EF2FF5" w:rsidRPr="00017DCF">
        <w:rPr>
          <w:rFonts w:ascii="Times New Roman" w:hAnsi="Times New Roman" w:cs="Times New Roman"/>
          <w:lang w:val="en-GB"/>
        </w:rPr>
        <w:t xml:space="preserve"> </w:t>
      </w:r>
      <w:r w:rsidR="00F74959" w:rsidRPr="00017DCF">
        <w:rPr>
          <w:rFonts w:ascii="Times New Roman" w:hAnsi="Times New Roman" w:cs="Times New Roman"/>
          <w:lang w:val="en-GB"/>
        </w:rPr>
        <w:t>sustained</w:t>
      </w:r>
      <w:r w:rsidR="00314437" w:rsidRPr="00017DCF">
        <w:rPr>
          <w:rFonts w:ascii="Times New Roman" w:hAnsi="Times New Roman" w:cs="Times New Roman"/>
          <w:lang w:val="en-GB"/>
        </w:rPr>
        <w:t>,</w:t>
      </w:r>
      <w:r w:rsidR="00F74959" w:rsidRPr="00017DCF">
        <w:rPr>
          <w:rFonts w:ascii="Times New Roman" w:hAnsi="Times New Roman" w:cs="Times New Roman"/>
          <w:lang w:val="en-GB"/>
        </w:rPr>
        <w:t xml:space="preserve"> </w:t>
      </w:r>
      <w:r w:rsidR="008832D5" w:rsidRPr="00017DCF">
        <w:rPr>
          <w:rFonts w:ascii="Times New Roman" w:hAnsi="Times New Roman" w:cs="Times New Roman"/>
          <w:lang w:val="en-GB"/>
        </w:rPr>
        <w:t>or how individuals entered the warrior ‘class’</w:t>
      </w:r>
      <w:r w:rsidR="008F3FC3" w:rsidRPr="00017DCF">
        <w:rPr>
          <w:rFonts w:ascii="Times New Roman" w:hAnsi="Times New Roman" w:cs="Times New Roman"/>
          <w:lang w:val="en-GB"/>
        </w:rPr>
        <w:t xml:space="preserve"> is thin</w:t>
      </w:r>
      <w:r w:rsidR="005A34D7" w:rsidRPr="00017DCF">
        <w:rPr>
          <w:rFonts w:ascii="Times New Roman" w:hAnsi="Times New Roman" w:cs="Times New Roman"/>
          <w:lang w:val="en-GB"/>
        </w:rPr>
        <w:t xml:space="preserve"> </w:t>
      </w:r>
      <w:r w:rsidR="00273C41">
        <w:rPr>
          <w:rFonts w:ascii="Times New Roman" w:hAnsi="Times New Roman" w:cs="Times New Roman"/>
          <w:lang w:val="en-GB"/>
        </w:rPr>
        <w:t>—</w:t>
      </w:r>
      <w:r w:rsidR="00314437" w:rsidRPr="00017DCF">
        <w:rPr>
          <w:rFonts w:ascii="Times New Roman" w:hAnsi="Times New Roman" w:cs="Times New Roman"/>
          <w:lang w:val="en-GB"/>
        </w:rPr>
        <w:t xml:space="preserve"> </w:t>
      </w:r>
      <w:r w:rsidR="008832D5" w:rsidRPr="00017DCF">
        <w:rPr>
          <w:rFonts w:ascii="Times New Roman" w:hAnsi="Times New Roman" w:cs="Times New Roman"/>
          <w:lang w:val="en-GB"/>
        </w:rPr>
        <w:t xml:space="preserve">to what extent was </w:t>
      </w:r>
      <w:r w:rsidR="00E416A8" w:rsidRPr="00017DCF">
        <w:rPr>
          <w:rFonts w:ascii="Times New Roman" w:hAnsi="Times New Roman" w:cs="Times New Roman"/>
          <w:lang w:val="en-GB"/>
        </w:rPr>
        <w:t xml:space="preserve">it ‘action-based’ or </w:t>
      </w:r>
      <w:r w:rsidR="00314437" w:rsidRPr="00017DCF">
        <w:rPr>
          <w:rFonts w:ascii="Times New Roman" w:hAnsi="Times New Roman" w:cs="Times New Roman"/>
          <w:lang w:val="en-GB"/>
        </w:rPr>
        <w:t>inherited</w:t>
      </w:r>
      <w:r w:rsidR="009A700C" w:rsidRPr="00017DCF">
        <w:rPr>
          <w:rFonts w:ascii="Times New Roman" w:hAnsi="Times New Roman" w:cs="Times New Roman"/>
          <w:lang w:val="en-GB"/>
        </w:rPr>
        <w:t>?</w:t>
      </w:r>
      <w:r w:rsidR="00E416A8" w:rsidRPr="00017DCF">
        <w:rPr>
          <w:rFonts w:ascii="Times New Roman" w:hAnsi="Times New Roman" w:cs="Times New Roman"/>
          <w:lang w:val="en-GB"/>
        </w:rPr>
        <w:t xml:space="preserve"> Similarly,</w:t>
      </w:r>
      <w:r w:rsidR="008F3FC3" w:rsidRPr="00017DCF">
        <w:rPr>
          <w:rFonts w:ascii="Times New Roman" w:hAnsi="Times New Roman" w:cs="Times New Roman"/>
          <w:lang w:val="en-GB"/>
        </w:rPr>
        <w:t xml:space="preserve"> </w:t>
      </w:r>
      <w:r w:rsidR="00B45E23" w:rsidRPr="00017DCF">
        <w:rPr>
          <w:rFonts w:ascii="Times New Roman" w:hAnsi="Times New Roman" w:cs="Times New Roman"/>
          <w:lang w:val="en-GB"/>
        </w:rPr>
        <w:t>the extent to which warrior values can be exclusively</w:t>
      </w:r>
      <w:r w:rsidR="00314437" w:rsidRPr="00017DCF">
        <w:rPr>
          <w:rFonts w:ascii="Times New Roman" w:hAnsi="Times New Roman" w:cs="Times New Roman"/>
          <w:lang w:val="en-GB"/>
        </w:rPr>
        <w:t xml:space="preserve"> equated with social status</w:t>
      </w:r>
      <w:r w:rsidR="00BB179A" w:rsidRPr="00017DCF">
        <w:rPr>
          <w:rFonts w:ascii="Times New Roman" w:hAnsi="Times New Roman" w:cs="Times New Roman"/>
          <w:lang w:val="en-GB"/>
        </w:rPr>
        <w:t>,</w:t>
      </w:r>
      <w:r w:rsidR="00314437" w:rsidRPr="00017DCF">
        <w:rPr>
          <w:rFonts w:ascii="Times New Roman" w:hAnsi="Times New Roman" w:cs="Times New Roman"/>
          <w:lang w:val="en-GB"/>
        </w:rPr>
        <w:t xml:space="preserve"> or </w:t>
      </w:r>
      <w:r w:rsidR="00B45E23" w:rsidRPr="00017DCF">
        <w:rPr>
          <w:rFonts w:ascii="Times New Roman" w:hAnsi="Times New Roman" w:cs="Times New Roman"/>
          <w:lang w:val="en-GB"/>
        </w:rPr>
        <w:t>whether status might be expressed or achi</w:t>
      </w:r>
      <w:r w:rsidR="00314437" w:rsidRPr="00017DCF">
        <w:rPr>
          <w:rFonts w:ascii="Times New Roman" w:hAnsi="Times New Roman" w:cs="Times New Roman"/>
          <w:lang w:val="en-GB"/>
        </w:rPr>
        <w:t xml:space="preserve">eved in a variety of </w:t>
      </w:r>
      <w:r w:rsidR="009A700C" w:rsidRPr="00017DCF">
        <w:rPr>
          <w:rFonts w:ascii="Times New Roman" w:hAnsi="Times New Roman" w:cs="Times New Roman"/>
          <w:lang w:val="en-GB"/>
        </w:rPr>
        <w:t xml:space="preserve">other </w:t>
      </w:r>
      <w:r w:rsidR="00314437" w:rsidRPr="00017DCF">
        <w:rPr>
          <w:rFonts w:ascii="Times New Roman" w:hAnsi="Times New Roman" w:cs="Times New Roman"/>
          <w:lang w:val="en-GB"/>
        </w:rPr>
        <w:t>ways</w:t>
      </w:r>
      <w:r w:rsidR="00BB179A" w:rsidRPr="00017DCF">
        <w:rPr>
          <w:rFonts w:ascii="Times New Roman" w:hAnsi="Times New Roman" w:cs="Times New Roman"/>
          <w:lang w:val="en-GB"/>
        </w:rPr>
        <w:t>,</w:t>
      </w:r>
      <w:r w:rsidR="005703B1" w:rsidRPr="00017DCF">
        <w:rPr>
          <w:rFonts w:ascii="Times New Roman" w:hAnsi="Times New Roman" w:cs="Times New Roman"/>
          <w:lang w:val="en-GB"/>
        </w:rPr>
        <w:t xml:space="preserve"> is unclear.</w:t>
      </w:r>
      <w:r w:rsidR="00B45E23" w:rsidRPr="00017DCF">
        <w:rPr>
          <w:rFonts w:ascii="Times New Roman" w:hAnsi="Times New Roman" w:cs="Times New Roman"/>
          <w:lang w:val="en-GB"/>
        </w:rPr>
        <w:t xml:space="preserve"> </w:t>
      </w:r>
      <w:r w:rsidR="00394B62" w:rsidRPr="00017DCF">
        <w:rPr>
          <w:rFonts w:ascii="Times New Roman" w:hAnsi="Times New Roman" w:cs="Times New Roman"/>
          <w:lang w:val="en-GB"/>
        </w:rPr>
        <w:t>O</w:t>
      </w:r>
      <w:r w:rsidR="008F3FC3" w:rsidRPr="00017DCF">
        <w:rPr>
          <w:rFonts w:ascii="Times New Roman" w:hAnsi="Times New Roman" w:cs="Times New Roman"/>
          <w:lang w:val="en-GB"/>
        </w:rPr>
        <w:t xml:space="preserve">ne might </w:t>
      </w:r>
      <w:r w:rsidR="00394B62" w:rsidRPr="00017DCF">
        <w:rPr>
          <w:rFonts w:ascii="Times New Roman" w:hAnsi="Times New Roman" w:cs="Times New Roman"/>
          <w:lang w:val="en-GB"/>
        </w:rPr>
        <w:t xml:space="preserve">also </w:t>
      </w:r>
      <w:r w:rsidR="008F3FC3" w:rsidRPr="00017DCF">
        <w:rPr>
          <w:rFonts w:ascii="Times New Roman" w:hAnsi="Times New Roman" w:cs="Times New Roman"/>
          <w:lang w:val="en-GB"/>
        </w:rPr>
        <w:t>ask</w:t>
      </w:r>
      <w:r w:rsidR="003203E5" w:rsidRPr="00017DCF">
        <w:rPr>
          <w:rFonts w:ascii="Times New Roman" w:hAnsi="Times New Roman" w:cs="Times New Roman"/>
          <w:lang w:val="en-GB"/>
        </w:rPr>
        <w:t xml:space="preserve"> </w:t>
      </w:r>
      <w:r w:rsidR="009A700C" w:rsidRPr="00017DCF">
        <w:rPr>
          <w:rFonts w:ascii="Times New Roman" w:hAnsi="Times New Roman" w:cs="Times New Roman"/>
          <w:lang w:val="en-GB"/>
        </w:rPr>
        <w:t>to</w:t>
      </w:r>
      <w:r w:rsidR="000B4075" w:rsidRPr="00017DCF">
        <w:rPr>
          <w:rFonts w:ascii="Times New Roman" w:hAnsi="Times New Roman" w:cs="Times New Roman"/>
          <w:lang w:val="en-GB"/>
        </w:rPr>
        <w:t xml:space="preserve"> whom </w:t>
      </w:r>
      <w:r w:rsidR="00882192" w:rsidRPr="00017DCF">
        <w:rPr>
          <w:rFonts w:ascii="Times New Roman" w:hAnsi="Times New Roman" w:cs="Times New Roman"/>
          <w:lang w:val="en-GB"/>
        </w:rPr>
        <w:t xml:space="preserve">the </w:t>
      </w:r>
      <w:r w:rsidR="00932785" w:rsidRPr="00017DCF">
        <w:rPr>
          <w:rFonts w:ascii="Times New Roman" w:hAnsi="Times New Roman" w:cs="Times New Roman"/>
          <w:lang w:val="en-GB"/>
        </w:rPr>
        <w:t>performance</w:t>
      </w:r>
      <w:r w:rsidR="00882192" w:rsidRPr="00017DCF">
        <w:rPr>
          <w:rFonts w:ascii="Times New Roman" w:hAnsi="Times New Roman" w:cs="Times New Roman"/>
          <w:lang w:val="en-GB"/>
        </w:rPr>
        <w:t xml:space="preserve"> of beauty was</w:t>
      </w:r>
      <w:r w:rsidR="00F74959" w:rsidRPr="00017DCF">
        <w:rPr>
          <w:rFonts w:ascii="Times New Roman" w:hAnsi="Times New Roman" w:cs="Times New Roman"/>
          <w:lang w:val="en-GB"/>
        </w:rPr>
        <w:t xml:space="preserve"> </w:t>
      </w:r>
      <w:r w:rsidR="00394B62" w:rsidRPr="00017DCF">
        <w:rPr>
          <w:rFonts w:ascii="Times New Roman" w:hAnsi="Times New Roman" w:cs="Times New Roman"/>
          <w:lang w:val="en-GB"/>
        </w:rPr>
        <w:t>directed</w:t>
      </w:r>
      <w:r w:rsidR="00882192" w:rsidRPr="00017DCF">
        <w:rPr>
          <w:rFonts w:ascii="Times New Roman" w:hAnsi="Times New Roman" w:cs="Times New Roman"/>
          <w:lang w:val="en-GB"/>
        </w:rPr>
        <w:t xml:space="preserve"> </w:t>
      </w:r>
      <w:r w:rsidR="009A700C" w:rsidRPr="00017DCF">
        <w:rPr>
          <w:rFonts w:ascii="Times New Roman" w:hAnsi="Times New Roman" w:cs="Times New Roman"/>
          <w:lang w:val="en-GB"/>
        </w:rPr>
        <w:t>and whether it took place in public or in private. In an age before mirrors did men groom themselves or was this done for them? In the case of the latter, was identity</w:t>
      </w:r>
      <w:r w:rsidR="00FB03E5">
        <w:rPr>
          <w:rFonts w:ascii="Times New Roman" w:hAnsi="Times New Roman" w:cs="Times New Roman"/>
          <w:lang w:val="en-GB"/>
        </w:rPr>
        <w:t>,</w:t>
      </w:r>
      <w:r w:rsidR="009A700C" w:rsidRPr="00017DCF">
        <w:rPr>
          <w:rFonts w:ascii="Times New Roman" w:hAnsi="Times New Roman" w:cs="Times New Roman"/>
          <w:lang w:val="en-GB"/>
        </w:rPr>
        <w:t xml:space="preserve"> therefore</w:t>
      </w:r>
      <w:r w:rsidR="00FB03E5">
        <w:rPr>
          <w:rFonts w:ascii="Times New Roman" w:hAnsi="Times New Roman" w:cs="Times New Roman"/>
          <w:lang w:val="en-GB"/>
        </w:rPr>
        <w:t>,</w:t>
      </w:r>
      <w:r w:rsidR="009A700C" w:rsidRPr="00017DCF">
        <w:rPr>
          <w:rFonts w:ascii="Times New Roman" w:hAnsi="Times New Roman" w:cs="Times New Roman"/>
          <w:lang w:val="en-GB"/>
        </w:rPr>
        <w:t xml:space="preserve"> a co-creation? </w:t>
      </w:r>
      <w:r w:rsidR="006141B0" w:rsidRPr="00017DCF">
        <w:rPr>
          <w:rFonts w:ascii="Times New Roman" w:hAnsi="Times New Roman" w:cs="Times New Roman"/>
          <w:lang w:val="en-GB"/>
        </w:rPr>
        <w:t>How might</w:t>
      </w:r>
      <w:r w:rsidR="009A700C" w:rsidRPr="00017DCF">
        <w:rPr>
          <w:rFonts w:ascii="Times New Roman" w:hAnsi="Times New Roman" w:cs="Times New Roman"/>
          <w:lang w:val="en-GB"/>
        </w:rPr>
        <w:t xml:space="preserve"> modifications to the body</w:t>
      </w:r>
      <w:r w:rsidR="00932785" w:rsidRPr="00017DCF">
        <w:rPr>
          <w:rFonts w:ascii="Times New Roman" w:hAnsi="Times New Roman" w:cs="Times New Roman"/>
          <w:lang w:val="en-GB"/>
        </w:rPr>
        <w:t xml:space="preserve"> aim to meet the expectations of others rather than of self</w:t>
      </w:r>
      <w:r w:rsidR="009A700C" w:rsidRPr="00017DCF">
        <w:rPr>
          <w:rFonts w:ascii="Times New Roman" w:hAnsi="Times New Roman" w:cs="Times New Roman"/>
          <w:lang w:val="en-GB"/>
        </w:rPr>
        <w:t xml:space="preserve">? </w:t>
      </w:r>
      <w:r w:rsidR="0032679B" w:rsidRPr="00017DCF">
        <w:rPr>
          <w:rFonts w:ascii="Times New Roman" w:hAnsi="Times New Roman" w:cs="Times New Roman"/>
          <w:lang w:val="en-GB"/>
        </w:rPr>
        <w:t>Furthermore,</w:t>
      </w:r>
      <w:r w:rsidR="00617175" w:rsidRPr="00017DCF">
        <w:rPr>
          <w:rFonts w:ascii="Times New Roman" w:hAnsi="Times New Roman" w:cs="Times New Roman"/>
          <w:lang w:val="en-GB"/>
        </w:rPr>
        <w:t xml:space="preserve"> the Homeric epic poems (a key strand in </w:t>
      </w:r>
      <w:proofErr w:type="spellStart"/>
      <w:r w:rsidR="00617175" w:rsidRPr="00017DCF">
        <w:rPr>
          <w:rFonts w:ascii="Times New Roman" w:hAnsi="Times New Roman" w:cs="Times New Roman"/>
          <w:lang w:val="en-GB"/>
        </w:rPr>
        <w:t>Treherne's</w:t>
      </w:r>
      <w:proofErr w:type="spellEnd"/>
      <w:r w:rsidR="00617175" w:rsidRPr="00017DCF">
        <w:rPr>
          <w:rFonts w:ascii="Times New Roman" w:hAnsi="Times New Roman" w:cs="Times New Roman"/>
          <w:lang w:val="en-GB"/>
        </w:rPr>
        <w:t xml:space="preserve"> argument) post-date the Bronze Age</w:t>
      </w:r>
      <w:r w:rsidR="00496C97" w:rsidRPr="00017DCF">
        <w:rPr>
          <w:rFonts w:ascii="Times New Roman" w:hAnsi="Times New Roman" w:cs="Times New Roman"/>
          <w:lang w:val="en-GB"/>
        </w:rPr>
        <w:t xml:space="preserve"> (</w:t>
      </w:r>
      <w:proofErr w:type="spellStart"/>
      <w:r w:rsidR="00DA1F01" w:rsidRPr="00017DCF">
        <w:rPr>
          <w:rFonts w:ascii="Times New Roman" w:hAnsi="Times New Roman" w:cs="Times New Roman"/>
          <w:lang w:val="en-GB"/>
        </w:rPr>
        <w:t>Finkelberg</w:t>
      </w:r>
      <w:proofErr w:type="spellEnd"/>
      <w:r w:rsidR="00684E45">
        <w:rPr>
          <w:rFonts w:ascii="Times New Roman" w:hAnsi="Times New Roman" w:cs="Times New Roman"/>
          <w:lang w:val="en-GB"/>
        </w:rPr>
        <w:t>,</w:t>
      </w:r>
      <w:r w:rsidR="00496C97" w:rsidRPr="00017DCF">
        <w:rPr>
          <w:rFonts w:ascii="Times New Roman" w:hAnsi="Times New Roman" w:cs="Times New Roman"/>
          <w:lang w:val="en-GB"/>
        </w:rPr>
        <w:t xml:space="preserve"> </w:t>
      </w:r>
      <w:r w:rsidR="00DA1F01" w:rsidRPr="00017DCF">
        <w:rPr>
          <w:rFonts w:ascii="Times New Roman" w:hAnsi="Times New Roman" w:cs="Times New Roman"/>
          <w:lang w:val="en-GB"/>
        </w:rPr>
        <w:t>1998</w:t>
      </w:r>
      <w:r w:rsidR="00496C97" w:rsidRPr="00017DCF">
        <w:rPr>
          <w:rFonts w:ascii="Times New Roman" w:hAnsi="Times New Roman" w:cs="Times New Roman"/>
          <w:lang w:val="en-GB"/>
        </w:rPr>
        <w:t>). Thus</w:t>
      </w:r>
      <w:r w:rsidR="00FB03E5">
        <w:rPr>
          <w:rFonts w:ascii="Times New Roman" w:hAnsi="Times New Roman" w:cs="Times New Roman"/>
          <w:lang w:val="en-GB"/>
        </w:rPr>
        <w:t>,</w:t>
      </w:r>
      <w:r w:rsidR="00496C97" w:rsidRPr="00017DCF">
        <w:rPr>
          <w:rFonts w:ascii="Times New Roman" w:hAnsi="Times New Roman" w:cs="Times New Roman"/>
          <w:lang w:val="en-GB"/>
        </w:rPr>
        <w:t xml:space="preserve"> they</w:t>
      </w:r>
      <w:r w:rsidR="00617175" w:rsidRPr="00017DCF">
        <w:rPr>
          <w:rFonts w:ascii="Times New Roman" w:hAnsi="Times New Roman" w:cs="Times New Roman"/>
          <w:lang w:val="en-GB"/>
        </w:rPr>
        <w:t xml:space="preserve"> </w:t>
      </w:r>
      <w:r w:rsidR="00AA5F4B" w:rsidRPr="00017DCF">
        <w:rPr>
          <w:rFonts w:ascii="Times New Roman" w:hAnsi="Times New Roman" w:cs="Times New Roman"/>
          <w:lang w:val="en-GB"/>
        </w:rPr>
        <w:t xml:space="preserve">cannot be understood to represent a Bronze Age reality </w:t>
      </w:r>
      <w:r w:rsidR="0032679B" w:rsidRPr="00017DCF">
        <w:rPr>
          <w:rFonts w:ascii="Times New Roman" w:hAnsi="Times New Roman" w:cs="Times New Roman"/>
          <w:lang w:val="en-GB"/>
        </w:rPr>
        <w:t>but</w:t>
      </w:r>
      <w:r w:rsidR="00496C97" w:rsidRPr="00017DCF">
        <w:rPr>
          <w:rFonts w:ascii="Times New Roman" w:hAnsi="Times New Roman" w:cs="Times New Roman"/>
          <w:lang w:val="en-GB"/>
        </w:rPr>
        <w:t xml:space="preserve"> are likely to represent an amalgam</w:t>
      </w:r>
      <w:r w:rsidR="00617175" w:rsidRPr="00017DCF">
        <w:rPr>
          <w:rFonts w:ascii="Times New Roman" w:hAnsi="Times New Roman" w:cs="Times New Roman"/>
          <w:lang w:val="en-GB"/>
        </w:rPr>
        <w:t xml:space="preserve"> </w:t>
      </w:r>
      <w:r w:rsidR="00496C97" w:rsidRPr="00017DCF">
        <w:rPr>
          <w:rFonts w:ascii="Times New Roman" w:hAnsi="Times New Roman" w:cs="Times New Roman"/>
          <w:lang w:val="en-GB"/>
        </w:rPr>
        <w:t>(Snodgrass</w:t>
      </w:r>
      <w:r w:rsidR="00684E45">
        <w:rPr>
          <w:rFonts w:ascii="Times New Roman" w:hAnsi="Times New Roman" w:cs="Times New Roman"/>
          <w:lang w:val="en-GB"/>
        </w:rPr>
        <w:t>,</w:t>
      </w:r>
      <w:r w:rsidR="00496C97" w:rsidRPr="00017DCF">
        <w:rPr>
          <w:rFonts w:ascii="Times New Roman" w:hAnsi="Times New Roman" w:cs="Times New Roman"/>
          <w:lang w:val="en-GB"/>
        </w:rPr>
        <w:t xml:space="preserve"> </w:t>
      </w:r>
      <w:r w:rsidR="0085646B" w:rsidRPr="00017DCF">
        <w:rPr>
          <w:rFonts w:ascii="Times New Roman" w:hAnsi="Times New Roman" w:cs="Times New Roman"/>
          <w:lang w:val="en-GB"/>
        </w:rPr>
        <w:t>1974</w:t>
      </w:r>
      <w:r w:rsidR="00496C97" w:rsidRPr="00017DCF">
        <w:rPr>
          <w:rFonts w:ascii="Times New Roman" w:hAnsi="Times New Roman" w:cs="Times New Roman"/>
          <w:lang w:val="en-GB"/>
        </w:rPr>
        <w:t xml:space="preserve">) or </w:t>
      </w:r>
      <w:r w:rsidR="003D16B2">
        <w:rPr>
          <w:rFonts w:ascii="Times New Roman" w:hAnsi="Times New Roman" w:cs="Times New Roman"/>
          <w:lang w:val="en-GB"/>
        </w:rPr>
        <w:t>‘</w:t>
      </w:r>
      <w:r w:rsidR="00496C97" w:rsidRPr="00017DCF">
        <w:rPr>
          <w:rFonts w:ascii="Times New Roman" w:hAnsi="Times New Roman" w:cs="Times New Roman"/>
          <w:lang w:val="en-GB"/>
        </w:rPr>
        <w:t>unhistorical composite</w:t>
      </w:r>
      <w:r w:rsidR="003D16B2">
        <w:rPr>
          <w:rFonts w:ascii="Times New Roman" w:hAnsi="Times New Roman" w:cs="Times New Roman"/>
          <w:lang w:val="en-GB"/>
        </w:rPr>
        <w:t>’</w:t>
      </w:r>
      <w:r w:rsidR="00496C97" w:rsidRPr="00017DCF">
        <w:rPr>
          <w:rFonts w:ascii="Times New Roman" w:hAnsi="Times New Roman" w:cs="Times New Roman"/>
          <w:lang w:val="en-GB"/>
        </w:rPr>
        <w:t xml:space="preserve"> relevant to the values of the intended audience (Osborne</w:t>
      </w:r>
      <w:r w:rsidR="00684E45">
        <w:rPr>
          <w:rFonts w:ascii="Times New Roman" w:hAnsi="Times New Roman" w:cs="Times New Roman"/>
          <w:lang w:val="en-GB"/>
        </w:rPr>
        <w:t>,</w:t>
      </w:r>
      <w:r w:rsidR="00496C97" w:rsidRPr="00017DCF">
        <w:rPr>
          <w:rFonts w:ascii="Times New Roman" w:hAnsi="Times New Roman" w:cs="Times New Roman"/>
          <w:lang w:val="en-GB"/>
        </w:rPr>
        <w:t xml:space="preserve"> </w:t>
      </w:r>
      <w:r w:rsidR="00A84177" w:rsidRPr="00017DCF">
        <w:rPr>
          <w:rFonts w:ascii="Times New Roman" w:hAnsi="Times New Roman" w:cs="Times New Roman"/>
          <w:lang w:val="en-GB"/>
        </w:rPr>
        <w:t>1996: 153</w:t>
      </w:r>
      <w:r w:rsidR="00496C97" w:rsidRPr="00017DCF">
        <w:rPr>
          <w:rFonts w:ascii="Times New Roman" w:hAnsi="Times New Roman" w:cs="Times New Roman"/>
          <w:lang w:val="en-GB"/>
        </w:rPr>
        <w:t>)</w:t>
      </w:r>
      <w:r w:rsidR="00AA5F4B" w:rsidRPr="00017DCF">
        <w:rPr>
          <w:rFonts w:ascii="Times New Roman" w:hAnsi="Times New Roman" w:cs="Times New Roman"/>
          <w:lang w:val="en-GB"/>
        </w:rPr>
        <w:t>.</w:t>
      </w:r>
      <w:r w:rsidR="008B329D" w:rsidRPr="00017DCF">
        <w:rPr>
          <w:rFonts w:ascii="Times New Roman" w:hAnsi="Times New Roman" w:cs="Times New Roman"/>
          <w:lang w:val="en-GB"/>
        </w:rPr>
        <w:t xml:space="preserve"> </w:t>
      </w:r>
      <w:r w:rsidR="008F3FC3" w:rsidRPr="00017DCF">
        <w:rPr>
          <w:rFonts w:ascii="Times New Roman" w:hAnsi="Times New Roman" w:cs="Times New Roman"/>
          <w:lang w:val="en-GB"/>
        </w:rPr>
        <w:t>Yet these</w:t>
      </w:r>
      <w:r w:rsidR="00B45E23" w:rsidRPr="00017DCF">
        <w:rPr>
          <w:rFonts w:ascii="Times New Roman" w:hAnsi="Times New Roman" w:cs="Times New Roman"/>
          <w:lang w:val="en-GB"/>
        </w:rPr>
        <w:t xml:space="preserve"> unresolved questions,</w:t>
      </w:r>
      <w:r w:rsidR="008F3FC3" w:rsidRPr="00017DCF">
        <w:rPr>
          <w:rFonts w:ascii="Times New Roman" w:hAnsi="Times New Roman" w:cs="Times New Roman"/>
          <w:lang w:val="en-GB"/>
        </w:rPr>
        <w:t xml:space="preserve"> tensions</w:t>
      </w:r>
      <w:r w:rsidR="003D16B2">
        <w:rPr>
          <w:rFonts w:ascii="Times New Roman" w:hAnsi="Times New Roman" w:cs="Times New Roman"/>
          <w:lang w:val="en-GB"/>
        </w:rPr>
        <w:t>,</w:t>
      </w:r>
      <w:r w:rsidR="008F3FC3" w:rsidRPr="00017DCF">
        <w:rPr>
          <w:rFonts w:ascii="Times New Roman" w:hAnsi="Times New Roman" w:cs="Times New Roman"/>
          <w:lang w:val="en-GB"/>
        </w:rPr>
        <w:t xml:space="preserve"> and deficiencies often seem to be willingly overlooked</w:t>
      </w:r>
      <w:r w:rsidR="008832D5" w:rsidRPr="00017DCF">
        <w:rPr>
          <w:rFonts w:ascii="Times New Roman" w:hAnsi="Times New Roman" w:cs="Times New Roman"/>
          <w:lang w:val="en-GB"/>
        </w:rPr>
        <w:t>,</w:t>
      </w:r>
      <w:r w:rsidR="008F3FC3" w:rsidRPr="00017DCF">
        <w:rPr>
          <w:rFonts w:ascii="Times New Roman" w:hAnsi="Times New Roman" w:cs="Times New Roman"/>
          <w:lang w:val="en-GB"/>
        </w:rPr>
        <w:t xml:space="preserve"> such is the draw of </w:t>
      </w:r>
      <w:proofErr w:type="spellStart"/>
      <w:r w:rsidR="008F3FC3" w:rsidRPr="00017DCF">
        <w:rPr>
          <w:rFonts w:ascii="Times New Roman" w:hAnsi="Times New Roman" w:cs="Times New Roman"/>
          <w:lang w:val="en-GB"/>
        </w:rPr>
        <w:t>Treherne’s</w:t>
      </w:r>
      <w:proofErr w:type="spellEnd"/>
      <w:r w:rsidR="008F3FC3" w:rsidRPr="00017DCF">
        <w:rPr>
          <w:rFonts w:ascii="Times New Roman" w:hAnsi="Times New Roman" w:cs="Times New Roman"/>
          <w:lang w:val="en-GB"/>
        </w:rPr>
        <w:t xml:space="preserve"> narrative. </w:t>
      </w:r>
    </w:p>
    <w:p w14:paraId="1276EBA2" w14:textId="325C5323" w:rsidR="00636723" w:rsidRDefault="00132886">
      <w:pPr>
        <w:spacing w:line="360" w:lineRule="auto"/>
        <w:ind w:firstLine="720"/>
        <w:contextualSpacing/>
        <w:rPr>
          <w:rFonts w:ascii="Times New Roman" w:hAnsi="Times New Roman" w:cs="Times New Roman"/>
          <w:lang w:val="en-GB"/>
        </w:rPr>
      </w:pPr>
      <w:r w:rsidRPr="00017DCF">
        <w:rPr>
          <w:rFonts w:ascii="Times New Roman" w:hAnsi="Times New Roman" w:cs="Times New Roman"/>
          <w:i/>
          <w:lang w:val="en-GB"/>
        </w:rPr>
        <w:t>The Warrior’s Beauty</w:t>
      </w:r>
      <w:r w:rsidRPr="00017DCF">
        <w:rPr>
          <w:rFonts w:ascii="Times New Roman" w:hAnsi="Times New Roman" w:cs="Times New Roman"/>
          <w:lang w:val="en-GB"/>
        </w:rPr>
        <w:t xml:space="preserve"> </w:t>
      </w:r>
      <w:r w:rsidR="00683BAE" w:rsidRPr="00017DCF">
        <w:rPr>
          <w:rFonts w:ascii="Times New Roman" w:hAnsi="Times New Roman" w:cs="Times New Roman"/>
          <w:lang w:val="en-GB"/>
        </w:rPr>
        <w:t>remains</w:t>
      </w:r>
      <w:r w:rsidR="00C940B0" w:rsidRPr="00017DCF">
        <w:rPr>
          <w:rFonts w:ascii="Times New Roman" w:hAnsi="Times New Roman" w:cs="Times New Roman"/>
          <w:lang w:val="en-GB"/>
        </w:rPr>
        <w:t xml:space="preserve"> </w:t>
      </w:r>
      <w:r w:rsidR="00683BAE" w:rsidRPr="00017DCF">
        <w:rPr>
          <w:rFonts w:ascii="Times New Roman" w:hAnsi="Times New Roman" w:cs="Times New Roman"/>
          <w:lang w:val="en-GB"/>
        </w:rPr>
        <w:t xml:space="preserve">one of the few unambiguous discussions of masculine identity in the </w:t>
      </w:r>
      <w:r w:rsidR="00EB400C" w:rsidRPr="00017DCF">
        <w:rPr>
          <w:rFonts w:ascii="Times New Roman" w:hAnsi="Times New Roman" w:cs="Times New Roman"/>
          <w:lang w:val="en-GB"/>
        </w:rPr>
        <w:t>prehistory</w:t>
      </w:r>
      <w:r w:rsidR="00683BAE" w:rsidRPr="00017DCF">
        <w:rPr>
          <w:rFonts w:ascii="Times New Roman" w:hAnsi="Times New Roman" w:cs="Times New Roman"/>
          <w:lang w:val="en-GB"/>
        </w:rPr>
        <w:t xml:space="preserve"> literature</w:t>
      </w:r>
      <w:r w:rsidR="00E416A8" w:rsidRPr="00017DCF">
        <w:rPr>
          <w:rFonts w:ascii="Times New Roman" w:hAnsi="Times New Roman" w:cs="Times New Roman"/>
          <w:lang w:val="en-GB"/>
        </w:rPr>
        <w:t xml:space="preserve"> and here too lies some of its allure</w:t>
      </w:r>
      <w:r w:rsidR="00683BAE" w:rsidRPr="00017DCF">
        <w:rPr>
          <w:rFonts w:ascii="Times New Roman" w:hAnsi="Times New Roman" w:cs="Times New Roman"/>
          <w:lang w:val="en-GB"/>
        </w:rPr>
        <w:t xml:space="preserve">. </w:t>
      </w:r>
      <w:r w:rsidR="00C53E1F" w:rsidRPr="00017DCF">
        <w:rPr>
          <w:rFonts w:ascii="Times New Roman" w:hAnsi="Times New Roman" w:cs="Times New Roman"/>
          <w:lang w:val="en-GB"/>
        </w:rPr>
        <w:t xml:space="preserve">It is </w:t>
      </w:r>
      <w:r w:rsidR="004D74B6" w:rsidRPr="00017DCF">
        <w:rPr>
          <w:rFonts w:ascii="Times New Roman" w:hAnsi="Times New Roman" w:cs="Times New Roman"/>
          <w:lang w:val="en-GB"/>
        </w:rPr>
        <w:t xml:space="preserve">useful to </w:t>
      </w:r>
      <w:r w:rsidR="00200B5B" w:rsidRPr="00017DCF">
        <w:rPr>
          <w:rFonts w:ascii="Times New Roman" w:hAnsi="Times New Roman" w:cs="Times New Roman"/>
          <w:lang w:val="en-GB"/>
        </w:rPr>
        <w:t>recognise</w:t>
      </w:r>
      <w:r w:rsidR="004D74B6" w:rsidRPr="00017DCF">
        <w:rPr>
          <w:rFonts w:ascii="Times New Roman" w:hAnsi="Times New Roman" w:cs="Times New Roman"/>
          <w:lang w:val="en-GB"/>
        </w:rPr>
        <w:t xml:space="preserve"> that </w:t>
      </w:r>
      <w:r w:rsidR="005A34D7" w:rsidRPr="00017DCF">
        <w:rPr>
          <w:rFonts w:ascii="Times New Roman" w:hAnsi="Times New Roman" w:cs="Times New Roman"/>
          <w:lang w:val="en-GB"/>
        </w:rPr>
        <w:t xml:space="preserve">the </w:t>
      </w:r>
      <w:r w:rsidR="003D16B2">
        <w:rPr>
          <w:rFonts w:ascii="Times New Roman" w:hAnsi="Times New Roman" w:cs="Times New Roman"/>
          <w:lang w:val="en-GB"/>
        </w:rPr>
        <w:t>article</w:t>
      </w:r>
      <w:r w:rsidR="003D16B2" w:rsidRPr="00017DCF">
        <w:rPr>
          <w:rFonts w:ascii="Times New Roman" w:hAnsi="Times New Roman" w:cs="Times New Roman"/>
          <w:i/>
          <w:lang w:val="en-GB"/>
        </w:rPr>
        <w:t xml:space="preserve"> </w:t>
      </w:r>
      <w:r w:rsidR="00934AB9" w:rsidRPr="00017DCF">
        <w:rPr>
          <w:rFonts w:ascii="Times New Roman" w:hAnsi="Times New Roman" w:cs="Times New Roman"/>
          <w:lang w:val="en-GB"/>
        </w:rPr>
        <w:t xml:space="preserve">was written </w:t>
      </w:r>
      <w:r w:rsidR="00EC5B34" w:rsidRPr="00017DCF">
        <w:rPr>
          <w:rFonts w:ascii="Times New Roman" w:hAnsi="Times New Roman" w:cs="Times New Roman"/>
          <w:lang w:val="en-GB"/>
        </w:rPr>
        <w:t>in the early days</w:t>
      </w:r>
      <w:r w:rsidR="00934AB9" w:rsidRPr="00017DCF">
        <w:rPr>
          <w:rFonts w:ascii="Times New Roman" w:hAnsi="Times New Roman" w:cs="Times New Roman"/>
          <w:lang w:val="en-GB"/>
        </w:rPr>
        <w:t xml:space="preserve"> of gender</w:t>
      </w:r>
      <w:r w:rsidR="00EC5B34" w:rsidRPr="00017DCF">
        <w:rPr>
          <w:rFonts w:ascii="Times New Roman" w:hAnsi="Times New Roman" w:cs="Times New Roman"/>
          <w:lang w:val="en-GB"/>
        </w:rPr>
        <w:t xml:space="preserve"> archaeology</w:t>
      </w:r>
      <w:r w:rsidR="001A0F18" w:rsidRPr="00017DCF">
        <w:rPr>
          <w:rFonts w:ascii="Times New Roman" w:hAnsi="Times New Roman" w:cs="Times New Roman"/>
          <w:lang w:val="en-GB"/>
        </w:rPr>
        <w:t>.</w:t>
      </w:r>
      <w:r w:rsidR="00915B21" w:rsidRPr="00017DCF">
        <w:rPr>
          <w:rFonts w:ascii="Times New Roman" w:hAnsi="Times New Roman" w:cs="Times New Roman"/>
          <w:lang w:val="en-GB"/>
        </w:rPr>
        <w:t xml:space="preserve"> </w:t>
      </w:r>
      <w:r w:rsidR="001A0F18" w:rsidRPr="00017DCF">
        <w:rPr>
          <w:rFonts w:ascii="Times New Roman" w:hAnsi="Times New Roman" w:cs="Times New Roman"/>
          <w:lang w:val="en-GB"/>
        </w:rPr>
        <w:t>T</w:t>
      </w:r>
      <w:r w:rsidR="00915B21" w:rsidRPr="00017DCF">
        <w:rPr>
          <w:rFonts w:ascii="Times New Roman" w:hAnsi="Times New Roman" w:cs="Times New Roman"/>
          <w:lang w:val="en-GB"/>
        </w:rPr>
        <w:t xml:space="preserve">he potential of mortuary contexts for gendered analyses </w:t>
      </w:r>
      <w:r w:rsidR="00E416A8" w:rsidRPr="00017DCF">
        <w:rPr>
          <w:rFonts w:ascii="Times New Roman" w:hAnsi="Times New Roman" w:cs="Times New Roman"/>
          <w:lang w:val="en-GB"/>
        </w:rPr>
        <w:t xml:space="preserve">in terms of the relationship between the physical body and grave goods </w:t>
      </w:r>
      <w:r w:rsidR="00915B21" w:rsidRPr="00017DCF">
        <w:rPr>
          <w:rFonts w:ascii="Times New Roman" w:hAnsi="Times New Roman" w:cs="Times New Roman"/>
          <w:lang w:val="en-GB"/>
        </w:rPr>
        <w:t xml:space="preserve">had </w:t>
      </w:r>
      <w:r w:rsidR="00EC5B34" w:rsidRPr="00017DCF">
        <w:rPr>
          <w:rFonts w:ascii="Times New Roman" w:hAnsi="Times New Roman" w:cs="Times New Roman"/>
          <w:lang w:val="en-GB"/>
        </w:rPr>
        <w:t>recently</w:t>
      </w:r>
      <w:r w:rsidR="00915B21" w:rsidRPr="00017DCF">
        <w:rPr>
          <w:rFonts w:ascii="Times New Roman" w:hAnsi="Times New Roman" w:cs="Times New Roman"/>
          <w:lang w:val="en-GB"/>
        </w:rPr>
        <w:t xml:space="preserve"> been highlighted </w:t>
      </w:r>
      <w:r w:rsidR="00EC5B34" w:rsidRPr="00017DCF">
        <w:rPr>
          <w:rFonts w:ascii="Times New Roman" w:hAnsi="Times New Roman" w:cs="Times New Roman"/>
          <w:lang w:val="en-GB"/>
        </w:rPr>
        <w:t>in a range of</w:t>
      </w:r>
      <w:r w:rsidR="00915B21" w:rsidRPr="00017DCF">
        <w:rPr>
          <w:rFonts w:ascii="Times New Roman" w:hAnsi="Times New Roman" w:cs="Times New Roman"/>
          <w:lang w:val="en-GB"/>
        </w:rPr>
        <w:t xml:space="preserve"> publications </w:t>
      </w:r>
      <w:r w:rsidR="00200B5B" w:rsidRPr="00017DCF">
        <w:rPr>
          <w:rFonts w:ascii="Times New Roman" w:hAnsi="Times New Roman" w:cs="Times New Roman"/>
          <w:lang w:val="en-GB"/>
        </w:rPr>
        <w:t>(</w:t>
      </w:r>
      <w:r w:rsidR="00E416A8" w:rsidRPr="00017DCF">
        <w:rPr>
          <w:rFonts w:ascii="Times New Roman" w:hAnsi="Times New Roman" w:cs="Times New Roman"/>
          <w:lang w:val="en-GB"/>
        </w:rPr>
        <w:t>e</w:t>
      </w:r>
      <w:r w:rsidR="003874EB" w:rsidRPr="00017DCF">
        <w:rPr>
          <w:rFonts w:ascii="Times New Roman" w:hAnsi="Times New Roman" w:cs="Times New Roman"/>
          <w:lang w:val="en-GB"/>
        </w:rPr>
        <w:t>.</w:t>
      </w:r>
      <w:r w:rsidR="00E416A8" w:rsidRPr="00017DCF">
        <w:rPr>
          <w:rFonts w:ascii="Times New Roman" w:hAnsi="Times New Roman" w:cs="Times New Roman"/>
          <w:lang w:val="en-GB"/>
        </w:rPr>
        <w:t>g</w:t>
      </w:r>
      <w:r w:rsidR="003874EB" w:rsidRPr="00017DCF">
        <w:rPr>
          <w:rFonts w:ascii="Times New Roman" w:hAnsi="Times New Roman" w:cs="Times New Roman"/>
          <w:lang w:val="en-GB"/>
        </w:rPr>
        <w:t>.</w:t>
      </w:r>
      <w:r w:rsidR="00E416A8" w:rsidRPr="00017DCF">
        <w:rPr>
          <w:rFonts w:ascii="Times New Roman" w:hAnsi="Times New Roman" w:cs="Times New Roman"/>
          <w:lang w:val="en-GB"/>
        </w:rPr>
        <w:t xml:space="preserve"> </w:t>
      </w:r>
      <w:proofErr w:type="spellStart"/>
      <w:r w:rsidR="00EC5B34" w:rsidRPr="00017DCF">
        <w:rPr>
          <w:rFonts w:ascii="Times New Roman" w:hAnsi="Times New Roman" w:cs="Times New Roman"/>
          <w:lang w:val="en-GB"/>
        </w:rPr>
        <w:t>Bertelsen</w:t>
      </w:r>
      <w:proofErr w:type="spellEnd"/>
      <w:r w:rsidR="00EC5B34" w:rsidRPr="00017DCF">
        <w:rPr>
          <w:rFonts w:ascii="Times New Roman" w:hAnsi="Times New Roman" w:cs="Times New Roman"/>
          <w:lang w:val="en-GB"/>
        </w:rPr>
        <w:t xml:space="preserve">, </w:t>
      </w:r>
      <w:r w:rsidR="003D16B2">
        <w:rPr>
          <w:rFonts w:ascii="Times New Roman" w:hAnsi="Times New Roman" w:cs="Times New Roman"/>
          <w:lang w:val="en-GB"/>
        </w:rPr>
        <w:t>et al.,</w:t>
      </w:r>
      <w:r w:rsidR="00EC5B34" w:rsidRPr="00017DCF">
        <w:rPr>
          <w:rFonts w:ascii="Times New Roman" w:hAnsi="Times New Roman" w:cs="Times New Roman"/>
          <w:lang w:val="en-GB"/>
        </w:rPr>
        <w:t xml:space="preserve"> 1987; </w:t>
      </w:r>
      <w:proofErr w:type="spellStart"/>
      <w:r w:rsidR="005A34D7" w:rsidRPr="00017DCF">
        <w:rPr>
          <w:rFonts w:ascii="Times New Roman" w:hAnsi="Times New Roman" w:cs="Times New Roman"/>
          <w:lang w:val="en-GB"/>
        </w:rPr>
        <w:t>Gero</w:t>
      </w:r>
      <w:proofErr w:type="spellEnd"/>
      <w:r w:rsidR="005A34D7" w:rsidRPr="00017DCF">
        <w:rPr>
          <w:rFonts w:ascii="Times New Roman" w:hAnsi="Times New Roman" w:cs="Times New Roman"/>
          <w:lang w:val="en-GB"/>
        </w:rPr>
        <w:t xml:space="preserve"> </w:t>
      </w:r>
      <w:r w:rsidR="003D16B2">
        <w:rPr>
          <w:rFonts w:ascii="Times New Roman" w:hAnsi="Times New Roman" w:cs="Times New Roman"/>
          <w:lang w:val="en-GB"/>
        </w:rPr>
        <w:t>&amp;</w:t>
      </w:r>
      <w:r w:rsidR="003D16B2" w:rsidRPr="00017DCF">
        <w:rPr>
          <w:rFonts w:ascii="Times New Roman" w:hAnsi="Times New Roman" w:cs="Times New Roman"/>
          <w:lang w:val="en-GB"/>
        </w:rPr>
        <w:t xml:space="preserve"> </w:t>
      </w:r>
      <w:proofErr w:type="spellStart"/>
      <w:r w:rsidR="005A34D7" w:rsidRPr="00017DCF">
        <w:rPr>
          <w:rFonts w:ascii="Times New Roman" w:hAnsi="Times New Roman" w:cs="Times New Roman"/>
          <w:lang w:val="en-GB"/>
        </w:rPr>
        <w:t>Conkey</w:t>
      </w:r>
      <w:proofErr w:type="spellEnd"/>
      <w:r w:rsidR="003D16B2">
        <w:rPr>
          <w:rFonts w:ascii="Times New Roman" w:hAnsi="Times New Roman" w:cs="Times New Roman"/>
          <w:lang w:val="en-GB"/>
        </w:rPr>
        <w:t>,</w:t>
      </w:r>
      <w:r w:rsidR="005A34D7" w:rsidRPr="00017DCF">
        <w:rPr>
          <w:rFonts w:ascii="Times New Roman" w:hAnsi="Times New Roman" w:cs="Times New Roman"/>
          <w:lang w:val="en-GB"/>
        </w:rPr>
        <w:t xml:space="preserve"> </w:t>
      </w:r>
      <w:r w:rsidR="003102A6" w:rsidRPr="00017DCF">
        <w:rPr>
          <w:rFonts w:ascii="Times New Roman" w:hAnsi="Times New Roman" w:cs="Times New Roman"/>
          <w:lang w:val="en-GB"/>
        </w:rPr>
        <w:t>1991</w:t>
      </w:r>
      <w:r w:rsidR="003D16B2">
        <w:rPr>
          <w:rFonts w:ascii="Times New Roman" w:hAnsi="Times New Roman" w:cs="Times New Roman"/>
          <w:lang w:val="en-GB"/>
        </w:rPr>
        <w:t>;</w:t>
      </w:r>
      <w:r w:rsidR="003102A6" w:rsidRPr="00017DCF">
        <w:rPr>
          <w:rFonts w:ascii="Times New Roman" w:hAnsi="Times New Roman" w:cs="Times New Roman"/>
          <w:lang w:val="en-GB"/>
        </w:rPr>
        <w:t xml:space="preserve"> </w:t>
      </w:r>
      <w:r w:rsidR="003D16B2">
        <w:rPr>
          <w:rFonts w:ascii="Times New Roman" w:hAnsi="Times New Roman" w:cs="Times New Roman"/>
          <w:lang w:val="en-GB"/>
        </w:rPr>
        <w:t>s</w:t>
      </w:r>
      <w:r w:rsidR="00EC5B34" w:rsidRPr="00017DCF">
        <w:rPr>
          <w:rFonts w:ascii="Times New Roman" w:hAnsi="Times New Roman" w:cs="Times New Roman"/>
          <w:lang w:val="en-GB"/>
        </w:rPr>
        <w:t xml:space="preserve">ee also </w:t>
      </w:r>
      <w:r w:rsidR="00915B21" w:rsidRPr="00017DCF">
        <w:rPr>
          <w:rFonts w:ascii="Times New Roman" w:hAnsi="Times New Roman" w:cs="Times New Roman"/>
          <w:lang w:val="en-GB"/>
        </w:rPr>
        <w:t xml:space="preserve">Sofaer </w:t>
      </w:r>
      <w:r w:rsidR="003D16B2">
        <w:rPr>
          <w:rFonts w:ascii="Times New Roman" w:hAnsi="Times New Roman" w:cs="Times New Roman"/>
          <w:lang w:val="en-GB"/>
        </w:rPr>
        <w:t>&amp;</w:t>
      </w:r>
      <w:r w:rsidR="003D16B2" w:rsidRPr="00017DCF">
        <w:rPr>
          <w:rFonts w:ascii="Times New Roman" w:hAnsi="Times New Roman" w:cs="Times New Roman"/>
          <w:lang w:val="en-GB"/>
        </w:rPr>
        <w:t xml:space="preserve"> </w:t>
      </w:r>
      <w:proofErr w:type="spellStart"/>
      <w:r w:rsidR="00EC5B34" w:rsidRPr="00017DCF">
        <w:rPr>
          <w:rFonts w:ascii="Times New Roman" w:hAnsi="Times New Roman" w:cs="Times New Roman"/>
          <w:lang w:val="en-GB"/>
        </w:rPr>
        <w:t>Sørensen</w:t>
      </w:r>
      <w:proofErr w:type="spellEnd"/>
      <w:r w:rsidR="00684E45">
        <w:rPr>
          <w:rFonts w:ascii="Times New Roman" w:hAnsi="Times New Roman" w:cs="Times New Roman"/>
          <w:lang w:val="en-GB"/>
        </w:rPr>
        <w:t>,</w:t>
      </w:r>
      <w:r w:rsidR="00EC5B34" w:rsidRPr="00017DCF">
        <w:rPr>
          <w:rFonts w:ascii="Times New Roman" w:hAnsi="Times New Roman" w:cs="Times New Roman"/>
          <w:lang w:val="en-GB"/>
        </w:rPr>
        <w:t xml:space="preserve"> </w:t>
      </w:r>
      <w:r w:rsidR="00F5413F" w:rsidRPr="00017DCF">
        <w:rPr>
          <w:rFonts w:ascii="Times New Roman" w:hAnsi="Times New Roman" w:cs="Times New Roman"/>
          <w:lang w:val="en-GB"/>
        </w:rPr>
        <w:t>2013</w:t>
      </w:r>
      <w:r w:rsidR="00915B21" w:rsidRPr="00017DCF">
        <w:rPr>
          <w:rFonts w:ascii="Times New Roman" w:hAnsi="Times New Roman" w:cs="Times New Roman"/>
          <w:lang w:val="en-GB"/>
        </w:rPr>
        <w:t xml:space="preserve">). </w:t>
      </w:r>
      <w:r w:rsidR="00E416A8" w:rsidRPr="00017DCF">
        <w:rPr>
          <w:rFonts w:ascii="Times New Roman" w:hAnsi="Times New Roman" w:cs="Times New Roman"/>
          <w:lang w:val="en-GB"/>
        </w:rPr>
        <w:t>W</w:t>
      </w:r>
      <w:r w:rsidR="00200B5B" w:rsidRPr="00017DCF">
        <w:rPr>
          <w:rFonts w:ascii="Times New Roman" w:hAnsi="Times New Roman" w:cs="Times New Roman"/>
          <w:lang w:val="en-GB"/>
        </w:rPr>
        <w:t xml:space="preserve">hile these and </w:t>
      </w:r>
      <w:r w:rsidR="00EC5B34" w:rsidRPr="00017DCF">
        <w:rPr>
          <w:rFonts w:ascii="Times New Roman" w:hAnsi="Times New Roman" w:cs="Times New Roman"/>
          <w:lang w:val="en-GB"/>
        </w:rPr>
        <w:t xml:space="preserve">many </w:t>
      </w:r>
      <w:r w:rsidR="00E416A8" w:rsidRPr="00017DCF">
        <w:rPr>
          <w:rFonts w:ascii="Times New Roman" w:hAnsi="Times New Roman" w:cs="Times New Roman"/>
          <w:lang w:val="en-GB"/>
        </w:rPr>
        <w:t xml:space="preserve">other </w:t>
      </w:r>
      <w:r w:rsidR="00200B5B" w:rsidRPr="00017DCF">
        <w:rPr>
          <w:rFonts w:ascii="Times New Roman" w:hAnsi="Times New Roman" w:cs="Times New Roman"/>
          <w:lang w:val="en-GB"/>
        </w:rPr>
        <w:t xml:space="preserve">subsequent </w:t>
      </w:r>
      <w:r w:rsidR="00F3630A" w:rsidRPr="00017DCF">
        <w:rPr>
          <w:rFonts w:ascii="Times New Roman" w:hAnsi="Times New Roman" w:cs="Times New Roman"/>
          <w:lang w:val="en-GB"/>
        </w:rPr>
        <w:t>works</w:t>
      </w:r>
      <w:r w:rsidR="00200B5B" w:rsidRPr="00017DCF">
        <w:rPr>
          <w:rFonts w:ascii="Times New Roman" w:hAnsi="Times New Roman" w:cs="Times New Roman"/>
          <w:lang w:val="en-GB"/>
        </w:rPr>
        <w:t xml:space="preserve"> </w:t>
      </w:r>
      <w:r w:rsidR="003874EB" w:rsidRPr="00017DCF">
        <w:rPr>
          <w:rFonts w:ascii="Times New Roman" w:hAnsi="Times New Roman" w:cs="Times New Roman"/>
          <w:lang w:val="en-GB"/>
        </w:rPr>
        <w:t>aimed to rectify</w:t>
      </w:r>
      <w:r w:rsidR="00200B5B" w:rsidRPr="00017DCF">
        <w:rPr>
          <w:rFonts w:ascii="Times New Roman" w:hAnsi="Times New Roman" w:cs="Times New Roman"/>
          <w:lang w:val="en-GB"/>
        </w:rPr>
        <w:t xml:space="preserve"> the ‘invisibi</w:t>
      </w:r>
      <w:r w:rsidR="00915B21" w:rsidRPr="00017DCF">
        <w:rPr>
          <w:rFonts w:ascii="Times New Roman" w:hAnsi="Times New Roman" w:cs="Times New Roman"/>
          <w:lang w:val="en-GB"/>
        </w:rPr>
        <w:t>li</w:t>
      </w:r>
      <w:r w:rsidR="00200B5B" w:rsidRPr="00017DCF">
        <w:rPr>
          <w:rFonts w:ascii="Times New Roman" w:hAnsi="Times New Roman" w:cs="Times New Roman"/>
          <w:lang w:val="en-GB"/>
        </w:rPr>
        <w:t>ty’ of women and other social</w:t>
      </w:r>
      <w:r w:rsidR="005A34D7" w:rsidRPr="00017DCF">
        <w:rPr>
          <w:rFonts w:ascii="Times New Roman" w:hAnsi="Times New Roman" w:cs="Times New Roman"/>
          <w:lang w:val="en-GB"/>
        </w:rPr>
        <w:t xml:space="preserve"> groups,</w:t>
      </w:r>
      <w:r w:rsidR="00200B5B" w:rsidRPr="00017DCF">
        <w:rPr>
          <w:rFonts w:ascii="Times New Roman" w:hAnsi="Times New Roman" w:cs="Times New Roman"/>
          <w:lang w:val="en-GB"/>
        </w:rPr>
        <w:t xml:space="preserve"> </w:t>
      </w:r>
      <w:r w:rsidR="00873C5A" w:rsidRPr="00017DCF">
        <w:rPr>
          <w:rFonts w:ascii="Times New Roman" w:hAnsi="Times New Roman" w:cs="Times New Roman"/>
          <w:lang w:val="en-GB"/>
        </w:rPr>
        <w:t xml:space="preserve">on the whole </w:t>
      </w:r>
      <w:r w:rsidR="00200B5B" w:rsidRPr="00017DCF">
        <w:rPr>
          <w:rFonts w:ascii="Times New Roman" w:hAnsi="Times New Roman" w:cs="Times New Roman"/>
          <w:lang w:val="en-GB"/>
        </w:rPr>
        <w:t xml:space="preserve">men </w:t>
      </w:r>
      <w:r w:rsidR="0068497D" w:rsidRPr="00017DCF">
        <w:rPr>
          <w:rFonts w:ascii="Times New Roman" w:hAnsi="Times New Roman" w:cs="Times New Roman"/>
          <w:lang w:val="en-GB"/>
        </w:rPr>
        <w:t xml:space="preserve">have </w:t>
      </w:r>
      <w:r w:rsidR="00915B21" w:rsidRPr="00017DCF">
        <w:rPr>
          <w:rFonts w:ascii="Times New Roman" w:hAnsi="Times New Roman" w:cs="Times New Roman"/>
          <w:lang w:val="en-GB"/>
        </w:rPr>
        <w:t>remained</w:t>
      </w:r>
      <w:r w:rsidR="00200B5B" w:rsidRPr="00017DCF">
        <w:rPr>
          <w:rFonts w:ascii="Times New Roman" w:hAnsi="Times New Roman" w:cs="Times New Roman"/>
          <w:lang w:val="en-GB"/>
        </w:rPr>
        <w:t xml:space="preserve"> visible but ‘unmarked’</w:t>
      </w:r>
      <w:r w:rsidR="001A0F18" w:rsidRPr="00017DCF">
        <w:rPr>
          <w:rFonts w:ascii="Times New Roman" w:hAnsi="Times New Roman" w:cs="Times New Roman"/>
          <w:lang w:val="en-GB"/>
        </w:rPr>
        <w:t xml:space="preserve"> (</w:t>
      </w:r>
      <w:proofErr w:type="spellStart"/>
      <w:r w:rsidR="001A0F18" w:rsidRPr="00017DCF">
        <w:rPr>
          <w:rFonts w:ascii="Times New Roman" w:hAnsi="Times New Roman" w:cs="Times New Roman"/>
          <w:lang w:val="en-GB"/>
        </w:rPr>
        <w:t>Alberti</w:t>
      </w:r>
      <w:proofErr w:type="spellEnd"/>
      <w:r w:rsidR="00684E45">
        <w:rPr>
          <w:rFonts w:ascii="Times New Roman" w:hAnsi="Times New Roman" w:cs="Times New Roman"/>
          <w:lang w:val="en-GB"/>
        </w:rPr>
        <w:t>,</w:t>
      </w:r>
      <w:r w:rsidR="0068497D" w:rsidRPr="00017DCF">
        <w:rPr>
          <w:rFonts w:ascii="Times New Roman" w:hAnsi="Times New Roman" w:cs="Times New Roman"/>
          <w:lang w:val="en-GB"/>
        </w:rPr>
        <w:t xml:space="preserve"> </w:t>
      </w:r>
      <w:r w:rsidR="00CB14DB" w:rsidRPr="00017DCF">
        <w:rPr>
          <w:rFonts w:ascii="Times New Roman" w:hAnsi="Times New Roman" w:cs="Times New Roman"/>
          <w:lang w:val="en-GB"/>
        </w:rPr>
        <w:t>20</w:t>
      </w:r>
      <w:r w:rsidR="003D16B2">
        <w:rPr>
          <w:rFonts w:ascii="Times New Roman" w:hAnsi="Times New Roman" w:cs="Times New Roman"/>
          <w:lang w:val="en-GB"/>
        </w:rPr>
        <w:t>0</w:t>
      </w:r>
      <w:r w:rsidR="00CB14DB" w:rsidRPr="00017DCF">
        <w:rPr>
          <w:rFonts w:ascii="Times New Roman" w:hAnsi="Times New Roman" w:cs="Times New Roman"/>
          <w:lang w:val="en-GB"/>
        </w:rPr>
        <w:t xml:space="preserve">6: </w:t>
      </w:r>
      <w:r w:rsidR="0068497D" w:rsidRPr="00017DCF">
        <w:rPr>
          <w:rFonts w:ascii="Times New Roman" w:hAnsi="Times New Roman" w:cs="Times New Roman"/>
          <w:lang w:val="en-GB"/>
        </w:rPr>
        <w:t>401</w:t>
      </w:r>
      <w:r w:rsidR="001A0F18" w:rsidRPr="00017DCF">
        <w:rPr>
          <w:rFonts w:ascii="Times New Roman" w:hAnsi="Times New Roman" w:cs="Times New Roman"/>
          <w:lang w:val="en-GB"/>
        </w:rPr>
        <w:t>).</w:t>
      </w:r>
      <w:r w:rsidR="00EC5B34" w:rsidRPr="00017DCF">
        <w:rPr>
          <w:rFonts w:ascii="Times New Roman" w:hAnsi="Times New Roman" w:cs="Times New Roman"/>
          <w:lang w:val="en-GB"/>
        </w:rPr>
        <w:t xml:space="preserve"> </w:t>
      </w:r>
      <w:proofErr w:type="spellStart"/>
      <w:r w:rsidR="00EC5B34" w:rsidRPr="00017DCF">
        <w:rPr>
          <w:rFonts w:ascii="Times New Roman" w:hAnsi="Times New Roman" w:cs="Times New Roman"/>
          <w:lang w:val="en-GB"/>
        </w:rPr>
        <w:t>Treherne</w:t>
      </w:r>
      <w:r w:rsidR="0042426B" w:rsidRPr="00017DCF">
        <w:rPr>
          <w:rFonts w:ascii="Times New Roman" w:hAnsi="Times New Roman" w:cs="Times New Roman"/>
          <w:lang w:val="en-GB"/>
        </w:rPr>
        <w:t>’s</w:t>
      </w:r>
      <w:proofErr w:type="spellEnd"/>
      <w:r w:rsidR="0042426B" w:rsidRPr="00017DCF">
        <w:rPr>
          <w:rFonts w:ascii="Times New Roman" w:hAnsi="Times New Roman" w:cs="Times New Roman"/>
          <w:lang w:val="en-GB"/>
        </w:rPr>
        <w:t xml:space="preserve"> </w:t>
      </w:r>
      <w:r w:rsidR="005A34D7" w:rsidRPr="00017DCF">
        <w:rPr>
          <w:rFonts w:ascii="Times New Roman" w:hAnsi="Times New Roman" w:cs="Times New Roman"/>
          <w:lang w:val="en-GB"/>
        </w:rPr>
        <w:t>article</w:t>
      </w:r>
      <w:r w:rsidR="00FB03E5">
        <w:rPr>
          <w:rFonts w:ascii="Times New Roman" w:hAnsi="Times New Roman" w:cs="Times New Roman"/>
          <w:lang w:val="en-GB"/>
        </w:rPr>
        <w:t>,</w:t>
      </w:r>
      <w:r w:rsidR="00EC5B34" w:rsidRPr="00017DCF">
        <w:rPr>
          <w:rFonts w:ascii="Times New Roman" w:hAnsi="Times New Roman" w:cs="Times New Roman"/>
          <w:lang w:val="en-GB"/>
        </w:rPr>
        <w:t xml:space="preserve"> </w:t>
      </w:r>
      <w:r w:rsidR="0042426B" w:rsidRPr="00017DCF">
        <w:rPr>
          <w:rFonts w:ascii="Times New Roman" w:hAnsi="Times New Roman" w:cs="Times New Roman"/>
          <w:lang w:val="en-GB"/>
        </w:rPr>
        <w:t>therefore</w:t>
      </w:r>
      <w:r w:rsidR="00FB03E5">
        <w:rPr>
          <w:rFonts w:ascii="Times New Roman" w:hAnsi="Times New Roman" w:cs="Times New Roman"/>
          <w:lang w:val="en-GB"/>
        </w:rPr>
        <w:t>,</w:t>
      </w:r>
      <w:r w:rsidR="0042426B" w:rsidRPr="00017DCF">
        <w:rPr>
          <w:rFonts w:ascii="Times New Roman" w:hAnsi="Times New Roman" w:cs="Times New Roman"/>
          <w:lang w:val="en-GB"/>
        </w:rPr>
        <w:t xml:space="preserve"> offer</w:t>
      </w:r>
      <w:r w:rsidR="00E416A8" w:rsidRPr="00017DCF">
        <w:rPr>
          <w:rFonts w:ascii="Times New Roman" w:hAnsi="Times New Roman" w:cs="Times New Roman"/>
          <w:lang w:val="en-GB"/>
        </w:rPr>
        <w:t>s a form</w:t>
      </w:r>
      <w:r w:rsidR="009D4F66" w:rsidRPr="00017DCF">
        <w:rPr>
          <w:rFonts w:ascii="Times New Roman" w:hAnsi="Times New Roman" w:cs="Times New Roman"/>
          <w:lang w:val="en-GB"/>
        </w:rPr>
        <w:t xml:space="preserve"> of</w:t>
      </w:r>
      <w:r w:rsidR="00E416A8" w:rsidRPr="00017DCF">
        <w:rPr>
          <w:rFonts w:ascii="Times New Roman" w:hAnsi="Times New Roman" w:cs="Times New Roman"/>
          <w:lang w:val="en-GB"/>
        </w:rPr>
        <w:t xml:space="preserve"> analysis</w:t>
      </w:r>
      <w:r w:rsidR="0042426B" w:rsidRPr="00017DCF">
        <w:rPr>
          <w:rFonts w:ascii="Times New Roman" w:hAnsi="Times New Roman" w:cs="Times New Roman"/>
          <w:lang w:val="en-GB"/>
        </w:rPr>
        <w:t xml:space="preserve"> that </w:t>
      </w:r>
      <w:r w:rsidR="00733AC4" w:rsidRPr="00017DCF">
        <w:rPr>
          <w:rFonts w:ascii="Times New Roman" w:hAnsi="Times New Roman" w:cs="Times New Roman"/>
          <w:lang w:val="en-GB"/>
        </w:rPr>
        <w:t xml:space="preserve">remains largely </w:t>
      </w:r>
      <w:r w:rsidR="0042426B" w:rsidRPr="00017DCF">
        <w:rPr>
          <w:rFonts w:ascii="Times New Roman" w:hAnsi="Times New Roman" w:cs="Times New Roman"/>
          <w:lang w:val="en-GB"/>
        </w:rPr>
        <w:t xml:space="preserve">unavailable elsewhere. </w:t>
      </w:r>
      <w:r w:rsidR="00101A44" w:rsidRPr="00017DCF">
        <w:rPr>
          <w:rFonts w:ascii="Times New Roman" w:hAnsi="Times New Roman" w:cs="Times New Roman"/>
          <w:lang w:val="en-GB"/>
        </w:rPr>
        <w:t xml:space="preserve">It may also provide </w:t>
      </w:r>
      <w:r w:rsidR="00733AC4" w:rsidRPr="00017DCF">
        <w:rPr>
          <w:rFonts w:ascii="Times New Roman" w:hAnsi="Times New Roman" w:cs="Times New Roman"/>
          <w:lang w:val="en-GB"/>
        </w:rPr>
        <w:t>a potential point of self-identification for</w:t>
      </w:r>
      <w:r w:rsidR="00101A44" w:rsidRPr="00017DCF">
        <w:rPr>
          <w:rFonts w:ascii="Times New Roman" w:hAnsi="Times New Roman" w:cs="Times New Roman"/>
          <w:lang w:val="en-GB"/>
        </w:rPr>
        <w:t xml:space="preserve"> modern men, something </w:t>
      </w:r>
      <w:r w:rsidR="00980BC1" w:rsidRPr="00017DCF">
        <w:rPr>
          <w:rFonts w:ascii="Times New Roman" w:hAnsi="Times New Roman" w:cs="Times New Roman"/>
          <w:lang w:val="en-GB"/>
        </w:rPr>
        <w:t>noticeable</w:t>
      </w:r>
      <w:r w:rsidR="00101A44" w:rsidRPr="00017DCF">
        <w:rPr>
          <w:rFonts w:ascii="Times New Roman" w:hAnsi="Times New Roman" w:cs="Times New Roman"/>
          <w:lang w:val="en-GB"/>
        </w:rPr>
        <w:t xml:space="preserve"> in responses to </w:t>
      </w:r>
      <w:r w:rsidR="005A34D7" w:rsidRPr="00017DCF">
        <w:rPr>
          <w:rFonts w:ascii="Times New Roman" w:hAnsi="Times New Roman" w:cs="Times New Roman"/>
          <w:i/>
          <w:lang w:val="en-GB"/>
        </w:rPr>
        <w:t>The Warrior’s Beauty</w:t>
      </w:r>
      <w:r w:rsidR="005A34D7" w:rsidRPr="00017DCF">
        <w:rPr>
          <w:rFonts w:ascii="Times New Roman" w:hAnsi="Times New Roman" w:cs="Times New Roman"/>
          <w:lang w:val="en-GB"/>
        </w:rPr>
        <w:t xml:space="preserve"> </w:t>
      </w:r>
      <w:r w:rsidR="00101A44" w:rsidRPr="00017DCF">
        <w:rPr>
          <w:rFonts w:ascii="Times New Roman" w:hAnsi="Times New Roman" w:cs="Times New Roman"/>
          <w:lang w:val="en-GB"/>
        </w:rPr>
        <w:t>in my own teaching practice</w:t>
      </w:r>
      <w:r w:rsidR="00FB03E5">
        <w:rPr>
          <w:rFonts w:ascii="Times New Roman" w:hAnsi="Times New Roman" w:cs="Times New Roman"/>
          <w:lang w:val="en-GB"/>
        </w:rPr>
        <w:t>:</w:t>
      </w:r>
      <w:r w:rsidR="00E109DB" w:rsidRPr="00017DCF">
        <w:rPr>
          <w:rFonts w:ascii="Times New Roman" w:hAnsi="Times New Roman" w:cs="Times New Roman"/>
          <w:lang w:val="en-GB"/>
        </w:rPr>
        <w:t xml:space="preserve"> a delight (and </w:t>
      </w:r>
      <w:r w:rsidR="00E109DB" w:rsidRPr="00017DCF">
        <w:rPr>
          <w:rFonts w:ascii="Times New Roman" w:hAnsi="Times New Roman" w:cs="Times New Roman"/>
          <w:lang w:val="en-GB"/>
        </w:rPr>
        <w:lastRenderedPageBreak/>
        <w:t xml:space="preserve">relief) that the study of social identity and gender has a place for </w:t>
      </w:r>
      <w:r w:rsidR="00696ED5" w:rsidRPr="00017DCF">
        <w:rPr>
          <w:rFonts w:ascii="Times New Roman" w:hAnsi="Times New Roman" w:cs="Times New Roman"/>
          <w:lang w:val="en-GB"/>
        </w:rPr>
        <w:t>men and is not just about women!</w:t>
      </w:r>
      <w:r w:rsidR="00101A44" w:rsidRPr="00017DCF">
        <w:rPr>
          <w:rFonts w:ascii="Times New Roman" w:hAnsi="Times New Roman" w:cs="Times New Roman"/>
          <w:lang w:val="en-GB"/>
        </w:rPr>
        <w:t xml:space="preserve"> </w:t>
      </w:r>
      <w:r w:rsidR="00E109DB" w:rsidRPr="00017DCF">
        <w:rPr>
          <w:rFonts w:ascii="Times New Roman" w:hAnsi="Times New Roman" w:cs="Times New Roman"/>
          <w:lang w:val="en-GB"/>
        </w:rPr>
        <w:t xml:space="preserve">However, whether the enduring popularity of the </w:t>
      </w:r>
      <w:r w:rsidR="008F5311">
        <w:rPr>
          <w:rFonts w:ascii="Times New Roman" w:hAnsi="Times New Roman" w:cs="Times New Roman"/>
          <w:lang w:val="en-GB"/>
        </w:rPr>
        <w:t>article</w:t>
      </w:r>
      <w:r w:rsidR="008F5311" w:rsidRPr="00017DCF">
        <w:rPr>
          <w:rFonts w:ascii="Times New Roman" w:hAnsi="Times New Roman" w:cs="Times New Roman"/>
          <w:lang w:val="en-GB"/>
        </w:rPr>
        <w:t xml:space="preserve"> </w:t>
      </w:r>
      <w:r w:rsidR="00E109DB" w:rsidRPr="00017DCF">
        <w:rPr>
          <w:rFonts w:ascii="Times New Roman" w:hAnsi="Times New Roman" w:cs="Times New Roman"/>
          <w:lang w:val="en-GB"/>
        </w:rPr>
        <w:t>is due</w:t>
      </w:r>
      <w:r w:rsidR="00733AC4" w:rsidRPr="00017DCF">
        <w:rPr>
          <w:rFonts w:ascii="Times New Roman" w:hAnsi="Times New Roman" w:cs="Times New Roman"/>
          <w:lang w:val="en-GB"/>
        </w:rPr>
        <w:t xml:space="preserve"> to the</w:t>
      </w:r>
      <w:r w:rsidR="00E109DB" w:rsidRPr="00017DCF">
        <w:rPr>
          <w:rFonts w:ascii="Times New Roman" w:hAnsi="Times New Roman" w:cs="Times New Roman"/>
          <w:lang w:val="en-GB"/>
        </w:rPr>
        <w:t xml:space="preserve"> particular nature of the</w:t>
      </w:r>
      <w:r w:rsidR="00733AC4" w:rsidRPr="00017DCF">
        <w:rPr>
          <w:rFonts w:ascii="Times New Roman" w:hAnsi="Times New Roman" w:cs="Times New Roman"/>
          <w:lang w:val="en-GB"/>
        </w:rPr>
        <w:t xml:space="preserve"> insights</w:t>
      </w:r>
      <w:r w:rsidR="00E109DB" w:rsidRPr="00017DCF">
        <w:rPr>
          <w:rFonts w:ascii="Times New Roman" w:hAnsi="Times New Roman" w:cs="Times New Roman"/>
          <w:lang w:val="en-GB"/>
        </w:rPr>
        <w:t xml:space="preserve"> it p</w:t>
      </w:r>
      <w:r w:rsidR="00733AC4" w:rsidRPr="00017DCF">
        <w:rPr>
          <w:rFonts w:ascii="Times New Roman" w:hAnsi="Times New Roman" w:cs="Times New Roman"/>
          <w:lang w:val="en-GB"/>
        </w:rPr>
        <w:t>rovides into the Bronze Age</w:t>
      </w:r>
      <w:r w:rsidR="009D4F66" w:rsidRPr="00017DCF">
        <w:rPr>
          <w:rFonts w:ascii="Times New Roman" w:hAnsi="Times New Roman" w:cs="Times New Roman"/>
          <w:lang w:val="en-GB"/>
        </w:rPr>
        <w:t xml:space="preserve"> and the nature of masculinity</w:t>
      </w:r>
      <w:r w:rsidR="00980BC1" w:rsidRPr="00017DCF">
        <w:rPr>
          <w:rFonts w:ascii="Times New Roman" w:hAnsi="Times New Roman" w:cs="Times New Roman"/>
          <w:lang w:val="en-GB"/>
        </w:rPr>
        <w:t>,</w:t>
      </w:r>
      <w:r w:rsidR="00733AC4" w:rsidRPr="00017DCF">
        <w:rPr>
          <w:rFonts w:ascii="Times New Roman" w:hAnsi="Times New Roman" w:cs="Times New Roman"/>
          <w:lang w:val="en-GB"/>
        </w:rPr>
        <w:t xml:space="preserve"> or</w:t>
      </w:r>
      <w:r w:rsidR="00E109DB" w:rsidRPr="00017DCF">
        <w:rPr>
          <w:rFonts w:ascii="Times New Roman" w:hAnsi="Times New Roman" w:cs="Times New Roman"/>
          <w:lang w:val="en-GB"/>
        </w:rPr>
        <w:t xml:space="preserve"> whether</w:t>
      </w:r>
      <w:r w:rsidR="00733AC4" w:rsidRPr="00017DCF">
        <w:rPr>
          <w:rFonts w:ascii="Times New Roman" w:hAnsi="Times New Roman" w:cs="Times New Roman"/>
          <w:lang w:val="en-GB"/>
        </w:rPr>
        <w:t xml:space="preserve"> </w:t>
      </w:r>
      <w:r w:rsidR="00E109DB" w:rsidRPr="00017DCF">
        <w:rPr>
          <w:rFonts w:ascii="Times New Roman" w:hAnsi="Times New Roman" w:cs="Times New Roman"/>
          <w:lang w:val="en-GB"/>
        </w:rPr>
        <w:t xml:space="preserve">it </w:t>
      </w:r>
      <w:r w:rsidR="006141B0" w:rsidRPr="00017DCF">
        <w:rPr>
          <w:rFonts w:ascii="Times New Roman" w:hAnsi="Times New Roman" w:cs="Times New Roman"/>
          <w:lang w:val="en-GB"/>
        </w:rPr>
        <w:t>results from</w:t>
      </w:r>
      <w:r w:rsidR="003874EB" w:rsidRPr="00017DCF">
        <w:rPr>
          <w:rFonts w:ascii="Times New Roman" w:hAnsi="Times New Roman" w:cs="Times New Roman"/>
          <w:lang w:val="en-GB"/>
        </w:rPr>
        <w:t xml:space="preserve"> </w:t>
      </w:r>
      <w:r w:rsidR="00E109DB" w:rsidRPr="00017DCF">
        <w:rPr>
          <w:rFonts w:ascii="Times New Roman" w:hAnsi="Times New Roman" w:cs="Times New Roman"/>
          <w:lang w:val="en-GB"/>
        </w:rPr>
        <w:t>disciplinary failure</w:t>
      </w:r>
      <w:r w:rsidR="00733AC4" w:rsidRPr="00017DCF">
        <w:rPr>
          <w:rFonts w:ascii="Times New Roman" w:hAnsi="Times New Roman" w:cs="Times New Roman"/>
          <w:lang w:val="en-GB"/>
        </w:rPr>
        <w:t xml:space="preserve"> to develop a range of </w:t>
      </w:r>
      <w:r w:rsidR="005A34D7" w:rsidRPr="00017DCF">
        <w:rPr>
          <w:rFonts w:ascii="Times New Roman" w:hAnsi="Times New Roman" w:cs="Times New Roman"/>
          <w:lang w:val="en-GB"/>
        </w:rPr>
        <w:t xml:space="preserve">recognisable </w:t>
      </w:r>
      <w:r w:rsidR="00733AC4" w:rsidRPr="00017DCF">
        <w:rPr>
          <w:rFonts w:ascii="Times New Roman" w:hAnsi="Times New Roman" w:cs="Times New Roman"/>
          <w:lang w:val="en-GB"/>
        </w:rPr>
        <w:t>narratives</w:t>
      </w:r>
      <w:r w:rsidR="005A34D7" w:rsidRPr="00017DCF">
        <w:rPr>
          <w:rFonts w:ascii="Times New Roman" w:hAnsi="Times New Roman" w:cs="Times New Roman"/>
          <w:lang w:val="en-GB"/>
        </w:rPr>
        <w:t xml:space="preserve"> about men (</w:t>
      </w:r>
      <w:r w:rsidR="00E109DB" w:rsidRPr="00017DCF">
        <w:rPr>
          <w:rFonts w:ascii="Times New Roman" w:hAnsi="Times New Roman" w:cs="Times New Roman"/>
          <w:lang w:val="en-GB"/>
        </w:rPr>
        <w:t>and thus a lack of alternative points of contact with the past for</w:t>
      </w:r>
      <w:r w:rsidR="00733AC4" w:rsidRPr="00017DCF">
        <w:rPr>
          <w:rFonts w:ascii="Times New Roman" w:hAnsi="Times New Roman" w:cs="Times New Roman"/>
          <w:lang w:val="en-GB"/>
        </w:rPr>
        <w:t xml:space="preserve"> </w:t>
      </w:r>
      <w:r w:rsidR="00E109DB" w:rsidRPr="00017DCF">
        <w:rPr>
          <w:rFonts w:ascii="Times New Roman" w:hAnsi="Times New Roman" w:cs="Times New Roman"/>
          <w:lang w:val="en-GB"/>
        </w:rPr>
        <w:t>young men</w:t>
      </w:r>
      <w:r w:rsidR="00733AC4" w:rsidRPr="00017DCF">
        <w:rPr>
          <w:rFonts w:ascii="Times New Roman" w:hAnsi="Times New Roman" w:cs="Times New Roman"/>
          <w:lang w:val="en-GB"/>
        </w:rPr>
        <w:t xml:space="preserve"> </w:t>
      </w:r>
      <w:r w:rsidR="00E109DB" w:rsidRPr="00017DCF">
        <w:rPr>
          <w:rFonts w:ascii="Times New Roman" w:hAnsi="Times New Roman" w:cs="Times New Roman"/>
          <w:lang w:val="en-GB"/>
        </w:rPr>
        <w:t>in particular</w:t>
      </w:r>
      <w:r w:rsidR="005A34D7" w:rsidRPr="00017DCF">
        <w:rPr>
          <w:rFonts w:ascii="Times New Roman" w:hAnsi="Times New Roman" w:cs="Times New Roman"/>
          <w:lang w:val="en-GB"/>
        </w:rPr>
        <w:t>)</w:t>
      </w:r>
      <w:r w:rsidR="00696ED5" w:rsidRPr="00017DCF">
        <w:rPr>
          <w:rFonts w:ascii="Times New Roman" w:hAnsi="Times New Roman" w:cs="Times New Roman"/>
          <w:lang w:val="en-GB"/>
        </w:rPr>
        <w:t>,</w:t>
      </w:r>
      <w:r w:rsidR="00E109DB" w:rsidRPr="00017DCF">
        <w:rPr>
          <w:rFonts w:ascii="Times New Roman" w:hAnsi="Times New Roman" w:cs="Times New Roman"/>
          <w:lang w:val="en-GB"/>
        </w:rPr>
        <w:t xml:space="preserve"> </w:t>
      </w:r>
      <w:r w:rsidR="00733AC4" w:rsidRPr="00017DCF">
        <w:rPr>
          <w:rFonts w:ascii="Times New Roman" w:hAnsi="Times New Roman" w:cs="Times New Roman"/>
          <w:lang w:val="en-GB"/>
        </w:rPr>
        <w:t>is unclear.</w:t>
      </w:r>
      <w:r w:rsidR="00980BC1" w:rsidRPr="00017DCF">
        <w:rPr>
          <w:rFonts w:ascii="Times New Roman" w:hAnsi="Times New Roman" w:cs="Times New Roman"/>
          <w:lang w:val="en-GB"/>
        </w:rPr>
        <w:t xml:space="preserve"> </w:t>
      </w:r>
      <w:r w:rsidR="00EE3E38" w:rsidRPr="00017DCF">
        <w:rPr>
          <w:rFonts w:ascii="Times New Roman" w:hAnsi="Times New Roman" w:cs="Times New Roman"/>
          <w:lang w:val="en-GB"/>
        </w:rPr>
        <w:t xml:space="preserve">In claiming that the origins of feudalism lie with the Bronze Age warrior, </w:t>
      </w:r>
      <w:proofErr w:type="spellStart"/>
      <w:r w:rsidR="00EE3E38" w:rsidRPr="00017DCF">
        <w:rPr>
          <w:rFonts w:ascii="Times New Roman" w:hAnsi="Times New Roman" w:cs="Times New Roman"/>
          <w:lang w:val="en-GB"/>
        </w:rPr>
        <w:t>Treherne</w:t>
      </w:r>
      <w:proofErr w:type="spellEnd"/>
      <w:r w:rsidR="00EE3E38" w:rsidRPr="00017DCF">
        <w:rPr>
          <w:rFonts w:ascii="Times New Roman" w:hAnsi="Times New Roman" w:cs="Times New Roman"/>
          <w:lang w:val="en-GB"/>
        </w:rPr>
        <w:t xml:space="preserve"> </w:t>
      </w:r>
      <w:r w:rsidR="009D4F66" w:rsidRPr="00017DCF">
        <w:rPr>
          <w:rFonts w:ascii="Times New Roman" w:hAnsi="Times New Roman" w:cs="Times New Roman"/>
          <w:lang w:val="en-GB"/>
        </w:rPr>
        <w:t xml:space="preserve">positions the Bronze Age in a particular way </w:t>
      </w:r>
      <w:r w:rsidR="00882EE2" w:rsidRPr="00017DCF">
        <w:rPr>
          <w:rFonts w:ascii="Times New Roman" w:hAnsi="Times New Roman" w:cs="Times New Roman"/>
          <w:lang w:val="en-GB"/>
        </w:rPr>
        <w:t>with regard to</w:t>
      </w:r>
      <w:r w:rsidR="009D4F66" w:rsidRPr="00017DCF">
        <w:rPr>
          <w:rFonts w:ascii="Times New Roman" w:hAnsi="Times New Roman" w:cs="Times New Roman"/>
          <w:lang w:val="en-GB"/>
        </w:rPr>
        <w:t xml:space="preserve"> the construction of modernity and creates</w:t>
      </w:r>
      <w:r w:rsidR="00EE3E38" w:rsidRPr="00017DCF">
        <w:rPr>
          <w:rFonts w:ascii="Times New Roman" w:hAnsi="Times New Roman" w:cs="Times New Roman"/>
          <w:lang w:val="en-GB"/>
        </w:rPr>
        <w:t xml:space="preserve"> a </w:t>
      </w:r>
      <w:r w:rsidR="006141B0" w:rsidRPr="00017DCF">
        <w:rPr>
          <w:rFonts w:ascii="Times New Roman" w:hAnsi="Times New Roman" w:cs="Times New Roman"/>
          <w:lang w:val="en-GB"/>
        </w:rPr>
        <w:t xml:space="preserve">seductive </w:t>
      </w:r>
      <w:r w:rsidR="00EE3E38" w:rsidRPr="00017DCF">
        <w:rPr>
          <w:rFonts w:ascii="Times New Roman" w:hAnsi="Times New Roman" w:cs="Times New Roman"/>
          <w:lang w:val="en-GB"/>
        </w:rPr>
        <w:t>legacy for modern masculine identity</w:t>
      </w:r>
      <w:r w:rsidR="009D4F66" w:rsidRPr="00017DCF">
        <w:rPr>
          <w:rFonts w:ascii="Times New Roman" w:hAnsi="Times New Roman" w:cs="Times New Roman"/>
          <w:lang w:val="en-GB"/>
        </w:rPr>
        <w:t xml:space="preserve">. </w:t>
      </w:r>
      <w:r w:rsidR="00EE6011" w:rsidRPr="00017DCF">
        <w:rPr>
          <w:rFonts w:ascii="Times New Roman" w:hAnsi="Times New Roman" w:cs="Times New Roman"/>
          <w:lang w:val="en-GB"/>
        </w:rPr>
        <w:t>However, t</w:t>
      </w:r>
      <w:r w:rsidR="00EB400C" w:rsidRPr="00017DCF">
        <w:rPr>
          <w:rFonts w:ascii="Times New Roman" w:hAnsi="Times New Roman" w:cs="Times New Roman"/>
          <w:lang w:val="en-GB"/>
        </w:rPr>
        <w:t xml:space="preserve">his </w:t>
      </w:r>
      <w:r w:rsidR="00EE6011" w:rsidRPr="00017DCF">
        <w:rPr>
          <w:rFonts w:ascii="Times New Roman" w:hAnsi="Times New Roman" w:cs="Times New Roman"/>
          <w:lang w:val="en-GB"/>
        </w:rPr>
        <w:t xml:space="preserve">apparent </w:t>
      </w:r>
      <w:r w:rsidR="00EB400C" w:rsidRPr="00017DCF">
        <w:rPr>
          <w:rFonts w:ascii="Times New Roman" w:hAnsi="Times New Roman" w:cs="Times New Roman"/>
          <w:lang w:val="en-GB"/>
        </w:rPr>
        <w:t xml:space="preserve">legacy </w:t>
      </w:r>
      <w:r w:rsidR="00EE6011" w:rsidRPr="00017DCF">
        <w:rPr>
          <w:rFonts w:ascii="Times New Roman" w:hAnsi="Times New Roman" w:cs="Times New Roman"/>
          <w:lang w:val="en-GB"/>
        </w:rPr>
        <w:t>deserves scrutiny since the</w:t>
      </w:r>
      <w:r w:rsidR="00EB400C" w:rsidRPr="00017DCF">
        <w:rPr>
          <w:rFonts w:ascii="Times New Roman" w:hAnsi="Times New Roman" w:cs="Times New Roman"/>
          <w:lang w:val="en-GB"/>
        </w:rPr>
        <w:t xml:space="preserve"> elision of two </w:t>
      </w:r>
      <w:r w:rsidR="00832FFE" w:rsidRPr="00017DCF">
        <w:rPr>
          <w:rFonts w:ascii="Times New Roman" w:hAnsi="Times New Roman" w:cs="Times New Roman"/>
          <w:lang w:val="en-GB"/>
        </w:rPr>
        <w:t xml:space="preserve">distant and </w:t>
      </w:r>
      <w:r w:rsidR="00EE6011" w:rsidRPr="00017DCF">
        <w:rPr>
          <w:rFonts w:ascii="Times New Roman" w:hAnsi="Times New Roman" w:cs="Times New Roman"/>
          <w:lang w:val="en-GB"/>
        </w:rPr>
        <w:t xml:space="preserve">entirely </w:t>
      </w:r>
      <w:r w:rsidR="00EB400C" w:rsidRPr="00017DCF">
        <w:rPr>
          <w:rFonts w:ascii="Times New Roman" w:hAnsi="Times New Roman" w:cs="Times New Roman"/>
          <w:lang w:val="en-GB"/>
        </w:rPr>
        <w:t>different periods</w:t>
      </w:r>
      <w:r w:rsidR="00832FFE" w:rsidRPr="00017DCF">
        <w:rPr>
          <w:rFonts w:ascii="Times New Roman" w:hAnsi="Times New Roman" w:cs="Times New Roman"/>
          <w:lang w:val="en-GB"/>
        </w:rPr>
        <w:t xml:space="preserve"> </w:t>
      </w:r>
      <w:r w:rsidR="00EE6011" w:rsidRPr="00017DCF">
        <w:rPr>
          <w:rFonts w:ascii="Times New Roman" w:hAnsi="Times New Roman" w:cs="Times New Roman"/>
          <w:lang w:val="en-GB"/>
        </w:rPr>
        <w:t xml:space="preserve">is </w:t>
      </w:r>
      <w:r w:rsidR="00E35287" w:rsidRPr="00017DCF">
        <w:rPr>
          <w:rFonts w:ascii="Times New Roman" w:hAnsi="Times New Roman" w:cs="Times New Roman"/>
          <w:lang w:val="en-GB"/>
        </w:rPr>
        <w:t>awkward</w:t>
      </w:r>
      <w:r w:rsidR="00EE6011" w:rsidRPr="00017DCF">
        <w:rPr>
          <w:rFonts w:ascii="Times New Roman" w:hAnsi="Times New Roman" w:cs="Times New Roman"/>
          <w:lang w:val="en-GB"/>
        </w:rPr>
        <w:t>.</w:t>
      </w:r>
      <w:r w:rsidR="00EB400C" w:rsidRPr="00017DCF">
        <w:rPr>
          <w:rFonts w:ascii="Times New Roman" w:hAnsi="Times New Roman" w:cs="Times New Roman"/>
          <w:lang w:val="en-GB"/>
        </w:rPr>
        <w:t xml:space="preserve"> </w:t>
      </w:r>
      <w:r w:rsidR="00EE6011" w:rsidRPr="00017DCF">
        <w:rPr>
          <w:rFonts w:ascii="Times New Roman" w:hAnsi="Times New Roman" w:cs="Times New Roman"/>
          <w:lang w:val="en-GB"/>
        </w:rPr>
        <w:t>T</w:t>
      </w:r>
      <w:r w:rsidR="009D4F66" w:rsidRPr="00017DCF">
        <w:rPr>
          <w:rFonts w:ascii="Times New Roman" w:hAnsi="Times New Roman" w:cs="Times New Roman"/>
          <w:lang w:val="en-GB"/>
        </w:rPr>
        <w:t>here is</w:t>
      </w:r>
      <w:r w:rsidR="00FB03E5">
        <w:rPr>
          <w:rFonts w:ascii="Times New Roman" w:hAnsi="Times New Roman" w:cs="Times New Roman"/>
          <w:lang w:val="en-GB"/>
        </w:rPr>
        <w:t>,</w:t>
      </w:r>
      <w:r w:rsidR="00E35287" w:rsidRPr="00017DCF">
        <w:rPr>
          <w:rFonts w:ascii="Times New Roman" w:hAnsi="Times New Roman" w:cs="Times New Roman"/>
          <w:lang w:val="en-GB"/>
        </w:rPr>
        <w:t xml:space="preserve"> </w:t>
      </w:r>
      <w:r w:rsidR="00EE6011" w:rsidRPr="00017DCF">
        <w:rPr>
          <w:rFonts w:ascii="Times New Roman" w:hAnsi="Times New Roman" w:cs="Times New Roman"/>
          <w:lang w:val="en-GB"/>
        </w:rPr>
        <w:t>therefore</w:t>
      </w:r>
      <w:r w:rsidR="00FB03E5">
        <w:rPr>
          <w:rFonts w:ascii="Times New Roman" w:hAnsi="Times New Roman" w:cs="Times New Roman"/>
          <w:lang w:val="en-GB"/>
        </w:rPr>
        <w:t>,</w:t>
      </w:r>
      <w:r w:rsidR="00EE6011" w:rsidRPr="00017DCF">
        <w:rPr>
          <w:rFonts w:ascii="Times New Roman" w:hAnsi="Times New Roman" w:cs="Times New Roman"/>
          <w:lang w:val="en-GB"/>
        </w:rPr>
        <w:t xml:space="preserve"> </w:t>
      </w:r>
      <w:r w:rsidR="009D4F66" w:rsidRPr="00017DCF">
        <w:rPr>
          <w:rFonts w:ascii="Times New Roman" w:hAnsi="Times New Roman" w:cs="Times New Roman"/>
          <w:lang w:val="en-GB"/>
        </w:rPr>
        <w:t>potential for a vibrant</w:t>
      </w:r>
      <w:r w:rsidR="003D16B2">
        <w:rPr>
          <w:rFonts w:ascii="Times New Roman" w:hAnsi="Times New Roman" w:cs="Times New Roman"/>
          <w:lang w:val="en-GB"/>
        </w:rPr>
        <w:t>,</w:t>
      </w:r>
      <w:r w:rsidR="009D4F66" w:rsidRPr="00017DCF">
        <w:rPr>
          <w:rFonts w:ascii="Times New Roman" w:hAnsi="Times New Roman" w:cs="Times New Roman"/>
          <w:lang w:val="en-GB"/>
        </w:rPr>
        <w:t xml:space="preserve"> </w:t>
      </w:r>
      <w:r w:rsidR="00D2537E" w:rsidRPr="00017DCF">
        <w:rPr>
          <w:rFonts w:ascii="Times New Roman" w:hAnsi="Times New Roman" w:cs="Times New Roman"/>
          <w:lang w:val="en-GB"/>
        </w:rPr>
        <w:t>more contextually specific</w:t>
      </w:r>
      <w:r w:rsidR="009B3CE6" w:rsidRPr="00017DCF">
        <w:rPr>
          <w:rFonts w:ascii="Times New Roman" w:hAnsi="Times New Roman" w:cs="Times New Roman"/>
          <w:lang w:val="en-GB"/>
        </w:rPr>
        <w:t xml:space="preserve"> </w:t>
      </w:r>
      <w:r w:rsidR="009D4F66" w:rsidRPr="00017DCF">
        <w:rPr>
          <w:rFonts w:ascii="Times New Roman" w:hAnsi="Times New Roman" w:cs="Times New Roman"/>
          <w:lang w:val="en-GB"/>
        </w:rPr>
        <w:t xml:space="preserve">discussion that </w:t>
      </w:r>
      <w:r w:rsidR="00A27BC7" w:rsidRPr="00017DCF">
        <w:rPr>
          <w:rFonts w:ascii="Times New Roman" w:hAnsi="Times New Roman" w:cs="Times New Roman"/>
          <w:lang w:val="en-GB"/>
        </w:rPr>
        <w:t>enriches</w:t>
      </w:r>
      <w:r w:rsidR="009D4F66" w:rsidRPr="00017DCF">
        <w:rPr>
          <w:rFonts w:ascii="Times New Roman" w:hAnsi="Times New Roman" w:cs="Times New Roman"/>
          <w:lang w:val="en-GB"/>
        </w:rPr>
        <w:t xml:space="preserve"> archaeology by recognizing </w:t>
      </w:r>
      <w:r w:rsidR="00AB5F9C" w:rsidRPr="00017DCF">
        <w:rPr>
          <w:rFonts w:ascii="Times New Roman" w:hAnsi="Times New Roman" w:cs="Times New Roman"/>
          <w:lang w:val="en-GB"/>
        </w:rPr>
        <w:t xml:space="preserve">dynamics, </w:t>
      </w:r>
      <w:r w:rsidR="009D4F66" w:rsidRPr="00017DCF">
        <w:rPr>
          <w:rFonts w:ascii="Times New Roman" w:hAnsi="Times New Roman" w:cs="Times New Roman"/>
          <w:lang w:val="en-GB"/>
        </w:rPr>
        <w:t>complexity</w:t>
      </w:r>
      <w:r w:rsidR="003D16B2">
        <w:rPr>
          <w:rFonts w:ascii="Times New Roman" w:hAnsi="Times New Roman" w:cs="Times New Roman"/>
          <w:lang w:val="en-GB"/>
        </w:rPr>
        <w:t>,</w:t>
      </w:r>
      <w:r w:rsidR="009D4F66" w:rsidRPr="00017DCF">
        <w:rPr>
          <w:rFonts w:ascii="Times New Roman" w:hAnsi="Times New Roman" w:cs="Times New Roman"/>
          <w:lang w:val="en-GB"/>
        </w:rPr>
        <w:t xml:space="preserve"> and nuances in the interwoven histories of women and men. </w:t>
      </w:r>
    </w:p>
    <w:p w14:paraId="15E34D49" w14:textId="12EA89C3" w:rsidR="00636723" w:rsidRDefault="00925351" w:rsidP="006A562D">
      <w:pPr>
        <w:spacing w:line="360" w:lineRule="auto"/>
        <w:ind w:firstLine="720"/>
        <w:contextualSpacing/>
        <w:rPr>
          <w:rFonts w:ascii="Times New Roman" w:hAnsi="Times New Roman" w:cs="Times New Roman"/>
          <w:lang w:val="en-GB"/>
        </w:rPr>
      </w:pPr>
      <w:r w:rsidRPr="00017DCF">
        <w:rPr>
          <w:rFonts w:ascii="Times New Roman" w:hAnsi="Times New Roman" w:cs="Times New Roman"/>
          <w:lang w:val="en-GB"/>
        </w:rPr>
        <w:t>T</w:t>
      </w:r>
      <w:r w:rsidR="00C53E1F" w:rsidRPr="00017DCF">
        <w:rPr>
          <w:rFonts w:ascii="Times New Roman" w:hAnsi="Times New Roman" w:cs="Times New Roman"/>
          <w:lang w:val="en-GB"/>
        </w:rPr>
        <w:t xml:space="preserve">hough presented through the lens of theoretical debates </w:t>
      </w:r>
      <w:r w:rsidR="009A4D8D" w:rsidRPr="00017DCF">
        <w:rPr>
          <w:rFonts w:ascii="Times New Roman" w:hAnsi="Times New Roman" w:cs="Times New Roman"/>
          <w:lang w:val="en-GB"/>
        </w:rPr>
        <w:t>surrounding</w:t>
      </w:r>
      <w:r w:rsidR="00C53E1F" w:rsidRPr="00017DCF">
        <w:rPr>
          <w:rFonts w:ascii="Times New Roman" w:hAnsi="Times New Roman" w:cs="Times New Roman"/>
          <w:lang w:val="en-GB"/>
        </w:rPr>
        <w:t xml:space="preserve"> </w:t>
      </w:r>
      <w:r w:rsidR="007D23BC" w:rsidRPr="00017DCF">
        <w:rPr>
          <w:rFonts w:ascii="Times New Roman" w:hAnsi="Times New Roman" w:cs="Times New Roman"/>
          <w:lang w:val="en-GB"/>
        </w:rPr>
        <w:t>various</w:t>
      </w:r>
      <w:r w:rsidR="009A4D8D" w:rsidRPr="00017DCF">
        <w:rPr>
          <w:rFonts w:ascii="Times New Roman" w:hAnsi="Times New Roman" w:cs="Times New Roman"/>
          <w:lang w:val="en-GB"/>
        </w:rPr>
        <w:t xml:space="preserve"> Marxist and post-</w:t>
      </w:r>
      <w:proofErr w:type="spellStart"/>
      <w:r w:rsidR="009A4D8D" w:rsidRPr="00017DCF">
        <w:rPr>
          <w:rFonts w:ascii="Times New Roman" w:hAnsi="Times New Roman" w:cs="Times New Roman"/>
          <w:lang w:val="en-GB"/>
        </w:rPr>
        <w:t>processualist</w:t>
      </w:r>
      <w:proofErr w:type="spellEnd"/>
      <w:r w:rsidR="009A4D8D" w:rsidRPr="00017DCF">
        <w:rPr>
          <w:rFonts w:ascii="Times New Roman" w:hAnsi="Times New Roman" w:cs="Times New Roman"/>
          <w:lang w:val="en-GB"/>
        </w:rPr>
        <w:t xml:space="preserve"> understandings of the expression of ideology</w:t>
      </w:r>
      <w:r w:rsidRPr="00017DCF">
        <w:rPr>
          <w:rFonts w:ascii="Times New Roman" w:hAnsi="Times New Roman" w:cs="Times New Roman"/>
          <w:lang w:val="en-GB"/>
        </w:rPr>
        <w:t xml:space="preserve"> that took </w:t>
      </w:r>
      <w:r w:rsidR="00F3630A" w:rsidRPr="00017DCF">
        <w:rPr>
          <w:rFonts w:ascii="Times New Roman" w:hAnsi="Times New Roman" w:cs="Times New Roman"/>
          <w:lang w:val="en-GB"/>
        </w:rPr>
        <w:t>root</w:t>
      </w:r>
      <w:r w:rsidRPr="00017DCF">
        <w:rPr>
          <w:rFonts w:ascii="Times New Roman" w:hAnsi="Times New Roman" w:cs="Times New Roman"/>
          <w:lang w:val="en-GB"/>
        </w:rPr>
        <w:t xml:space="preserve"> in the 1980s and 1990s</w:t>
      </w:r>
      <w:r w:rsidR="009A4D8D" w:rsidRPr="00017DCF">
        <w:rPr>
          <w:rFonts w:ascii="Times New Roman" w:hAnsi="Times New Roman" w:cs="Times New Roman"/>
          <w:lang w:val="en-GB"/>
        </w:rPr>
        <w:t xml:space="preserve">, </w:t>
      </w:r>
      <w:r w:rsidR="00C53E1F" w:rsidRPr="00017DCF">
        <w:rPr>
          <w:rFonts w:ascii="Times New Roman" w:hAnsi="Times New Roman" w:cs="Times New Roman"/>
          <w:lang w:val="en-GB"/>
        </w:rPr>
        <w:t xml:space="preserve">much of the </w:t>
      </w:r>
      <w:r w:rsidR="003D16B2">
        <w:rPr>
          <w:rFonts w:ascii="Times New Roman" w:hAnsi="Times New Roman" w:cs="Times New Roman"/>
          <w:lang w:val="en-GB"/>
        </w:rPr>
        <w:t>article</w:t>
      </w:r>
      <w:r w:rsidR="003D16B2" w:rsidRPr="00017DCF">
        <w:rPr>
          <w:rFonts w:ascii="Times New Roman" w:hAnsi="Times New Roman" w:cs="Times New Roman"/>
          <w:lang w:val="en-GB"/>
        </w:rPr>
        <w:t xml:space="preserve"> </w:t>
      </w:r>
      <w:r w:rsidR="0000766A">
        <w:rPr>
          <w:rFonts w:ascii="Times New Roman" w:hAnsi="Times New Roman" w:cs="Times New Roman"/>
          <w:lang w:val="en-GB"/>
        </w:rPr>
        <w:t>reads as if it could have been written more recently</w:t>
      </w:r>
      <w:r w:rsidR="009A4D8D" w:rsidRPr="00017DCF">
        <w:rPr>
          <w:rFonts w:ascii="Times New Roman" w:hAnsi="Times New Roman" w:cs="Times New Roman"/>
          <w:lang w:val="en-GB"/>
        </w:rPr>
        <w:t>.</w:t>
      </w:r>
      <w:r w:rsidRPr="00017DCF">
        <w:rPr>
          <w:rFonts w:ascii="Times New Roman" w:hAnsi="Times New Roman" w:cs="Times New Roman"/>
          <w:lang w:val="en-GB"/>
        </w:rPr>
        <w:t xml:space="preserve"> Re-reading </w:t>
      </w:r>
      <w:r w:rsidRPr="00017DCF">
        <w:rPr>
          <w:rFonts w:ascii="Times New Roman" w:hAnsi="Times New Roman" w:cs="Times New Roman"/>
          <w:i/>
          <w:lang w:val="en-GB"/>
        </w:rPr>
        <w:t>The Warrior’s Beauty</w:t>
      </w:r>
      <w:r w:rsidRPr="00017DCF">
        <w:rPr>
          <w:rFonts w:ascii="Times New Roman" w:hAnsi="Times New Roman" w:cs="Times New Roman"/>
          <w:lang w:val="en-GB"/>
        </w:rPr>
        <w:t xml:space="preserve"> </w:t>
      </w:r>
      <w:r w:rsidR="002D01B3">
        <w:rPr>
          <w:rFonts w:ascii="Times New Roman" w:hAnsi="Times New Roman" w:cs="Times New Roman"/>
          <w:lang w:val="en-GB"/>
        </w:rPr>
        <w:t>twenty</w:t>
      </w:r>
      <w:r w:rsidR="008F5311">
        <w:rPr>
          <w:rFonts w:ascii="Times New Roman" w:hAnsi="Times New Roman" w:cs="Times New Roman"/>
          <w:lang w:val="en-GB"/>
        </w:rPr>
        <w:t>-one</w:t>
      </w:r>
      <w:r w:rsidR="002D01B3" w:rsidRPr="00017DCF">
        <w:rPr>
          <w:rFonts w:ascii="Times New Roman" w:hAnsi="Times New Roman" w:cs="Times New Roman"/>
          <w:lang w:val="en-GB"/>
        </w:rPr>
        <w:t xml:space="preserve"> </w:t>
      </w:r>
      <w:r w:rsidRPr="00017DCF">
        <w:rPr>
          <w:rFonts w:ascii="Times New Roman" w:hAnsi="Times New Roman" w:cs="Times New Roman"/>
          <w:lang w:val="en-GB"/>
        </w:rPr>
        <w:t>years after its publication</w:t>
      </w:r>
      <w:r w:rsidR="00FB03E5">
        <w:rPr>
          <w:rFonts w:ascii="Times New Roman" w:hAnsi="Times New Roman" w:cs="Times New Roman"/>
          <w:lang w:val="en-GB"/>
        </w:rPr>
        <w:t>,</w:t>
      </w:r>
      <w:r w:rsidRPr="00017DCF">
        <w:rPr>
          <w:rFonts w:ascii="Times New Roman" w:hAnsi="Times New Roman" w:cs="Times New Roman"/>
          <w:lang w:val="en-GB"/>
        </w:rPr>
        <w:t xml:space="preserve"> it is striking how current some of the terminology is. Terms such as ‘embodiment’, ‘performance’</w:t>
      </w:r>
      <w:r w:rsidR="00027E62" w:rsidRPr="00017DCF">
        <w:rPr>
          <w:rFonts w:ascii="Times New Roman" w:hAnsi="Times New Roman" w:cs="Times New Roman"/>
          <w:lang w:val="en-GB"/>
        </w:rPr>
        <w:t>,</w:t>
      </w:r>
      <w:r w:rsidRPr="00017DCF">
        <w:rPr>
          <w:rFonts w:ascii="Times New Roman" w:hAnsi="Times New Roman" w:cs="Times New Roman"/>
          <w:lang w:val="en-GB"/>
        </w:rPr>
        <w:t xml:space="preserve"> </w:t>
      </w:r>
      <w:r w:rsidR="00027E62" w:rsidRPr="00017DCF">
        <w:rPr>
          <w:rFonts w:ascii="Times New Roman" w:hAnsi="Times New Roman" w:cs="Times New Roman"/>
          <w:lang w:val="en-GB"/>
        </w:rPr>
        <w:t>‘subjectivity’</w:t>
      </w:r>
      <w:r w:rsidR="002D01B3">
        <w:rPr>
          <w:rFonts w:ascii="Times New Roman" w:hAnsi="Times New Roman" w:cs="Times New Roman"/>
          <w:lang w:val="en-GB"/>
        </w:rPr>
        <w:t>,</w:t>
      </w:r>
      <w:r w:rsidR="00027E62" w:rsidRPr="00017DCF">
        <w:rPr>
          <w:rFonts w:ascii="Times New Roman" w:hAnsi="Times New Roman" w:cs="Times New Roman"/>
          <w:lang w:val="en-GB"/>
        </w:rPr>
        <w:t xml:space="preserve"> </w:t>
      </w:r>
      <w:r w:rsidRPr="00017DCF">
        <w:rPr>
          <w:rFonts w:ascii="Times New Roman" w:hAnsi="Times New Roman" w:cs="Times New Roman"/>
          <w:lang w:val="en-GB"/>
        </w:rPr>
        <w:t>and ‘personhood’, along with an explicit focus on the physicality of the body as a source for the construction and mediation of identity</w:t>
      </w:r>
      <w:r w:rsidR="00BB179A" w:rsidRPr="00017DCF">
        <w:rPr>
          <w:rFonts w:ascii="Times New Roman" w:hAnsi="Times New Roman" w:cs="Times New Roman"/>
          <w:lang w:val="en-GB"/>
        </w:rPr>
        <w:t>,</w:t>
      </w:r>
      <w:r w:rsidRPr="00017DCF">
        <w:rPr>
          <w:rFonts w:ascii="Times New Roman" w:hAnsi="Times New Roman" w:cs="Times New Roman"/>
          <w:lang w:val="en-GB"/>
        </w:rPr>
        <w:t xml:space="preserve"> resonate with contemporary concerns </w:t>
      </w:r>
      <w:r w:rsidR="00D34708" w:rsidRPr="00017DCF">
        <w:rPr>
          <w:rFonts w:ascii="Times New Roman" w:hAnsi="Times New Roman" w:cs="Times New Roman"/>
          <w:lang w:val="en-GB"/>
        </w:rPr>
        <w:t xml:space="preserve">regarding </w:t>
      </w:r>
      <w:r w:rsidR="002D64D6" w:rsidRPr="00017DCF">
        <w:rPr>
          <w:rFonts w:ascii="Times New Roman" w:hAnsi="Times New Roman" w:cs="Times New Roman"/>
          <w:lang w:val="en-GB"/>
        </w:rPr>
        <w:t xml:space="preserve">the nature of </w:t>
      </w:r>
      <w:r w:rsidR="00FB64BD" w:rsidRPr="00017DCF">
        <w:rPr>
          <w:rFonts w:ascii="Times New Roman" w:hAnsi="Times New Roman" w:cs="Times New Roman"/>
          <w:lang w:val="en-GB"/>
        </w:rPr>
        <w:t xml:space="preserve">past </w:t>
      </w:r>
      <w:r w:rsidR="002D64D6" w:rsidRPr="00017DCF">
        <w:rPr>
          <w:rFonts w:ascii="Times New Roman" w:hAnsi="Times New Roman" w:cs="Times New Roman"/>
          <w:lang w:val="en-GB"/>
        </w:rPr>
        <w:t>human experience</w:t>
      </w:r>
      <w:r w:rsidR="00D34708" w:rsidRPr="00017DCF">
        <w:rPr>
          <w:rFonts w:ascii="Times New Roman" w:hAnsi="Times New Roman" w:cs="Times New Roman"/>
          <w:lang w:val="en-GB"/>
        </w:rPr>
        <w:t>.</w:t>
      </w:r>
      <w:r w:rsidR="003B6461" w:rsidRPr="00017DCF">
        <w:rPr>
          <w:rFonts w:ascii="Times New Roman" w:hAnsi="Times New Roman" w:cs="Times New Roman"/>
          <w:lang w:val="en-GB"/>
        </w:rPr>
        <w:t xml:space="preserve"> </w:t>
      </w:r>
      <w:r w:rsidR="00D34708" w:rsidRPr="00017DCF">
        <w:rPr>
          <w:rFonts w:ascii="Times New Roman" w:hAnsi="Times New Roman" w:cs="Times New Roman"/>
          <w:lang w:val="en-GB"/>
        </w:rPr>
        <w:t xml:space="preserve">The </w:t>
      </w:r>
      <w:r w:rsidR="002D01B3">
        <w:rPr>
          <w:rFonts w:ascii="Times New Roman" w:hAnsi="Times New Roman" w:cs="Times New Roman"/>
          <w:lang w:val="en-GB"/>
        </w:rPr>
        <w:t>article</w:t>
      </w:r>
      <w:r w:rsidR="00FB03E5">
        <w:rPr>
          <w:rFonts w:ascii="Times New Roman" w:hAnsi="Times New Roman" w:cs="Times New Roman"/>
          <w:lang w:val="en-GB"/>
        </w:rPr>
        <w:t>,</w:t>
      </w:r>
      <w:r w:rsidR="002D01B3" w:rsidRPr="00017DCF">
        <w:rPr>
          <w:rFonts w:ascii="Times New Roman" w:hAnsi="Times New Roman" w:cs="Times New Roman"/>
          <w:lang w:val="en-GB"/>
        </w:rPr>
        <w:t xml:space="preserve"> </w:t>
      </w:r>
      <w:r w:rsidR="00D34708" w:rsidRPr="00017DCF">
        <w:rPr>
          <w:rFonts w:ascii="Times New Roman" w:hAnsi="Times New Roman" w:cs="Times New Roman"/>
          <w:lang w:val="en-GB"/>
        </w:rPr>
        <w:t>therefore</w:t>
      </w:r>
      <w:r w:rsidR="00FB03E5">
        <w:rPr>
          <w:rFonts w:ascii="Times New Roman" w:hAnsi="Times New Roman" w:cs="Times New Roman"/>
          <w:lang w:val="en-GB"/>
        </w:rPr>
        <w:t>,</w:t>
      </w:r>
      <w:r w:rsidR="00D34708" w:rsidRPr="00017DCF">
        <w:rPr>
          <w:rFonts w:ascii="Times New Roman" w:hAnsi="Times New Roman" w:cs="Times New Roman"/>
          <w:lang w:val="en-GB"/>
        </w:rPr>
        <w:t xml:space="preserve"> retains disciplinary relevance</w:t>
      </w:r>
      <w:r w:rsidR="002D64D6" w:rsidRPr="00017DCF">
        <w:rPr>
          <w:rFonts w:ascii="Times New Roman" w:hAnsi="Times New Roman" w:cs="Times New Roman"/>
          <w:lang w:val="en-GB"/>
        </w:rPr>
        <w:t>, although it is notable that</w:t>
      </w:r>
      <w:r w:rsidR="00D34708" w:rsidRPr="00017DCF">
        <w:rPr>
          <w:rFonts w:ascii="Times New Roman" w:hAnsi="Times New Roman" w:cs="Times New Roman"/>
          <w:lang w:val="en-GB"/>
        </w:rPr>
        <w:t xml:space="preserve"> in contrast to the </w:t>
      </w:r>
      <w:r w:rsidRPr="00017DCF">
        <w:rPr>
          <w:rFonts w:ascii="Times New Roman" w:hAnsi="Times New Roman" w:cs="Times New Roman"/>
          <w:lang w:val="en-GB"/>
        </w:rPr>
        <w:t xml:space="preserve">extended discussion of ideology in </w:t>
      </w:r>
      <w:r w:rsidR="00D34708" w:rsidRPr="00017DCF">
        <w:rPr>
          <w:rFonts w:ascii="Times New Roman" w:hAnsi="Times New Roman" w:cs="Times New Roman"/>
          <w:lang w:val="en-GB"/>
        </w:rPr>
        <w:t xml:space="preserve">the first part of the </w:t>
      </w:r>
      <w:r w:rsidR="005F5EEC">
        <w:rPr>
          <w:rFonts w:ascii="Times New Roman" w:hAnsi="Times New Roman" w:cs="Times New Roman"/>
          <w:lang w:val="en-GB"/>
        </w:rPr>
        <w:t>publication</w:t>
      </w:r>
      <w:r w:rsidR="00D34708" w:rsidRPr="00017DCF">
        <w:rPr>
          <w:rFonts w:ascii="Times New Roman" w:hAnsi="Times New Roman" w:cs="Times New Roman"/>
          <w:lang w:val="en-GB"/>
        </w:rPr>
        <w:t>, the theoretical vocabulary that may be of most interest today is</w:t>
      </w:r>
      <w:r w:rsidR="000E5408" w:rsidRPr="00017DCF">
        <w:rPr>
          <w:rFonts w:ascii="Times New Roman" w:hAnsi="Times New Roman" w:cs="Times New Roman"/>
          <w:lang w:val="en-GB"/>
        </w:rPr>
        <w:t xml:space="preserve"> comparatively under-referenced and</w:t>
      </w:r>
      <w:r w:rsidRPr="00017DCF">
        <w:rPr>
          <w:rFonts w:ascii="Times New Roman" w:hAnsi="Times New Roman" w:cs="Times New Roman"/>
          <w:lang w:val="en-GB"/>
        </w:rPr>
        <w:t xml:space="preserve"> used relatively </w:t>
      </w:r>
      <w:r w:rsidR="00D34708" w:rsidRPr="00017DCF">
        <w:rPr>
          <w:rFonts w:ascii="Times New Roman" w:hAnsi="Times New Roman" w:cs="Times New Roman"/>
          <w:lang w:val="en-GB"/>
        </w:rPr>
        <w:t>loosely.</w:t>
      </w:r>
      <w:r w:rsidR="000E5408" w:rsidRPr="00017DCF">
        <w:rPr>
          <w:rFonts w:ascii="Times New Roman" w:hAnsi="Times New Roman" w:cs="Times New Roman"/>
          <w:lang w:val="en-GB"/>
        </w:rPr>
        <w:t xml:space="preserve"> </w:t>
      </w:r>
      <w:r w:rsidR="006F734B" w:rsidRPr="00017DCF">
        <w:rPr>
          <w:rFonts w:ascii="Times New Roman" w:hAnsi="Times New Roman" w:cs="Times New Roman"/>
          <w:lang w:val="en-GB"/>
        </w:rPr>
        <w:t xml:space="preserve">A lack of explicit ‘positioning’ in terms of the shades of meaning that accompany some of these theoretical strands may be an additional reason for the </w:t>
      </w:r>
      <w:r w:rsidR="002D01B3">
        <w:rPr>
          <w:rFonts w:ascii="Times New Roman" w:hAnsi="Times New Roman" w:cs="Times New Roman"/>
          <w:lang w:val="en-GB"/>
        </w:rPr>
        <w:t>article</w:t>
      </w:r>
      <w:r w:rsidR="002D01B3" w:rsidRPr="00017DCF">
        <w:rPr>
          <w:rFonts w:ascii="Times New Roman" w:hAnsi="Times New Roman" w:cs="Times New Roman"/>
          <w:lang w:val="en-GB"/>
        </w:rPr>
        <w:t xml:space="preserve">’s </w:t>
      </w:r>
      <w:r w:rsidR="006F734B" w:rsidRPr="00017DCF">
        <w:rPr>
          <w:rFonts w:ascii="Times New Roman" w:hAnsi="Times New Roman" w:cs="Times New Roman"/>
          <w:lang w:val="en-GB"/>
        </w:rPr>
        <w:t xml:space="preserve">continuing appeal. In other words, it is easier to agree with generalities rather than specifics. </w:t>
      </w:r>
      <w:r w:rsidR="000E5408" w:rsidRPr="00017DCF">
        <w:rPr>
          <w:rFonts w:ascii="Times New Roman" w:hAnsi="Times New Roman" w:cs="Times New Roman"/>
          <w:lang w:val="en-GB"/>
        </w:rPr>
        <w:t xml:space="preserve">A number of highly relevant </w:t>
      </w:r>
      <w:r w:rsidR="009E0D09" w:rsidRPr="00017DCF">
        <w:rPr>
          <w:rFonts w:ascii="Times New Roman" w:hAnsi="Times New Roman" w:cs="Times New Roman"/>
          <w:lang w:val="en-GB"/>
        </w:rPr>
        <w:t xml:space="preserve">volumes arguing both for and against </w:t>
      </w:r>
      <w:proofErr w:type="spellStart"/>
      <w:r w:rsidR="009E0D09" w:rsidRPr="00017DCF">
        <w:rPr>
          <w:rFonts w:ascii="Times New Roman" w:hAnsi="Times New Roman" w:cs="Times New Roman"/>
          <w:lang w:val="en-GB"/>
        </w:rPr>
        <w:t>Treherne’s</w:t>
      </w:r>
      <w:proofErr w:type="spellEnd"/>
      <w:r w:rsidR="009E0D09" w:rsidRPr="00017DCF">
        <w:rPr>
          <w:rFonts w:ascii="Times New Roman" w:hAnsi="Times New Roman" w:cs="Times New Roman"/>
          <w:lang w:val="en-GB"/>
        </w:rPr>
        <w:t xml:space="preserve"> position</w:t>
      </w:r>
      <w:r w:rsidR="00BC2107" w:rsidRPr="00017DCF">
        <w:rPr>
          <w:rFonts w:ascii="Times New Roman" w:hAnsi="Times New Roman" w:cs="Times New Roman"/>
          <w:lang w:val="en-GB"/>
        </w:rPr>
        <w:t xml:space="preserve"> in relation to the body</w:t>
      </w:r>
      <w:r w:rsidR="009E0D09" w:rsidRPr="00017DCF">
        <w:rPr>
          <w:rFonts w:ascii="Times New Roman" w:hAnsi="Times New Roman" w:cs="Times New Roman"/>
          <w:lang w:val="en-GB"/>
        </w:rPr>
        <w:t xml:space="preserve"> had already been published prior to 1995 but are not cited </w:t>
      </w:r>
      <w:r w:rsidR="00FB64BD" w:rsidRPr="00017DCF">
        <w:rPr>
          <w:rFonts w:ascii="Times New Roman" w:hAnsi="Times New Roman" w:cs="Times New Roman"/>
          <w:lang w:val="en-GB"/>
        </w:rPr>
        <w:t>by him</w:t>
      </w:r>
      <w:r w:rsidR="009E0D09" w:rsidRPr="00017DCF">
        <w:rPr>
          <w:rFonts w:ascii="Times New Roman" w:hAnsi="Times New Roman" w:cs="Times New Roman"/>
          <w:lang w:val="en-GB"/>
        </w:rPr>
        <w:t xml:space="preserve"> (e</w:t>
      </w:r>
      <w:r w:rsidR="002D64D6" w:rsidRPr="00017DCF">
        <w:rPr>
          <w:rFonts w:ascii="Times New Roman" w:hAnsi="Times New Roman" w:cs="Times New Roman"/>
          <w:lang w:val="en-GB"/>
        </w:rPr>
        <w:t>.</w:t>
      </w:r>
      <w:r w:rsidR="009E0D09" w:rsidRPr="00017DCF">
        <w:rPr>
          <w:rFonts w:ascii="Times New Roman" w:hAnsi="Times New Roman" w:cs="Times New Roman"/>
          <w:lang w:val="en-GB"/>
        </w:rPr>
        <w:t>g</w:t>
      </w:r>
      <w:r w:rsidR="002D64D6" w:rsidRPr="00017DCF">
        <w:rPr>
          <w:rFonts w:ascii="Times New Roman" w:hAnsi="Times New Roman" w:cs="Times New Roman"/>
          <w:lang w:val="en-GB"/>
        </w:rPr>
        <w:t>.</w:t>
      </w:r>
      <w:r w:rsidR="009E0D09" w:rsidRPr="00017DCF">
        <w:rPr>
          <w:rFonts w:ascii="Times New Roman" w:hAnsi="Times New Roman" w:cs="Times New Roman"/>
          <w:lang w:val="en-GB"/>
        </w:rPr>
        <w:t xml:space="preserve"> Butler</w:t>
      </w:r>
      <w:r w:rsidR="00684E45">
        <w:rPr>
          <w:rFonts w:ascii="Times New Roman" w:hAnsi="Times New Roman" w:cs="Times New Roman"/>
          <w:lang w:val="en-GB"/>
        </w:rPr>
        <w:t>,</w:t>
      </w:r>
      <w:r w:rsidR="009E0D09" w:rsidRPr="00017DCF">
        <w:rPr>
          <w:rFonts w:ascii="Times New Roman" w:hAnsi="Times New Roman" w:cs="Times New Roman"/>
          <w:lang w:val="en-GB"/>
        </w:rPr>
        <w:t xml:space="preserve"> 1990, 1993; </w:t>
      </w:r>
      <w:r w:rsidR="00C41260" w:rsidRPr="00017DCF">
        <w:rPr>
          <w:rFonts w:ascii="Times New Roman" w:hAnsi="Times New Roman" w:cs="Times New Roman"/>
          <w:lang w:val="en-GB"/>
        </w:rPr>
        <w:t>Featherstone</w:t>
      </w:r>
      <w:r w:rsidR="00684E45">
        <w:rPr>
          <w:rFonts w:ascii="Times New Roman" w:hAnsi="Times New Roman" w:cs="Times New Roman"/>
          <w:lang w:val="en-GB"/>
        </w:rPr>
        <w:t>,</w:t>
      </w:r>
      <w:r w:rsidR="00C41260" w:rsidRPr="00017DCF">
        <w:rPr>
          <w:rFonts w:ascii="Times New Roman" w:hAnsi="Times New Roman" w:cs="Times New Roman"/>
          <w:lang w:val="en-GB"/>
        </w:rPr>
        <w:t xml:space="preserve"> 1991; </w:t>
      </w:r>
      <w:r w:rsidR="009E0D09" w:rsidRPr="00017DCF">
        <w:rPr>
          <w:rFonts w:ascii="Times New Roman" w:hAnsi="Times New Roman" w:cs="Times New Roman"/>
          <w:lang w:val="en-GB"/>
        </w:rPr>
        <w:t>Shilling</w:t>
      </w:r>
      <w:r w:rsidR="00684E45">
        <w:rPr>
          <w:rFonts w:ascii="Times New Roman" w:hAnsi="Times New Roman" w:cs="Times New Roman"/>
          <w:lang w:val="en-GB"/>
        </w:rPr>
        <w:t>,</w:t>
      </w:r>
      <w:r w:rsidR="009E0D09" w:rsidRPr="00017DCF">
        <w:rPr>
          <w:rFonts w:ascii="Times New Roman" w:hAnsi="Times New Roman" w:cs="Times New Roman"/>
          <w:lang w:val="en-GB"/>
        </w:rPr>
        <w:t xml:space="preserve"> 1993</w:t>
      </w:r>
      <w:r w:rsidR="002D01B3">
        <w:rPr>
          <w:rFonts w:ascii="Times New Roman" w:hAnsi="Times New Roman" w:cs="Times New Roman"/>
          <w:lang w:val="en-GB"/>
        </w:rPr>
        <w:t xml:space="preserve">; </w:t>
      </w:r>
      <w:r w:rsidR="00684E45" w:rsidRPr="00017DCF">
        <w:rPr>
          <w:rFonts w:ascii="Times New Roman" w:hAnsi="Times New Roman" w:cs="Times New Roman"/>
          <w:lang w:val="en-GB"/>
        </w:rPr>
        <w:t xml:space="preserve">Cornwall </w:t>
      </w:r>
      <w:r w:rsidR="00684E45">
        <w:rPr>
          <w:rFonts w:ascii="Times New Roman" w:hAnsi="Times New Roman" w:cs="Times New Roman"/>
          <w:lang w:val="en-GB"/>
        </w:rPr>
        <w:t>&amp;</w:t>
      </w:r>
      <w:r w:rsidR="00684E45" w:rsidRPr="00017DCF">
        <w:rPr>
          <w:rFonts w:ascii="Times New Roman" w:hAnsi="Times New Roman" w:cs="Times New Roman"/>
          <w:lang w:val="en-GB"/>
        </w:rPr>
        <w:t xml:space="preserve"> Lindisfarne</w:t>
      </w:r>
      <w:r w:rsidR="00684E45">
        <w:rPr>
          <w:rFonts w:ascii="Times New Roman" w:hAnsi="Times New Roman" w:cs="Times New Roman"/>
          <w:lang w:val="en-GB"/>
        </w:rPr>
        <w:t>,</w:t>
      </w:r>
      <w:r w:rsidR="00684E45" w:rsidRPr="00017DCF">
        <w:rPr>
          <w:rFonts w:ascii="Times New Roman" w:hAnsi="Times New Roman" w:cs="Times New Roman"/>
          <w:lang w:val="en-GB"/>
        </w:rPr>
        <w:t xml:space="preserve"> 1994; </w:t>
      </w:r>
      <w:r w:rsidR="002D01B3" w:rsidRPr="00017DCF">
        <w:rPr>
          <w:rFonts w:ascii="Times New Roman" w:hAnsi="Times New Roman" w:cs="Times New Roman"/>
          <w:lang w:val="en-GB"/>
        </w:rPr>
        <w:t>Moore 1994</w:t>
      </w:r>
      <w:r w:rsidR="009E0D09" w:rsidRPr="00017DCF">
        <w:rPr>
          <w:rFonts w:ascii="Times New Roman" w:hAnsi="Times New Roman" w:cs="Times New Roman"/>
          <w:lang w:val="en-GB"/>
        </w:rPr>
        <w:t>). It is</w:t>
      </w:r>
      <w:r w:rsidR="001F2D26">
        <w:rPr>
          <w:rFonts w:ascii="Times New Roman" w:hAnsi="Times New Roman" w:cs="Times New Roman"/>
          <w:lang w:val="en-GB"/>
        </w:rPr>
        <w:t>,</w:t>
      </w:r>
      <w:r w:rsidR="009E0D09" w:rsidRPr="00017DCF">
        <w:rPr>
          <w:rFonts w:ascii="Times New Roman" w:hAnsi="Times New Roman" w:cs="Times New Roman"/>
          <w:lang w:val="en-GB"/>
        </w:rPr>
        <w:t xml:space="preserve"> therefore</w:t>
      </w:r>
      <w:r w:rsidR="001F2D26">
        <w:rPr>
          <w:rFonts w:ascii="Times New Roman" w:hAnsi="Times New Roman" w:cs="Times New Roman"/>
          <w:lang w:val="en-GB"/>
        </w:rPr>
        <w:t>,</w:t>
      </w:r>
      <w:r w:rsidR="009E0D09" w:rsidRPr="00017DCF">
        <w:rPr>
          <w:rFonts w:ascii="Times New Roman" w:hAnsi="Times New Roman" w:cs="Times New Roman"/>
          <w:lang w:val="en-GB"/>
        </w:rPr>
        <w:t xml:space="preserve"> interesting to consider whether</w:t>
      </w:r>
      <w:r w:rsidR="006F734B" w:rsidRPr="00017DCF">
        <w:rPr>
          <w:rFonts w:ascii="Times New Roman" w:hAnsi="Times New Roman" w:cs="Times New Roman"/>
          <w:lang w:val="en-GB"/>
        </w:rPr>
        <w:t xml:space="preserve"> </w:t>
      </w:r>
      <w:r w:rsidR="009E0D09" w:rsidRPr="00017DCF">
        <w:rPr>
          <w:rFonts w:ascii="Times New Roman" w:hAnsi="Times New Roman" w:cs="Times New Roman"/>
          <w:lang w:val="en-GB"/>
        </w:rPr>
        <w:t xml:space="preserve">the impact and continued relevance of the </w:t>
      </w:r>
      <w:r w:rsidR="008F5311">
        <w:rPr>
          <w:rFonts w:ascii="Times New Roman" w:hAnsi="Times New Roman" w:cs="Times New Roman"/>
          <w:lang w:val="en-GB"/>
        </w:rPr>
        <w:t xml:space="preserve">publication </w:t>
      </w:r>
      <w:r w:rsidR="009E0D09" w:rsidRPr="00017DCF">
        <w:rPr>
          <w:rFonts w:ascii="Times New Roman" w:hAnsi="Times New Roman" w:cs="Times New Roman"/>
          <w:lang w:val="en-GB"/>
        </w:rPr>
        <w:t xml:space="preserve">reflects its original aims and intentions. </w:t>
      </w:r>
      <w:r w:rsidR="00917105" w:rsidRPr="00017DCF">
        <w:rPr>
          <w:rFonts w:ascii="Times New Roman" w:hAnsi="Times New Roman" w:cs="Times New Roman"/>
          <w:lang w:val="en-GB"/>
        </w:rPr>
        <w:t xml:space="preserve">Rather than continuing to use the </w:t>
      </w:r>
      <w:r w:rsidR="00B2091B">
        <w:rPr>
          <w:rFonts w:ascii="Times New Roman" w:hAnsi="Times New Roman" w:cs="Times New Roman"/>
          <w:lang w:val="en-GB"/>
        </w:rPr>
        <w:t>article</w:t>
      </w:r>
      <w:r w:rsidR="00B2091B" w:rsidRPr="00017DCF">
        <w:rPr>
          <w:rFonts w:ascii="Times New Roman" w:hAnsi="Times New Roman" w:cs="Times New Roman"/>
          <w:lang w:val="en-GB"/>
        </w:rPr>
        <w:t xml:space="preserve"> </w:t>
      </w:r>
      <w:r w:rsidR="000903CC" w:rsidRPr="00017DCF">
        <w:rPr>
          <w:rFonts w:ascii="Times New Roman" w:hAnsi="Times New Roman" w:cs="Times New Roman"/>
          <w:lang w:val="en-GB"/>
        </w:rPr>
        <w:t xml:space="preserve">in order </w:t>
      </w:r>
      <w:r w:rsidR="00917105" w:rsidRPr="00017DCF">
        <w:rPr>
          <w:rFonts w:ascii="Times New Roman" w:hAnsi="Times New Roman" w:cs="Times New Roman"/>
          <w:lang w:val="en-GB"/>
        </w:rPr>
        <w:t xml:space="preserve">to </w:t>
      </w:r>
      <w:r w:rsidR="000903CC" w:rsidRPr="00017DCF">
        <w:rPr>
          <w:rFonts w:ascii="Times New Roman" w:hAnsi="Times New Roman" w:cs="Times New Roman"/>
          <w:lang w:val="en-GB"/>
        </w:rPr>
        <w:t>understand</w:t>
      </w:r>
      <w:r w:rsidR="00917105" w:rsidRPr="00017DCF">
        <w:rPr>
          <w:rFonts w:ascii="Times New Roman" w:hAnsi="Times New Roman" w:cs="Times New Roman"/>
          <w:lang w:val="en-GB"/>
        </w:rPr>
        <w:t xml:space="preserve"> masculine identity, it may be </w:t>
      </w:r>
      <w:r w:rsidR="00F3630A" w:rsidRPr="00017DCF">
        <w:rPr>
          <w:rFonts w:ascii="Times New Roman" w:hAnsi="Times New Roman" w:cs="Times New Roman"/>
          <w:lang w:val="en-GB"/>
        </w:rPr>
        <w:lastRenderedPageBreak/>
        <w:t>profitable</w:t>
      </w:r>
      <w:r w:rsidR="00917105" w:rsidRPr="00017DCF">
        <w:rPr>
          <w:rFonts w:ascii="Times New Roman" w:hAnsi="Times New Roman" w:cs="Times New Roman"/>
          <w:lang w:val="en-GB"/>
        </w:rPr>
        <w:t xml:space="preserve"> to return to, and critically engage with, </w:t>
      </w:r>
      <w:proofErr w:type="spellStart"/>
      <w:r w:rsidR="00B2091B">
        <w:rPr>
          <w:rFonts w:ascii="Times New Roman" w:hAnsi="Times New Roman" w:cs="Times New Roman"/>
          <w:lang w:val="en-GB"/>
        </w:rPr>
        <w:t>Treherne’s</w:t>
      </w:r>
      <w:proofErr w:type="spellEnd"/>
      <w:r w:rsidR="00B2091B" w:rsidRPr="00017DCF">
        <w:rPr>
          <w:rFonts w:ascii="Times New Roman" w:hAnsi="Times New Roman" w:cs="Times New Roman"/>
          <w:lang w:val="en-GB"/>
        </w:rPr>
        <w:t xml:space="preserve"> </w:t>
      </w:r>
      <w:r w:rsidR="00917105" w:rsidRPr="00017DCF">
        <w:rPr>
          <w:rFonts w:ascii="Times New Roman" w:hAnsi="Times New Roman" w:cs="Times New Roman"/>
          <w:lang w:val="en-GB"/>
        </w:rPr>
        <w:t>broader initial goals and arguments regarding t</w:t>
      </w:r>
      <w:r w:rsidR="00FB64BD" w:rsidRPr="00017DCF">
        <w:rPr>
          <w:rFonts w:ascii="Times New Roman" w:hAnsi="Times New Roman" w:cs="Times New Roman"/>
          <w:lang w:val="en-GB"/>
        </w:rPr>
        <w:t>he lived experience of ideology.</w:t>
      </w:r>
      <w:r w:rsidR="00917105" w:rsidRPr="00017DCF">
        <w:rPr>
          <w:rFonts w:ascii="Times New Roman" w:hAnsi="Times New Roman" w:cs="Times New Roman"/>
          <w:lang w:val="en-GB"/>
        </w:rPr>
        <w:t xml:space="preserve"> </w:t>
      </w:r>
      <w:r w:rsidR="00FB64BD" w:rsidRPr="00017DCF">
        <w:rPr>
          <w:rFonts w:ascii="Times New Roman" w:hAnsi="Times New Roman" w:cs="Times New Roman"/>
          <w:lang w:val="en-GB"/>
        </w:rPr>
        <w:t>Today, when it seems that ideology is everywhere, a critical re-</w:t>
      </w:r>
      <w:r w:rsidR="00FE6D0D" w:rsidRPr="00017DCF">
        <w:rPr>
          <w:rFonts w:ascii="Times New Roman" w:hAnsi="Times New Roman" w:cs="Times New Roman"/>
          <w:lang w:val="en-GB"/>
        </w:rPr>
        <w:t xml:space="preserve">reading of </w:t>
      </w:r>
      <w:proofErr w:type="spellStart"/>
      <w:r w:rsidR="00FE6D0D" w:rsidRPr="00017DCF">
        <w:rPr>
          <w:rFonts w:ascii="Times New Roman" w:hAnsi="Times New Roman" w:cs="Times New Roman"/>
          <w:lang w:val="en-GB"/>
        </w:rPr>
        <w:t>Treherne's</w:t>
      </w:r>
      <w:proofErr w:type="spellEnd"/>
      <w:r w:rsidR="00FE6D0D" w:rsidRPr="00017DCF">
        <w:rPr>
          <w:rFonts w:ascii="Times New Roman" w:hAnsi="Times New Roman" w:cs="Times New Roman"/>
          <w:lang w:val="en-GB"/>
        </w:rPr>
        <w:t xml:space="preserve"> text has</w:t>
      </w:r>
      <w:r w:rsidR="00FB64BD" w:rsidRPr="00017DCF">
        <w:rPr>
          <w:rFonts w:ascii="Times New Roman" w:hAnsi="Times New Roman" w:cs="Times New Roman"/>
          <w:lang w:val="en-GB"/>
        </w:rPr>
        <w:t xml:space="preserve"> particular poignancy in </w:t>
      </w:r>
      <w:r w:rsidR="00917105" w:rsidRPr="00017DCF">
        <w:rPr>
          <w:rFonts w:ascii="Times New Roman" w:hAnsi="Times New Roman" w:cs="Times New Roman"/>
          <w:lang w:val="en-GB"/>
        </w:rPr>
        <w:t>reflect</w:t>
      </w:r>
      <w:r w:rsidR="00FB64BD" w:rsidRPr="00017DCF">
        <w:rPr>
          <w:rFonts w:ascii="Times New Roman" w:hAnsi="Times New Roman" w:cs="Times New Roman"/>
          <w:lang w:val="en-GB"/>
        </w:rPr>
        <w:t>ing</w:t>
      </w:r>
      <w:r w:rsidR="00917105" w:rsidRPr="00017DCF">
        <w:rPr>
          <w:rFonts w:ascii="Times New Roman" w:hAnsi="Times New Roman" w:cs="Times New Roman"/>
          <w:lang w:val="en-GB"/>
        </w:rPr>
        <w:t xml:space="preserve"> upon the potential role of ideology in the development of human experien</w:t>
      </w:r>
      <w:r w:rsidR="00FB64BD" w:rsidRPr="00017DCF">
        <w:rPr>
          <w:rFonts w:ascii="Times New Roman" w:hAnsi="Times New Roman" w:cs="Times New Roman"/>
          <w:lang w:val="en-GB"/>
        </w:rPr>
        <w:t xml:space="preserve">ces. It challenges us </w:t>
      </w:r>
      <w:r w:rsidR="00917105" w:rsidRPr="00017DCF">
        <w:rPr>
          <w:rFonts w:ascii="Times New Roman" w:hAnsi="Times New Roman" w:cs="Times New Roman"/>
          <w:lang w:val="en-GB"/>
        </w:rPr>
        <w:t>to consider how the expression of individual and group action is tied to beliefs about the world and one</w:t>
      </w:r>
      <w:r w:rsidR="00C515A9" w:rsidRPr="00017DCF">
        <w:rPr>
          <w:rFonts w:ascii="Times New Roman" w:hAnsi="Times New Roman" w:cs="Times New Roman"/>
          <w:lang w:val="en-GB"/>
        </w:rPr>
        <w:t>’</w:t>
      </w:r>
      <w:r w:rsidR="00917105" w:rsidRPr="00017DCF">
        <w:rPr>
          <w:rFonts w:ascii="Times New Roman" w:hAnsi="Times New Roman" w:cs="Times New Roman"/>
          <w:lang w:val="en-GB"/>
        </w:rPr>
        <w:t>s place within it. </w:t>
      </w:r>
    </w:p>
    <w:p w14:paraId="6604030D" w14:textId="6E5426EE" w:rsidR="00636723" w:rsidRDefault="00027E62">
      <w:pPr>
        <w:widowControl w:val="0"/>
        <w:autoSpaceDE w:val="0"/>
        <w:autoSpaceDN w:val="0"/>
        <w:adjustRightInd w:val="0"/>
        <w:spacing w:line="360" w:lineRule="auto"/>
        <w:ind w:firstLine="720"/>
        <w:contextualSpacing/>
        <w:rPr>
          <w:rFonts w:ascii="Times New Roman" w:hAnsi="Times New Roman" w:cs="Times New Roman"/>
          <w:lang w:val="en-GB"/>
        </w:rPr>
      </w:pPr>
      <w:r w:rsidRPr="00017DCF">
        <w:rPr>
          <w:rFonts w:ascii="Times New Roman" w:hAnsi="Times New Roman" w:cs="Times New Roman"/>
          <w:lang w:val="en-GB"/>
        </w:rPr>
        <w:t xml:space="preserve">Though </w:t>
      </w:r>
      <w:proofErr w:type="spellStart"/>
      <w:r w:rsidRPr="00017DCF">
        <w:rPr>
          <w:rFonts w:ascii="Times New Roman" w:hAnsi="Times New Roman" w:cs="Times New Roman"/>
          <w:lang w:val="en-GB"/>
        </w:rPr>
        <w:t>Treherne’s</w:t>
      </w:r>
      <w:proofErr w:type="spellEnd"/>
      <w:r w:rsidRPr="00017DCF">
        <w:rPr>
          <w:rFonts w:ascii="Times New Roman" w:hAnsi="Times New Roman" w:cs="Times New Roman"/>
          <w:lang w:val="en-GB"/>
        </w:rPr>
        <w:t xml:space="preserve"> </w:t>
      </w:r>
      <w:r w:rsidR="00B2091B">
        <w:rPr>
          <w:rFonts w:ascii="Times New Roman" w:hAnsi="Times New Roman" w:cs="Times New Roman"/>
          <w:lang w:val="en-GB"/>
        </w:rPr>
        <w:t>article</w:t>
      </w:r>
      <w:r w:rsidR="00B2091B" w:rsidRPr="00017DCF">
        <w:rPr>
          <w:rFonts w:ascii="Times New Roman" w:hAnsi="Times New Roman" w:cs="Times New Roman"/>
          <w:lang w:val="en-GB"/>
        </w:rPr>
        <w:t xml:space="preserve"> </w:t>
      </w:r>
      <w:r w:rsidRPr="00017DCF">
        <w:rPr>
          <w:rFonts w:ascii="Times New Roman" w:hAnsi="Times New Roman" w:cs="Times New Roman"/>
          <w:lang w:val="en-GB"/>
        </w:rPr>
        <w:t xml:space="preserve">retains its popularity </w:t>
      </w:r>
      <w:r w:rsidR="00B2091B">
        <w:rPr>
          <w:rFonts w:ascii="Times New Roman" w:hAnsi="Times New Roman" w:cs="Times New Roman"/>
          <w:lang w:val="en-GB"/>
        </w:rPr>
        <w:t>twenty</w:t>
      </w:r>
      <w:r w:rsidR="008F5311">
        <w:rPr>
          <w:rFonts w:ascii="Times New Roman" w:hAnsi="Times New Roman" w:cs="Times New Roman"/>
          <w:lang w:val="en-GB"/>
        </w:rPr>
        <w:t>-one</w:t>
      </w:r>
      <w:r w:rsidR="00B2091B" w:rsidRPr="00017DCF">
        <w:rPr>
          <w:rFonts w:ascii="Times New Roman" w:hAnsi="Times New Roman" w:cs="Times New Roman"/>
          <w:lang w:val="en-GB"/>
        </w:rPr>
        <w:t xml:space="preserve"> </w:t>
      </w:r>
      <w:r w:rsidRPr="00017DCF">
        <w:rPr>
          <w:rFonts w:ascii="Times New Roman" w:hAnsi="Times New Roman" w:cs="Times New Roman"/>
          <w:lang w:val="en-GB"/>
        </w:rPr>
        <w:t>year</w:t>
      </w:r>
      <w:r w:rsidR="00FB64BD" w:rsidRPr="00017DCF">
        <w:rPr>
          <w:rFonts w:ascii="Times New Roman" w:hAnsi="Times New Roman" w:cs="Times New Roman"/>
          <w:lang w:val="en-GB"/>
        </w:rPr>
        <w:t>s</w:t>
      </w:r>
      <w:r w:rsidRPr="00017DCF">
        <w:rPr>
          <w:rFonts w:ascii="Times New Roman" w:hAnsi="Times New Roman" w:cs="Times New Roman"/>
          <w:lang w:val="en-GB"/>
        </w:rPr>
        <w:t xml:space="preserve"> after its </w:t>
      </w:r>
      <w:r w:rsidR="00FB64BD" w:rsidRPr="00017DCF">
        <w:rPr>
          <w:rFonts w:ascii="Times New Roman" w:hAnsi="Times New Roman" w:cs="Times New Roman"/>
          <w:lang w:val="en-GB"/>
        </w:rPr>
        <w:t xml:space="preserve">original </w:t>
      </w:r>
      <w:r w:rsidRPr="00017DCF">
        <w:rPr>
          <w:rFonts w:ascii="Times New Roman" w:hAnsi="Times New Roman" w:cs="Times New Roman"/>
          <w:lang w:val="en-GB"/>
        </w:rPr>
        <w:t xml:space="preserve">publication, this is not necessarily due to its complete veracity or </w:t>
      </w:r>
      <w:r w:rsidR="00FB64BD" w:rsidRPr="00017DCF">
        <w:rPr>
          <w:rFonts w:ascii="Times New Roman" w:hAnsi="Times New Roman" w:cs="Times New Roman"/>
          <w:lang w:val="en-GB"/>
        </w:rPr>
        <w:t xml:space="preserve">the </w:t>
      </w:r>
      <w:proofErr w:type="gramStart"/>
      <w:r w:rsidR="00FB64BD" w:rsidRPr="00017DCF">
        <w:rPr>
          <w:rFonts w:ascii="Times New Roman" w:hAnsi="Times New Roman" w:cs="Times New Roman"/>
          <w:lang w:val="en-GB"/>
        </w:rPr>
        <w:t>bullet-proof</w:t>
      </w:r>
      <w:proofErr w:type="gramEnd"/>
      <w:r w:rsidR="00FB64BD" w:rsidRPr="00017DCF">
        <w:rPr>
          <w:rFonts w:ascii="Times New Roman" w:hAnsi="Times New Roman" w:cs="Times New Roman"/>
          <w:lang w:val="en-GB"/>
        </w:rPr>
        <w:t xml:space="preserve"> nature of</w:t>
      </w:r>
      <w:r w:rsidRPr="00017DCF">
        <w:rPr>
          <w:rFonts w:ascii="Times New Roman" w:hAnsi="Times New Roman" w:cs="Times New Roman"/>
          <w:lang w:val="en-GB"/>
        </w:rPr>
        <w:t xml:space="preserve"> its arguments </w:t>
      </w:r>
      <w:r w:rsidR="00B532D6" w:rsidRPr="00017DCF">
        <w:rPr>
          <w:rFonts w:ascii="Times New Roman" w:hAnsi="Times New Roman" w:cs="Times New Roman"/>
          <w:lang w:val="en-GB"/>
        </w:rPr>
        <w:t>and</w:t>
      </w:r>
      <w:r w:rsidRPr="00017DCF">
        <w:rPr>
          <w:rFonts w:ascii="Times New Roman" w:hAnsi="Times New Roman" w:cs="Times New Roman"/>
          <w:lang w:val="en-GB"/>
        </w:rPr>
        <w:t xml:space="preserve"> evidence base</w:t>
      </w:r>
      <w:r w:rsidR="00B532D6" w:rsidRPr="00017DCF">
        <w:rPr>
          <w:rFonts w:ascii="Times New Roman" w:hAnsi="Times New Roman" w:cs="Times New Roman"/>
          <w:lang w:val="en-GB"/>
        </w:rPr>
        <w:t>.</w:t>
      </w:r>
      <w:r w:rsidRPr="00017DCF">
        <w:rPr>
          <w:rFonts w:ascii="Times New Roman" w:hAnsi="Times New Roman" w:cs="Times New Roman"/>
          <w:lang w:val="en-GB"/>
        </w:rPr>
        <w:t xml:space="preserve"> </w:t>
      </w:r>
      <w:r w:rsidR="00B532D6" w:rsidRPr="00017DCF">
        <w:rPr>
          <w:rFonts w:ascii="Times New Roman" w:hAnsi="Times New Roman" w:cs="Times New Roman"/>
          <w:lang w:val="en-GB"/>
        </w:rPr>
        <w:t xml:space="preserve">Instead, </w:t>
      </w:r>
      <w:r w:rsidRPr="00017DCF">
        <w:rPr>
          <w:rFonts w:ascii="Times New Roman" w:hAnsi="Times New Roman" w:cs="Times New Roman"/>
          <w:lang w:val="en-GB"/>
        </w:rPr>
        <w:t>it</w:t>
      </w:r>
      <w:r w:rsidR="002619D7" w:rsidRPr="00017DCF">
        <w:rPr>
          <w:rFonts w:ascii="Times New Roman" w:hAnsi="Times New Roman" w:cs="Times New Roman"/>
          <w:lang w:val="en-GB"/>
        </w:rPr>
        <w:t xml:space="preserve"> appeals to</w:t>
      </w:r>
      <w:r w:rsidRPr="00017DCF">
        <w:rPr>
          <w:rFonts w:ascii="Times New Roman" w:hAnsi="Times New Roman" w:cs="Times New Roman"/>
          <w:lang w:val="en-GB"/>
        </w:rPr>
        <w:t xml:space="preserve"> </w:t>
      </w:r>
      <w:r w:rsidR="000903CC" w:rsidRPr="00017DCF">
        <w:rPr>
          <w:rFonts w:ascii="Times New Roman" w:hAnsi="Times New Roman" w:cs="Times New Roman"/>
          <w:lang w:val="en-GB"/>
        </w:rPr>
        <w:t xml:space="preserve">the </w:t>
      </w:r>
      <w:r w:rsidR="00FB64BD" w:rsidRPr="00017DCF">
        <w:rPr>
          <w:rFonts w:ascii="Times New Roman" w:hAnsi="Times New Roman" w:cs="Times New Roman"/>
          <w:lang w:val="en-GB"/>
        </w:rPr>
        <w:t xml:space="preserve">all too </w:t>
      </w:r>
      <w:r w:rsidR="002619D7" w:rsidRPr="00017DCF">
        <w:rPr>
          <w:rFonts w:ascii="Times New Roman" w:hAnsi="Times New Roman" w:cs="Times New Roman"/>
          <w:lang w:val="en-GB"/>
        </w:rPr>
        <w:t xml:space="preserve">human </w:t>
      </w:r>
      <w:r w:rsidRPr="00017DCF">
        <w:rPr>
          <w:rFonts w:ascii="Times New Roman" w:hAnsi="Times New Roman" w:cs="Times New Roman"/>
          <w:lang w:val="en-GB"/>
        </w:rPr>
        <w:t>desire</w:t>
      </w:r>
      <w:r w:rsidR="002619D7" w:rsidRPr="00017DCF">
        <w:rPr>
          <w:rFonts w:ascii="Times New Roman" w:hAnsi="Times New Roman" w:cs="Times New Roman"/>
          <w:lang w:val="en-GB"/>
        </w:rPr>
        <w:t xml:space="preserve"> </w:t>
      </w:r>
      <w:r w:rsidRPr="00017DCF">
        <w:rPr>
          <w:rFonts w:ascii="Times New Roman" w:hAnsi="Times New Roman" w:cs="Times New Roman"/>
          <w:lang w:val="en-GB"/>
        </w:rPr>
        <w:t xml:space="preserve">for </w:t>
      </w:r>
      <w:r w:rsidR="002619D7" w:rsidRPr="00017DCF">
        <w:rPr>
          <w:rFonts w:ascii="Times New Roman" w:hAnsi="Times New Roman" w:cs="Times New Roman"/>
          <w:lang w:val="en-GB"/>
        </w:rPr>
        <w:t xml:space="preserve">his narrative </w:t>
      </w:r>
      <w:r w:rsidRPr="00017DCF">
        <w:rPr>
          <w:rFonts w:ascii="Times New Roman" w:hAnsi="Times New Roman" w:cs="Times New Roman"/>
          <w:lang w:val="en-GB"/>
        </w:rPr>
        <w:t xml:space="preserve">in our own turbulent world. </w:t>
      </w:r>
      <w:r w:rsidR="002619D7" w:rsidRPr="00017DCF">
        <w:rPr>
          <w:rFonts w:ascii="Times New Roman" w:hAnsi="Times New Roman" w:cs="Times New Roman"/>
          <w:lang w:val="en-GB"/>
        </w:rPr>
        <w:t xml:space="preserve">It speaks to the pressing need for particular kinds of histories and </w:t>
      </w:r>
      <w:r w:rsidR="00917105" w:rsidRPr="00017DCF">
        <w:rPr>
          <w:rFonts w:ascii="Times New Roman" w:hAnsi="Times New Roman" w:cs="Times New Roman"/>
          <w:lang w:val="en-GB"/>
        </w:rPr>
        <w:t xml:space="preserve">thereby </w:t>
      </w:r>
      <w:r w:rsidR="002619D7" w:rsidRPr="00017DCF">
        <w:rPr>
          <w:rFonts w:ascii="Times New Roman" w:hAnsi="Times New Roman" w:cs="Times New Roman"/>
          <w:lang w:val="en-GB"/>
        </w:rPr>
        <w:t xml:space="preserve">highlights both </w:t>
      </w:r>
      <w:r w:rsidR="00917105" w:rsidRPr="00017DCF">
        <w:rPr>
          <w:rFonts w:ascii="Times New Roman" w:hAnsi="Times New Roman" w:cs="Times New Roman"/>
          <w:lang w:val="en-GB"/>
        </w:rPr>
        <w:t>missed opportunities</w:t>
      </w:r>
      <w:r w:rsidRPr="00017DCF">
        <w:rPr>
          <w:rFonts w:ascii="Times New Roman" w:hAnsi="Times New Roman" w:cs="Times New Roman"/>
          <w:lang w:val="en-GB"/>
        </w:rPr>
        <w:t xml:space="preserve"> </w:t>
      </w:r>
      <w:r w:rsidR="002619D7" w:rsidRPr="00017DCF">
        <w:rPr>
          <w:rFonts w:ascii="Times New Roman" w:hAnsi="Times New Roman" w:cs="Times New Roman"/>
          <w:lang w:val="en-GB"/>
        </w:rPr>
        <w:t xml:space="preserve">and </w:t>
      </w:r>
      <w:r w:rsidR="000903CC" w:rsidRPr="00017DCF">
        <w:rPr>
          <w:rFonts w:ascii="Times New Roman" w:hAnsi="Times New Roman" w:cs="Times New Roman"/>
          <w:lang w:val="en-GB"/>
        </w:rPr>
        <w:t xml:space="preserve">constructive </w:t>
      </w:r>
      <w:r w:rsidR="00917105" w:rsidRPr="00017DCF">
        <w:rPr>
          <w:rFonts w:ascii="Times New Roman" w:hAnsi="Times New Roman" w:cs="Times New Roman"/>
          <w:lang w:val="en-GB"/>
        </w:rPr>
        <w:t>disciplinary developments</w:t>
      </w:r>
      <w:r w:rsidR="002619D7" w:rsidRPr="00017DCF">
        <w:rPr>
          <w:rFonts w:ascii="Times New Roman" w:hAnsi="Times New Roman" w:cs="Times New Roman"/>
          <w:lang w:val="en-GB"/>
        </w:rPr>
        <w:t xml:space="preserve">. </w:t>
      </w:r>
      <w:r w:rsidR="00917105" w:rsidRPr="00017DCF">
        <w:rPr>
          <w:rFonts w:ascii="Times New Roman" w:hAnsi="Times New Roman" w:cs="Times New Roman"/>
          <w:lang w:val="en-GB"/>
        </w:rPr>
        <w:t xml:space="preserve">It will doubtless continue to be widely read as new generations of archaeologists find inspiration in its pages. </w:t>
      </w:r>
    </w:p>
    <w:p w14:paraId="42F5EC8E" w14:textId="77777777" w:rsidR="00A01F5E" w:rsidRPr="00017DCF" w:rsidRDefault="00A01F5E" w:rsidP="00DD191D">
      <w:pPr>
        <w:spacing w:line="360" w:lineRule="auto"/>
        <w:contextualSpacing/>
        <w:rPr>
          <w:rFonts w:ascii="Times New Roman" w:hAnsi="Times New Roman" w:cs="Times New Roman"/>
          <w:lang w:val="en-GB"/>
        </w:rPr>
      </w:pPr>
    </w:p>
    <w:p w14:paraId="3B572BD1" w14:textId="77777777" w:rsidR="00636723" w:rsidRDefault="00AE5022">
      <w:pPr>
        <w:spacing w:line="360" w:lineRule="auto"/>
        <w:contextualSpacing/>
        <w:jc w:val="center"/>
        <w:rPr>
          <w:rFonts w:ascii="Times New Roman" w:hAnsi="Times New Roman" w:cs="Times New Roman"/>
          <w:b/>
          <w:smallCaps/>
          <w:lang w:val="en-GB"/>
        </w:rPr>
      </w:pPr>
      <w:r w:rsidRPr="00AE5022">
        <w:rPr>
          <w:rFonts w:ascii="Times New Roman" w:hAnsi="Times New Roman" w:cs="Times New Roman"/>
          <w:b/>
          <w:smallCaps/>
          <w:lang w:val="en-GB"/>
        </w:rPr>
        <w:t>References</w:t>
      </w:r>
    </w:p>
    <w:p w14:paraId="1A38C5D2" w14:textId="5D2EA05E" w:rsidR="008A0474" w:rsidRPr="00017DCF" w:rsidRDefault="008A0474" w:rsidP="00C95E89">
      <w:pPr>
        <w:spacing w:line="360" w:lineRule="auto"/>
        <w:ind w:left="397" w:hanging="397"/>
        <w:contextualSpacing/>
        <w:rPr>
          <w:rFonts w:ascii="Times New Roman" w:hAnsi="Times New Roman" w:cs="Times New Roman"/>
          <w:lang w:val="en-GB"/>
        </w:rPr>
      </w:pPr>
      <w:proofErr w:type="spellStart"/>
      <w:proofErr w:type="gramStart"/>
      <w:r w:rsidRPr="00017DCF">
        <w:rPr>
          <w:rFonts w:ascii="Times New Roman" w:hAnsi="Times New Roman" w:cs="Times New Roman"/>
          <w:lang w:val="en-GB"/>
        </w:rPr>
        <w:t>Alberti</w:t>
      </w:r>
      <w:proofErr w:type="spellEnd"/>
      <w:r w:rsidRPr="00017DCF">
        <w:rPr>
          <w:rFonts w:ascii="Times New Roman" w:hAnsi="Times New Roman" w:cs="Times New Roman"/>
          <w:lang w:val="en-GB"/>
        </w:rPr>
        <w:t xml:space="preserve">, B. </w:t>
      </w:r>
      <w:r w:rsidR="00CB14DB" w:rsidRPr="00017DCF">
        <w:rPr>
          <w:rFonts w:ascii="Times New Roman" w:hAnsi="Times New Roman" w:cs="Times New Roman"/>
          <w:lang w:val="en-GB"/>
        </w:rPr>
        <w:t>2006.</w:t>
      </w:r>
      <w:proofErr w:type="gramEnd"/>
      <w:r w:rsidR="00CB14DB" w:rsidRPr="00017DCF">
        <w:rPr>
          <w:rFonts w:ascii="Times New Roman" w:hAnsi="Times New Roman" w:cs="Times New Roman"/>
          <w:lang w:val="en-GB"/>
        </w:rPr>
        <w:t xml:space="preserve"> </w:t>
      </w:r>
      <w:proofErr w:type="gramStart"/>
      <w:r w:rsidRPr="00017DCF">
        <w:rPr>
          <w:rFonts w:ascii="Times New Roman" w:hAnsi="Times New Roman" w:cs="Times New Roman"/>
          <w:lang w:val="en-GB"/>
        </w:rPr>
        <w:t>Archaeology, Men and Masculinities</w:t>
      </w:r>
      <w:r w:rsidR="00C95E89">
        <w:rPr>
          <w:rFonts w:ascii="Times New Roman" w:hAnsi="Times New Roman" w:cs="Times New Roman"/>
          <w:lang w:val="en-GB"/>
        </w:rPr>
        <w:t>.</w:t>
      </w:r>
      <w:proofErr w:type="gramEnd"/>
      <w:r w:rsidR="00C95E89">
        <w:rPr>
          <w:rFonts w:ascii="Times New Roman" w:hAnsi="Times New Roman" w:cs="Times New Roman"/>
          <w:lang w:val="en-GB"/>
        </w:rPr>
        <w:t xml:space="preserve"> I</w:t>
      </w:r>
      <w:r w:rsidR="00CB14DB" w:rsidRPr="00017DCF">
        <w:rPr>
          <w:rFonts w:ascii="Times New Roman" w:hAnsi="Times New Roman" w:cs="Times New Roman"/>
          <w:lang w:val="en-GB"/>
        </w:rPr>
        <w:t>n</w:t>
      </w:r>
      <w:r w:rsidR="00A05C5F">
        <w:rPr>
          <w:rFonts w:ascii="Times New Roman" w:hAnsi="Times New Roman" w:cs="Times New Roman"/>
          <w:lang w:val="en-GB"/>
        </w:rPr>
        <w:t>:</w:t>
      </w:r>
      <w:r w:rsidR="00CB14DB" w:rsidRPr="00017DCF">
        <w:rPr>
          <w:rFonts w:ascii="Times New Roman" w:hAnsi="Times New Roman" w:cs="Times New Roman"/>
          <w:lang w:val="en-GB"/>
        </w:rPr>
        <w:t xml:space="preserve"> S. </w:t>
      </w:r>
      <w:proofErr w:type="spellStart"/>
      <w:r w:rsidR="00CB14DB" w:rsidRPr="00017DCF">
        <w:rPr>
          <w:rFonts w:ascii="Times New Roman" w:hAnsi="Times New Roman" w:cs="Times New Roman"/>
          <w:lang w:val="en-GB"/>
        </w:rPr>
        <w:t>Milledge</w:t>
      </w:r>
      <w:proofErr w:type="spellEnd"/>
      <w:r w:rsidR="00CB14DB" w:rsidRPr="00017DCF">
        <w:rPr>
          <w:rFonts w:ascii="Times New Roman" w:hAnsi="Times New Roman" w:cs="Times New Roman"/>
          <w:lang w:val="en-GB"/>
        </w:rPr>
        <w:t xml:space="preserve"> Nelson</w:t>
      </w:r>
      <w:r w:rsidR="00A05C5F">
        <w:rPr>
          <w:rFonts w:ascii="Times New Roman" w:hAnsi="Times New Roman" w:cs="Times New Roman"/>
          <w:lang w:val="en-GB"/>
        </w:rPr>
        <w:t>,</w:t>
      </w:r>
      <w:r w:rsidR="00CB14DB" w:rsidRPr="00017DCF">
        <w:rPr>
          <w:rFonts w:ascii="Times New Roman" w:hAnsi="Times New Roman" w:cs="Times New Roman"/>
          <w:lang w:val="en-GB"/>
        </w:rPr>
        <w:t xml:space="preserve"> ed</w:t>
      </w:r>
      <w:r w:rsidR="00C95E89">
        <w:rPr>
          <w:rFonts w:ascii="Times New Roman" w:hAnsi="Times New Roman" w:cs="Times New Roman"/>
          <w:lang w:val="en-GB"/>
        </w:rPr>
        <w:t>.</w:t>
      </w:r>
      <w:r w:rsidR="00CB14DB" w:rsidRPr="00017DCF">
        <w:rPr>
          <w:rFonts w:ascii="Times New Roman" w:hAnsi="Times New Roman" w:cs="Times New Roman"/>
          <w:lang w:val="en-GB"/>
        </w:rPr>
        <w:t xml:space="preserve"> </w:t>
      </w:r>
      <w:r w:rsidR="00CB14DB" w:rsidRPr="00017DCF">
        <w:rPr>
          <w:rFonts w:ascii="Times New Roman" w:hAnsi="Times New Roman" w:cs="Times New Roman"/>
          <w:i/>
          <w:lang w:val="en-GB"/>
        </w:rPr>
        <w:t>Handbook of Gender Archaeology</w:t>
      </w:r>
      <w:r w:rsidR="00774056" w:rsidRPr="00017DCF">
        <w:rPr>
          <w:rFonts w:ascii="Times New Roman" w:hAnsi="Times New Roman" w:cs="Times New Roman"/>
          <w:lang w:val="en-GB"/>
        </w:rPr>
        <w:t>. Lanham</w:t>
      </w:r>
      <w:r w:rsidR="00C95E89">
        <w:rPr>
          <w:rFonts w:ascii="Times New Roman" w:hAnsi="Times New Roman" w:cs="Times New Roman"/>
          <w:lang w:val="en-GB"/>
        </w:rPr>
        <w:t xml:space="preserve"> (MD)</w:t>
      </w:r>
      <w:r w:rsidR="00774056" w:rsidRPr="00017DCF">
        <w:rPr>
          <w:rFonts w:ascii="Times New Roman" w:hAnsi="Times New Roman" w:cs="Times New Roman"/>
          <w:lang w:val="en-GB"/>
        </w:rPr>
        <w:t xml:space="preserve">: </w:t>
      </w:r>
      <w:proofErr w:type="spellStart"/>
      <w:r w:rsidR="00774056" w:rsidRPr="00017DCF">
        <w:rPr>
          <w:rFonts w:ascii="Times New Roman" w:hAnsi="Times New Roman" w:cs="Times New Roman"/>
          <w:lang w:val="en-GB"/>
        </w:rPr>
        <w:t>AltaMira</w:t>
      </w:r>
      <w:proofErr w:type="spellEnd"/>
      <w:r w:rsidR="00774056" w:rsidRPr="00017DCF">
        <w:rPr>
          <w:rFonts w:ascii="Times New Roman" w:hAnsi="Times New Roman" w:cs="Times New Roman"/>
          <w:lang w:val="en-GB"/>
        </w:rPr>
        <w:t xml:space="preserve"> Press,</w:t>
      </w:r>
      <w:r w:rsidRPr="00017DCF">
        <w:rPr>
          <w:rFonts w:ascii="Times New Roman" w:hAnsi="Times New Roman" w:cs="Times New Roman"/>
          <w:lang w:val="en-GB"/>
        </w:rPr>
        <w:t xml:space="preserve"> pp.</w:t>
      </w:r>
      <w:r w:rsidR="00C95E89">
        <w:rPr>
          <w:rFonts w:ascii="Times New Roman" w:hAnsi="Times New Roman" w:cs="Times New Roman"/>
          <w:lang w:val="en-GB"/>
        </w:rPr>
        <w:t xml:space="preserve"> </w:t>
      </w:r>
      <w:r w:rsidRPr="00017DCF">
        <w:rPr>
          <w:rFonts w:ascii="Times New Roman" w:hAnsi="Times New Roman" w:cs="Times New Roman"/>
          <w:lang w:val="en-GB"/>
        </w:rPr>
        <w:t>401</w:t>
      </w:r>
      <w:r w:rsidR="00C95E89">
        <w:rPr>
          <w:rFonts w:ascii="Times New Roman" w:hAnsi="Times New Roman" w:cs="Times New Roman"/>
          <w:lang w:val="en-GB"/>
        </w:rPr>
        <w:t>–</w:t>
      </w:r>
      <w:r w:rsidR="00CB14DB" w:rsidRPr="00017DCF">
        <w:rPr>
          <w:rFonts w:ascii="Times New Roman" w:hAnsi="Times New Roman" w:cs="Times New Roman"/>
          <w:lang w:val="en-GB"/>
        </w:rPr>
        <w:t>34</w:t>
      </w:r>
      <w:r w:rsidR="00DA1F01" w:rsidRPr="00017DCF">
        <w:rPr>
          <w:rFonts w:ascii="Times New Roman" w:hAnsi="Times New Roman" w:cs="Times New Roman"/>
          <w:lang w:val="en-GB"/>
        </w:rPr>
        <w:t>.</w:t>
      </w:r>
    </w:p>
    <w:p w14:paraId="0F09DB6A" w14:textId="017EF63F" w:rsidR="00B3182C" w:rsidRPr="00017DCF" w:rsidRDefault="00447A5E" w:rsidP="00C95E89">
      <w:pPr>
        <w:autoSpaceDE w:val="0"/>
        <w:autoSpaceDN w:val="0"/>
        <w:adjustRightInd w:val="0"/>
        <w:spacing w:line="360" w:lineRule="auto"/>
        <w:ind w:left="397" w:hanging="397"/>
        <w:contextualSpacing/>
        <w:rPr>
          <w:rFonts w:ascii="Times New Roman" w:eastAsia="SimSun" w:hAnsi="Times New Roman" w:cs="Times New Roman"/>
          <w:lang w:val="en-GB" w:eastAsia="zh-CN"/>
        </w:rPr>
      </w:pPr>
      <w:proofErr w:type="spellStart"/>
      <w:r w:rsidRPr="00017DCF">
        <w:rPr>
          <w:rFonts w:ascii="Times New Roman" w:eastAsia="SimSun" w:hAnsi="Times New Roman" w:cs="Times New Roman"/>
          <w:lang w:val="en-GB" w:eastAsia="zh-CN"/>
        </w:rPr>
        <w:t>Bertelsen</w:t>
      </w:r>
      <w:proofErr w:type="spellEnd"/>
      <w:r w:rsidRPr="00017DCF">
        <w:rPr>
          <w:rFonts w:ascii="Times New Roman" w:eastAsia="SimSun" w:hAnsi="Times New Roman" w:cs="Times New Roman"/>
          <w:lang w:val="en-GB" w:eastAsia="zh-CN"/>
        </w:rPr>
        <w:t>, R., L</w:t>
      </w:r>
      <w:r w:rsidR="00B771F2" w:rsidRPr="00017DCF">
        <w:rPr>
          <w:rFonts w:ascii="Times New Roman" w:eastAsia="SimSun" w:hAnsi="Times New Roman" w:cs="Times New Roman"/>
          <w:lang w:val="en-GB" w:eastAsia="zh-CN"/>
        </w:rPr>
        <w:t xml:space="preserve">illehammer, G. </w:t>
      </w:r>
      <w:r w:rsidR="00C95E89">
        <w:rPr>
          <w:rFonts w:ascii="Times New Roman" w:eastAsia="SimSun" w:hAnsi="Times New Roman" w:cs="Times New Roman"/>
          <w:lang w:val="en-GB" w:eastAsia="zh-CN"/>
        </w:rPr>
        <w:t>&amp;</w:t>
      </w:r>
      <w:r w:rsidR="00C95E89" w:rsidRPr="00017DCF">
        <w:rPr>
          <w:rFonts w:ascii="Times New Roman" w:eastAsia="SimSun" w:hAnsi="Times New Roman" w:cs="Times New Roman"/>
          <w:lang w:val="en-GB" w:eastAsia="zh-CN"/>
        </w:rPr>
        <w:t xml:space="preserve"> </w:t>
      </w:r>
      <w:proofErr w:type="spellStart"/>
      <w:r w:rsidR="00B771F2" w:rsidRPr="00017DCF">
        <w:rPr>
          <w:rFonts w:ascii="Times New Roman" w:eastAsia="SimSun" w:hAnsi="Times New Roman" w:cs="Times New Roman"/>
          <w:lang w:val="en-GB" w:eastAsia="zh-CN"/>
        </w:rPr>
        <w:t>Næss</w:t>
      </w:r>
      <w:proofErr w:type="spellEnd"/>
      <w:r w:rsidR="00B771F2" w:rsidRPr="00017DCF">
        <w:rPr>
          <w:rFonts w:ascii="Times New Roman" w:eastAsia="SimSun" w:hAnsi="Times New Roman" w:cs="Times New Roman"/>
          <w:lang w:val="en-GB" w:eastAsia="zh-CN"/>
        </w:rPr>
        <w:t>, J</w:t>
      </w:r>
      <w:proofErr w:type="gramStart"/>
      <w:r w:rsidR="00C95E89">
        <w:rPr>
          <w:rFonts w:ascii="Times New Roman" w:eastAsia="SimSun" w:hAnsi="Times New Roman" w:cs="Times New Roman"/>
          <w:lang w:val="en-GB" w:eastAsia="zh-CN"/>
        </w:rPr>
        <w:t>.</w:t>
      </w:r>
      <w:r w:rsidR="00B771F2" w:rsidRPr="00017DCF">
        <w:rPr>
          <w:rFonts w:ascii="Times New Roman" w:eastAsia="SimSun" w:hAnsi="Times New Roman" w:cs="Times New Roman"/>
          <w:lang w:val="en-GB" w:eastAsia="zh-CN"/>
        </w:rPr>
        <w:t>-</w:t>
      </w:r>
      <w:proofErr w:type="gramEnd"/>
      <w:r w:rsidR="00B771F2" w:rsidRPr="00017DCF">
        <w:rPr>
          <w:rFonts w:ascii="Times New Roman" w:eastAsia="SimSun" w:hAnsi="Times New Roman" w:cs="Times New Roman"/>
          <w:lang w:val="en-GB" w:eastAsia="zh-CN"/>
        </w:rPr>
        <w:t xml:space="preserve">R. </w:t>
      </w:r>
      <w:r w:rsidR="00C95E89">
        <w:rPr>
          <w:rFonts w:ascii="Times New Roman" w:eastAsia="SimSun" w:hAnsi="Times New Roman" w:cs="Times New Roman"/>
          <w:lang w:val="en-GB" w:eastAsia="zh-CN"/>
        </w:rPr>
        <w:t>e</w:t>
      </w:r>
      <w:r w:rsidR="00B771F2" w:rsidRPr="00017DCF">
        <w:rPr>
          <w:rFonts w:ascii="Times New Roman" w:eastAsia="SimSun" w:hAnsi="Times New Roman" w:cs="Times New Roman"/>
          <w:lang w:val="en-GB" w:eastAsia="zh-CN"/>
        </w:rPr>
        <w:t>ds</w:t>
      </w:r>
      <w:r w:rsidR="00C95E89">
        <w:rPr>
          <w:rFonts w:ascii="Times New Roman" w:eastAsia="SimSun" w:hAnsi="Times New Roman" w:cs="Times New Roman"/>
          <w:lang w:val="en-GB" w:eastAsia="zh-CN"/>
        </w:rPr>
        <w:t>.</w:t>
      </w:r>
      <w:r w:rsidRPr="00017DCF">
        <w:rPr>
          <w:rFonts w:ascii="Times New Roman" w:eastAsia="SimSun" w:hAnsi="Times New Roman" w:cs="Times New Roman"/>
          <w:lang w:val="en-GB" w:eastAsia="zh-CN"/>
        </w:rPr>
        <w:t xml:space="preserve"> 1987. </w:t>
      </w:r>
      <w:r w:rsidRPr="00017DCF">
        <w:rPr>
          <w:rFonts w:ascii="Times New Roman" w:eastAsia="SimSun" w:hAnsi="Times New Roman" w:cs="Times New Roman"/>
          <w:i/>
          <w:lang w:val="en-GB" w:eastAsia="zh-CN"/>
        </w:rPr>
        <w:t xml:space="preserve">Were </w:t>
      </w:r>
      <w:r w:rsidR="00C95E89" w:rsidRPr="00017DCF">
        <w:rPr>
          <w:rFonts w:ascii="Times New Roman" w:eastAsia="SimSun" w:hAnsi="Times New Roman" w:cs="Times New Roman"/>
          <w:i/>
          <w:lang w:val="en-GB" w:eastAsia="zh-CN"/>
        </w:rPr>
        <w:t xml:space="preserve">They All Men? </w:t>
      </w:r>
      <w:proofErr w:type="gramStart"/>
      <w:r w:rsidRPr="00017DCF">
        <w:rPr>
          <w:rFonts w:ascii="Times New Roman" w:eastAsia="SimSun" w:hAnsi="Times New Roman" w:cs="Times New Roman"/>
          <w:i/>
          <w:iCs/>
          <w:lang w:val="en-GB" w:eastAsia="zh-CN"/>
        </w:rPr>
        <w:t xml:space="preserve">An </w:t>
      </w:r>
      <w:r w:rsidR="00C95E89" w:rsidRPr="00017DCF">
        <w:rPr>
          <w:rFonts w:ascii="Times New Roman" w:eastAsia="SimSun" w:hAnsi="Times New Roman" w:cs="Times New Roman"/>
          <w:i/>
          <w:iCs/>
          <w:lang w:val="en-GB" w:eastAsia="zh-CN"/>
        </w:rPr>
        <w:t>Examination of Sex Roles in Prehistoric Society</w:t>
      </w:r>
      <w:r w:rsidR="00C95E89" w:rsidRPr="00017DCF">
        <w:rPr>
          <w:rFonts w:ascii="Times New Roman" w:eastAsia="SimSun" w:hAnsi="Times New Roman" w:cs="Times New Roman"/>
          <w:lang w:val="en-GB" w:eastAsia="zh-CN"/>
        </w:rPr>
        <w:t>.</w:t>
      </w:r>
      <w:proofErr w:type="gramEnd"/>
      <w:r w:rsidRPr="00017DCF">
        <w:rPr>
          <w:rFonts w:ascii="Times New Roman" w:eastAsia="SimSun" w:hAnsi="Times New Roman" w:cs="Times New Roman"/>
          <w:lang w:val="en-GB" w:eastAsia="zh-CN"/>
        </w:rPr>
        <w:t xml:space="preserve"> Stavanger: </w:t>
      </w:r>
      <w:proofErr w:type="spellStart"/>
      <w:r w:rsidRPr="00017DCF">
        <w:rPr>
          <w:rFonts w:ascii="Times New Roman" w:eastAsia="SimSun" w:hAnsi="Times New Roman" w:cs="Times New Roman"/>
          <w:lang w:val="en-GB" w:eastAsia="zh-CN"/>
        </w:rPr>
        <w:t>Arkeologisk</w:t>
      </w:r>
      <w:proofErr w:type="spellEnd"/>
      <w:r w:rsidRPr="00017DCF">
        <w:rPr>
          <w:rFonts w:ascii="Times New Roman" w:eastAsia="SimSun" w:hAnsi="Times New Roman" w:cs="Times New Roman"/>
          <w:lang w:val="en-GB" w:eastAsia="zh-CN"/>
        </w:rPr>
        <w:t xml:space="preserve"> Museum.</w:t>
      </w:r>
    </w:p>
    <w:p w14:paraId="083327FC" w14:textId="4F433403" w:rsidR="00B3182C" w:rsidRPr="00017DCF" w:rsidRDefault="00B3182C" w:rsidP="00C95E89">
      <w:pPr>
        <w:autoSpaceDE w:val="0"/>
        <w:autoSpaceDN w:val="0"/>
        <w:adjustRightInd w:val="0"/>
        <w:spacing w:line="360" w:lineRule="auto"/>
        <w:ind w:left="397" w:hanging="397"/>
        <w:contextualSpacing/>
        <w:rPr>
          <w:rFonts w:ascii="Times New Roman" w:hAnsi="Times New Roman" w:cs="Times New Roman"/>
          <w:lang w:val="en-GB"/>
        </w:rPr>
      </w:pPr>
      <w:proofErr w:type="spellStart"/>
      <w:proofErr w:type="gramStart"/>
      <w:r w:rsidRPr="00017DCF">
        <w:rPr>
          <w:rFonts w:ascii="Times New Roman" w:hAnsi="Times New Roman" w:cs="Times New Roman"/>
          <w:lang w:val="en-GB"/>
        </w:rPr>
        <w:t>Brod</w:t>
      </w:r>
      <w:proofErr w:type="spellEnd"/>
      <w:r w:rsidRPr="00017DCF">
        <w:rPr>
          <w:rFonts w:ascii="Times New Roman" w:hAnsi="Times New Roman" w:cs="Times New Roman"/>
          <w:lang w:val="en-GB"/>
        </w:rPr>
        <w:t xml:space="preserve">, H. </w:t>
      </w:r>
      <w:r w:rsidR="00C95E89">
        <w:rPr>
          <w:rFonts w:ascii="Times New Roman" w:hAnsi="Times New Roman" w:cs="Times New Roman"/>
          <w:lang w:val="en-GB"/>
        </w:rPr>
        <w:t>&amp;</w:t>
      </w:r>
      <w:r w:rsidR="00C95E89" w:rsidRPr="00017DCF">
        <w:rPr>
          <w:rFonts w:ascii="Times New Roman" w:hAnsi="Times New Roman" w:cs="Times New Roman"/>
          <w:lang w:val="en-GB"/>
        </w:rPr>
        <w:t xml:space="preserve"> </w:t>
      </w:r>
      <w:r w:rsidRPr="00017DCF">
        <w:rPr>
          <w:rFonts w:ascii="Times New Roman" w:hAnsi="Times New Roman" w:cs="Times New Roman"/>
          <w:lang w:val="en-GB"/>
        </w:rPr>
        <w:t>Kaufman, M. 1994.</w:t>
      </w:r>
      <w:proofErr w:type="gramEnd"/>
      <w:r w:rsidRPr="00017DCF">
        <w:rPr>
          <w:rFonts w:ascii="Times New Roman" w:hAnsi="Times New Roman" w:cs="Times New Roman"/>
          <w:lang w:val="en-GB"/>
        </w:rPr>
        <w:t xml:space="preserve"> Introduction</w:t>
      </w:r>
      <w:r w:rsidR="00C95E89">
        <w:rPr>
          <w:rFonts w:ascii="Times New Roman" w:hAnsi="Times New Roman" w:cs="Times New Roman"/>
          <w:lang w:val="en-GB"/>
        </w:rPr>
        <w:t>. I</w:t>
      </w:r>
      <w:r w:rsidRPr="00017DCF">
        <w:rPr>
          <w:rFonts w:ascii="Times New Roman" w:hAnsi="Times New Roman" w:cs="Times New Roman"/>
          <w:lang w:val="en-GB"/>
        </w:rPr>
        <w:t>n</w:t>
      </w:r>
      <w:r w:rsidR="00A05C5F">
        <w:rPr>
          <w:rFonts w:ascii="Times New Roman" w:hAnsi="Times New Roman" w:cs="Times New Roman"/>
          <w:lang w:val="en-GB"/>
        </w:rPr>
        <w:t>:</w:t>
      </w:r>
      <w:r w:rsidRPr="00017DCF">
        <w:rPr>
          <w:rFonts w:ascii="Times New Roman" w:hAnsi="Times New Roman" w:cs="Times New Roman"/>
          <w:lang w:val="en-GB"/>
        </w:rPr>
        <w:t xml:space="preserve"> H. </w:t>
      </w:r>
      <w:proofErr w:type="spellStart"/>
      <w:r w:rsidRPr="00017DCF">
        <w:rPr>
          <w:rFonts w:ascii="Times New Roman" w:hAnsi="Times New Roman" w:cs="Times New Roman"/>
          <w:lang w:val="en-GB"/>
        </w:rPr>
        <w:t>Brod</w:t>
      </w:r>
      <w:proofErr w:type="spellEnd"/>
      <w:r w:rsidRPr="00017DCF">
        <w:rPr>
          <w:rFonts w:ascii="Times New Roman" w:hAnsi="Times New Roman" w:cs="Times New Roman"/>
          <w:lang w:val="en-GB"/>
        </w:rPr>
        <w:t xml:space="preserve"> </w:t>
      </w:r>
      <w:r w:rsidR="00C95E89">
        <w:rPr>
          <w:rFonts w:ascii="Times New Roman" w:hAnsi="Times New Roman" w:cs="Times New Roman"/>
          <w:lang w:val="en-GB"/>
        </w:rPr>
        <w:t>&amp;</w:t>
      </w:r>
      <w:r w:rsidR="00C95E89" w:rsidRPr="00017DCF">
        <w:rPr>
          <w:rFonts w:ascii="Times New Roman" w:hAnsi="Times New Roman" w:cs="Times New Roman"/>
          <w:lang w:val="en-GB"/>
        </w:rPr>
        <w:t xml:space="preserve"> </w:t>
      </w:r>
      <w:r w:rsidRPr="00017DCF">
        <w:rPr>
          <w:rFonts w:ascii="Times New Roman" w:hAnsi="Times New Roman" w:cs="Times New Roman"/>
          <w:lang w:val="en-GB"/>
        </w:rPr>
        <w:t>M. Kaufman</w:t>
      </w:r>
      <w:r w:rsidR="00A05C5F">
        <w:rPr>
          <w:rFonts w:ascii="Times New Roman" w:hAnsi="Times New Roman" w:cs="Times New Roman"/>
          <w:lang w:val="en-GB"/>
        </w:rPr>
        <w:t>,</w:t>
      </w:r>
      <w:r w:rsidRPr="00017DCF">
        <w:rPr>
          <w:rFonts w:ascii="Times New Roman" w:hAnsi="Times New Roman" w:cs="Times New Roman"/>
          <w:lang w:val="en-GB"/>
        </w:rPr>
        <w:t xml:space="preserve"> </w:t>
      </w:r>
      <w:proofErr w:type="gramStart"/>
      <w:r w:rsidR="00C95E89">
        <w:rPr>
          <w:rFonts w:ascii="Times New Roman" w:hAnsi="Times New Roman" w:cs="Times New Roman"/>
          <w:lang w:val="en-GB"/>
        </w:rPr>
        <w:t>e</w:t>
      </w:r>
      <w:r w:rsidRPr="00017DCF">
        <w:rPr>
          <w:rFonts w:ascii="Times New Roman" w:hAnsi="Times New Roman" w:cs="Times New Roman"/>
          <w:lang w:val="en-GB"/>
        </w:rPr>
        <w:t>ds</w:t>
      </w:r>
      <w:proofErr w:type="gramEnd"/>
      <w:r w:rsidR="00C95E89">
        <w:rPr>
          <w:rFonts w:ascii="Times New Roman" w:hAnsi="Times New Roman" w:cs="Times New Roman"/>
          <w:lang w:val="en-GB"/>
        </w:rPr>
        <w:t>.</w:t>
      </w:r>
      <w:r w:rsidRPr="00017DCF">
        <w:rPr>
          <w:rFonts w:ascii="Times New Roman" w:hAnsi="Times New Roman" w:cs="Times New Roman"/>
          <w:lang w:val="en-GB"/>
        </w:rPr>
        <w:t xml:space="preserve"> </w:t>
      </w:r>
      <w:r w:rsidRPr="00017DCF">
        <w:rPr>
          <w:rFonts w:ascii="Times New Roman" w:hAnsi="Times New Roman" w:cs="Times New Roman"/>
          <w:i/>
          <w:lang w:val="en-GB"/>
        </w:rPr>
        <w:t>Theorizing Masculinities</w:t>
      </w:r>
      <w:r w:rsidRPr="00017DCF">
        <w:rPr>
          <w:rFonts w:ascii="Times New Roman" w:hAnsi="Times New Roman" w:cs="Times New Roman"/>
          <w:lang w:val="en-GB"/>
        </w:rPr>
        <w:t>. Thousand Oaks</w:t>
      </w:r>
      <w:r w:rsidR="00C95E89">
        <w:rPr>
          <w:rFonts w:ascii="Times New Roman" w:hAnsi="Times New Roman" w:cs="Times New Roman"/>
          <w:lang w:val="en-GB"/>
        </w:rPr>
        <w:t xml:space="preserve"> (CA)</w:t>
      </w:r>
      <w:r w:rsidRPr="00017DCF">
        <w:rPr>
          <w:rFonts w:ascii="Times New Roman" w:hAnsi="Times New Roman" w:cs="Times New Roman"/>
          <w:lang w:val="en-GB"/>
        </w:rPr>
        <w:t>: Sage, pp.1</w:t>
      </w:r>
      <w:r w:rsidR="00684E45">
        <w:rPr>
          <w:rFonts w:ascii="Times New Roman" w:hAnsi="Times New Roman" w:cs="Times New Roman"/>
          <w:lang w:val="en-GB"/>
        </w:rPr>
        <w:t>–</w:t>
      </w:r>
      <w:r w:rsidRPr="00017DCF">
        <w:rPr>
          <w:rFonts w:ascii="Times New Roman" w:hAnsi="Times New Roman" w:cs="Times New Roman"/>
          <w:lang w:val="en-GB"/>
        </w:rPr>
        <w:t>10</w:t>
      </w:r>
      <w:bookmarkStart w:id="0" w:name="_GoBack"/>
      <w:bookmarkEnd w:id="0"/>
      <w:r w:rsidR="00C95E89">
        <w:rPr>
          <w:rFonts w:ascii="Times New Roman" w:hAnsi="Times New Roman" w:cs="Times New Roman"/>
          <w:lang w:val="en-GB"/>
        </w:rPr>
        <w:t>.</w:t>
      </w:r>
    </w:p>
    <w:p w14:paraId="2D91A40C" w14:textId="77777777" w:rsidR="003102A6" w:rsidRPr="00017DCF" w:rsidRDefault="003102A6" w:rsidP="00C95E89">
      <w:pPr>
        <w:spacing w:line="360" w:lineRule="auto"/>
        <w:ind w:left="397" w:hanging="397"/>
        <w:contextualSpacing/>
        <w:rPr>
          <w:rFonts w:ascii="Times New Roman" w:hAnsi="Times New Roman" w:cs="Times New Roman"/>
          <w:lang w:val="en-GB"/>
        </w:rPr>
      </w:pPr>
      <w:r w:rsidRPr="00017DCF">
        <w:rPr>
          <w:rFonts w:ascii="Times New Roman" w:hAnsi="Times New Roman" w:cs="Times New Roman"/>
          <w:lang w:val="en-GB"/>
        </w:rPr>
        <w:t>Butler, J. 1990.</w:t>
      </w:r>
      <w:r w:rsidR="002E52F9" w:rsidRPr="00017DCF">
        <w:rPr>
          <w:rFonts w:ascii="Times New Roman" w:hAnsi="Times New Roman" w:cs="Times New Roman"/>
          <w:lang w:val="en-GB"/>
        </w:rPr>
        <w:t xml:space="preserve"> </w:t>
      </w:r>
      <w:r w:rsidR="00AE5022" w:rsidRPr="00AE5022">
        <w:rPr>
          <w:rFonts w:ascii="Times New Roman" w:hAnsi="Times New Roman" w:cs="Times New Roman"/>
          <w:i/>
          <w:lang w:val="en-GB"/>
        </w:rPr>
        <w:t xml:space="preserve">Gender Trouble. </w:t>
      </w:r>
      <w:proofErr w:type="gramStart"/>
      <w:r w:rsidR="00AE5022" w:rsidRPr="00AE5022">
        <w:rPr>
          <w:rFonts w:ascii="Times New Roman" w:hAnsi="Times New Roman" w:cs="Times New Roman"/>
          <w:i/>
          <w:lang w:val="en-GB"/>
        </w:rPr>
        <w:t>Feminism and the Subversion of Identity</w:t>
      </w:r>
      <w:r w:rsidR="002E52F9" w:rsidRPr="00017DCF">
        <w:rPr>
          <w:rFonts w:ascii="Times New Roman" w:hAnsi="Times New Roman" w:cs="Times New Roman"/>
          <w:lang w:val="en-GB"/>
        </w:rPr>
        <w:t>.</w:t>
      </w:r>
      <w:proofErr w:type="gramEnd"/>
      <w:r w:rsidR="002E52F9" w:rsidRPr="00017DCF">
        <w:rPr>
          <w:rFonts w:ascii="Times New Roman" w:hAnsi="Times New Roman" w:cs="Times New Roman"/>
          <w:lang w:val="en-GB"/>
        </w:rPr>
        <w:t xml:space="preserve"> London: Routledge.</w:t>
      </w:r>
    </w:p>
    <w:p w14:paraId="474F2E5C" w14:textId="77777777" w:rsidR="00447A5E" w:rsidRPr="00017DCF" w:rsidRDefault="003102A6" w:rsidP="00C95E89">
      <w:pPr>
        <w:spacing w:line="360" w:lineRule="auto"/>
        <w:ind w:left="397" w:hanging="397"/>
        <w:contextualSpacing/>
        <w:rPr>
          <w:rFonts w:ascii="Times New Roman" w:hAnsi="Times New Roman" w:cs="Times New Roman"/>
          <w:lang w:val="en-GB"/>
        </w:rPr>
      </w:pPr>
      <w:r w:rsidRPr="00017DCF">
        <w:rPr>
          <w:rFonts w:ascii="Times New Roman" w:hAnsi="Times New Roman" w:cs="Times New Roman"/>
          <w:lang w:val="en-GB"/>
        </w:rPr>
        <w:t>Butler, J. 1993.</w:t>
      </w:r>
      <w:r w:rsidR="002E52F9" w:rsidRPr="00017DCF">
        <w:rPr>
          <w:rFonts w:ascii="Times New Roman" w:hAnsi="Times New Roman" w:cs="Times New Roman"/>
          <w:lang w:val="en-GB"/>
        </w:rPr>
        <w:t xml:space="preserve"> </w:t>
      </w:r>
      <w:proofErr w:type="gramStart"/>
      <w:r w:rsidR="002E52F9" w:rsidRPr="00017DCF">
        <w:rPr>
          <w:rFonts w:ascii="Times New Roman" w:hAnsi="Times New Roman" w:cs="Times New Roman"/>
          <w:i/>
          <w:lang w:val="en-GB"/>
        </w:rPr>
        <w:t>Bodies that Matter.</w:t>
      </w:r>
      <w:proofErr w:type="gramEnd"/>
      <w:r w:rsidR="002E52F9" w:rsidRPr="00017DCF">
        <w:rPr>
          <w:rFonts w:ascii="Times New Roman" w:hAnsi="Times New Roman" w:cs="Times New Roman"/>
          <w:i/>
          <w:lang w:val="en-GB"/>
        </w:rPr>
        <w:t xml:space="preserve"> </w:t>
      </w:r>
      <w:proofErr w:type="gramStart"/>
      <w:r w:rsidR="002E52F9" w:rsidRPr="00017DCF">
        <w:rPr>
          <w:rFonts w:ascii="Times New Roman" w:hAnsi="Times New Roman" w:cs="Times New Roman"/>
          <w:i/>
          <w:lang w:val="en-GB"/>
        </w:rPr>
        <w:t>On the Discursive Limits of “Sex”</w:t>
      </w:r>
      <w:r w:rsidR="002E52F9" w:rsidRPr="00017DCF">
        <w:rPr>
          <w:rFonts w:ascii="Times New Roman" w:hAnsi="Times New Roman" w:cs="Times New Roman"/>
          <w:lang w:val="en-GB"/>
        </w:rPr>
        <w:t>.</w:t>
      </w:r>
      <w:proofErr w:type="gramEnd"/>
      <w:r w:rsidR="002E52F9" w:rsidRPr="00017DCF">
        <w:rPr>
          <w:rFonts w:ascii="Times New Roman" w:hAnsi="Times New Roman" w:cs="Times New Roman"/>
          <w:lang w:val="en-GB"/>
        </w:rPr>
        <w:t xml:space="preserve"> London: Routledge.</w:t>
      </w:r>
    </w:p>
    <w:p w14:paraId="43B25CA2" w14:textId="0D55BE40" w:rsidR="00CB14DB" w:rsidRPr="00017DCF" w:rsidRDefault="00CB14DB" w:rsidP="00C95E89">
      <w:pPr>
        <w:spacing w:line="360" w:lineRule="auto"/>
        <w:ind w:left="397" w:hanging="397"/>
        <w:contextualSpacing/>
        <w:rPr>
          <w:rFonts w:ascii="Times New Roman" w:hAnsi="Times New Roman" w:cs="Times New Roman"/>
          <w:lang w:val="en-GB"/>
        </w:rPr>
      </w:pPr>
      <w:r w:rsidRPr="00017DCF">
        <w:rPr>
          <w:rFonts w:ascii="Times New Roman" w:hAnsi="Times New Roman" w:cs="Times New Roman"/>
          <w:lang w:val="en-GB"/>
        </w:rPr>
        <w:t>Cornwall</w:t>
      </w:r>
      <w:r w:rsidR="000039B7" w:rsidRPr="00017DCF">
        <w:rPr>
          <w:rFonts w:ascii="Times New Roman" w:hAnsi="Times New Roman" w:cs="Times New Roman"/>
          <w:lang w:val="en-GB"/>
        </w:rPr>
        <w:t>, A.</w:t>
      </w:r>
      <w:r w:rsidRPr="00017DCF">
        <w:rPr>
          <w:rFonts w:ascii="Times New Roman" w:hAnsi="Times New Roman" w:cs="Times New Roman"/>
          <w:lang w:val="en-GB"/>
        </w:rPr>
        <w:t xml:space="preserve"> </w:t>
      </w:r>
      <w:r w:rsidR="00C95E89">
        <w:rPr>
          <w:rFonts w:ascii="Times New Roman" w:hAnsi="Times New Roman" w:cs="Times New Roman"/>
          <w:lang w:val="en-GB"/>
        </w:rPr>
        <w:t>&amp;</w:t>
      </w:r>
      <w:r w:rsidR="00C95E89" w:rsidRPr="00017DCF">
        <w:rPr>
          <w:rFonts w:ascii="Times New Roman" w:hAnsi="Times New Roman" w:cs="Times New Roman"/>
          <w:lang w:val="en-GB"/>
        </w:rPr>
        <w:t xml:space="preserve"> </w:t>
      </w:r>
      <w:r w:rsidRPr="00017DCF">
        <w:rPr>
          <w:rFonts w:ascii="Times New Roman" w:hAnsi="Times New Roman" w:cs="Times New Roman"/>
          <w:lang w:val="en-GB"/>
        </w:rPr>
        <w:t>Lindisfarne</w:t>
      </w:r>
      <w:r w:rsidR="000039B7" w:rsidRPr="00017DCF">
        <w:rPr>
          <w:rFonts w:ascii="Times New Roman" w:hAnsi="Times New Roman" w:cs="Times New Roman"/>
          <w:lang w:val="en-GB"/>
        </w:rPr>
        <w:t>, N.</w:t>
      </w:r>
      <w:r w:rsidRPr="00017DCF">
        <w:rPr>
          <w:rFonts w:ascii="Times New Roman" w:hAnsi="Times New Roman" w:cs="Times New Roman"/>
          <w:lang w:val="en-GB"/>
        </w:rPr>
        <w:t xml:space="preserve"> 1994</w:t>
      </w:r>
      <w:r w:rsidR="000039B7" w:rsidRPr="00017DCF">
        <w:rPr>
          <w:rFonts w:ascii="Times New Roman" w:hAnsi="Times New Roman" w:cs="Times New Roman"/>
          <w:lang w:val="en-GB"/>
        </w:rPr>
        <w:t xml:space="preserve">. </w:t>
      </w:r>
      <w:proofErr w:type="spellStart"/>
      <w:r w:rsidR="000039B7" w:rsidRPr="00017DCF">
        <w:rPr>
          <w:rFonts w:ascii="Times New Roman" w:hAnsi="Times New Roman" w:cs="Times New Roman"/>
          <w:i/>
          <w:lang w:val="en-GB"/>
        </w:rPr>
        <w:t>Disclocating</w:t>
      </w:r>
      <w:proofErr w:type="spellEnd"/>
      <w:r w:rsidR="000039B7" w:rsidRPr="00017DCF">
        <w:rPr>
          <w:rFonts w:ascii="Times New Roman" w:hAnsi="Times New Roman" w:cs="Times New Roman"/>
          <w:i/>
          <w:lang w:val="en-GB"/>
        </w:rPr>
        <w:t xml:space="preserve"> Masculinity: Comparative Ethnographies</w:t>
      </w:r>
      <w:r w:rsidR="000039B7" w:rsidRPr="00017DCF">
        <w:rPr>
          <w:rFonts w:ascii="Times New Roman" w:hAnsi="Times New Roman" w:cs="Times New Roman"/>
          <w:lang w:val="en-GB"/>
        </w:rPr>
        <w:t>. London: Routledge.</w:t>
      </w:r>
    </w:p>
    <w:p w14:paraId="2C988B32" w14:textId="77777777" w:rsidR="00C41260" w:rsidRPr="00017DCF" w:rsidRDefault="00C41260" w:rsidP="00C95E89">
      <w:pPr>
        <w:spacing w:line="360" w:lineRule="auto"/>
        <w:ind w:left="397" w:hanging="397"/>
        <w:contextualSpacing/>
        <w:rPr>
          <w:rFonts w:ascii="Times New Roman" w:hAnsi="Times New Roman" w:cs="Times New Roman"/>
          <w:lang w:val="en-GB"/>
        </w:rPr>
      </w:pPr>
      <w:r w:rsidRPr="00017DCF">
        <w:rPr>
          <w:rFonts w:ascii="Times New Roman" w:hAnsi="Times New Roman" w:cs="Times New Roman"/>
          <w:lang w:val="en-GB"/>
        </w:rPr>
        <w:t xml:space="preserve">Featherstone, M. 1991. </w:t>
      </w:r>
      <w:r w:rsidRPr="00017DCF">
        <w:rPr>
          <w:rFonts w:ascii="Times New Roman" w:hAnsi="Times New Roman" w:cs="Times New Roman"/>
          <w:i/>
          <w:lang w:val="en-GB"/>
        </w:rPr>
        <w:t>Consumer Culture and Postmodernism</w:t>
      </w:r>
      <w:r w:rsidRPr="00017DCF">
        <w:rPr>
          <w:rFonts w:ascii="Times New Roman" w:hAnsi="Times New Roman" w:cs="Times New Roman"/>
          <w:lang w:val="en-GB"/>
        </w:rPr>
        <w:t>. London: Sage.</w:t>
      </w:r>
    </w:p>
    <w:p w14:paraId="7320B68E" w14:textId="52727DED" w:rsidR="00DA1F01" w:rsidRPr="00017DCF" w:rsidRDefault="00DA1F01" w:rsidP="00C95E89">
      <w:pPr>
        <w:spacing w:line="360" w:lineRule="auto"/>
        <w:ind w:left="397" w:hanging="397"/>
        <w:contextualSpacing/>
        <w:rPr>
          <w:rFonts w:ascii="Times New Roman" w:hAnsi="Times New Roman" w:cs="Times New Roman"/>
          <w:lang w:val="en-GB"/>
        </w:rPr>
      </w:pPr>
      <w:proofErr w:type="spellStart"/>
      <w:r w:rsidRPr="00017DCF">
        <w:rPr>
          <w:rFonts w:ascii="Times New Roman" w:hAnsi="Times New Roman" w:cs="Times New Roman"/>
          <w:lang w:val="en-GB"/>
        </w:rPr>
        <w:t>Finkelberg</w:t>
      </w:r>
      <w:proofErr w:type="spellEnd"/>
      <w:r w:rsidRPr="00017DCF">
        <w:rPr>
          <w:rFonts w:ascii="Times New Roman" w:hAnsi="Times New Roman" w:cs="Times New Roman"/>
          <w:lang w:val="en-GB"/>
        </w:rPr>
        <w:t xml:space="preserve">, M. 1998. </w:t>
      </w:r>
      <w:proofErr w:type="spellStart"/>
      <w:r w:rsidRPr="00017DCF">
        <w:rPr>
          <w:rFonts w:ascii="Times New Roman" w:hAnsi="Times New Roman" w:cs="Times New Roman"/>
          <w:lang w:val="en-GB"/>
        </w:rPr>
        <w:t>Timē</w:t>
      </w:r>
      <w:proofErr w:type="spellEnd"/>
      <w:r w:rsidRPr="00017DCF">
        <w:rPr>
          <w:rFonts w:ascii="Times New Roman" w:hAnsi="Times New Roman" w:cs="Times New Roman"/>
          <w:lang w:val="en-GB"/>
        </w:rPr>
        <w:t xml:space="preserve"> and </w:t>
      </w:r>
      <w:proofErr w:type="spellStart"/>
      <w:r w:rsidRPr="00017DCF">
        <w:rPr>
          <w:rFonts w:ascii="Times New Roman" w:hAnsi="Times New Roman" w:cs="Times New Roman"/>
          <w:lang w:val="en-GB"/>
        </w:rPr>
        <w:t>Aretē</w:t>
      </w:r>
      <w:proofErr w:type="spellEnd"/>
      <w:r w:rsidRPr="00017DCF">
        <w:rPr>
          <w:rFonts w:ascii="Times New Roman" w:hAnsi="Times New Roman" w:cs="Times New Roman"/>
          <w:lang w:val="en-GB"/>
        </w:rPr>
        <w:t xml:space="preserve"> in Homer. </w:t>
      </w:r>
      <w:proofErr w:type="gramStart"/>
      <w:r w:rsidRPr="00017DCF">
        <w:rPr>
          <w:rFonts w:ascii="Times New Roman" w:hAnsi="Times New Roman" w:cs="Times New Roman"/>
          <w:i/>
          <w:lang w:val="en-GB"/>
        </w:rPr>
        <w:t>The Classical Quarterly</w:t>
      </w:r>
      <w:r w:rsidRPr="00017DCF">
        <w:rPr>
          <w:rFonts w:ascii="Times New Roman" w:hAnsi="Times New Roman" w:cs="Times New Roman"/>
          <w:lang w:val="en-GB"/>
        </w:rPr>
        <w:t>, New Series</w:t>
      </w:r>
      <w:r w:rsidR="00C95E89">
        <w:rPr>
          <w:rFonts w:ascii="Times New Roman" w:hAnsi="Times New Roman" w:cs="Times New Roman"/>
          <w:lang w:val="en-GB"/>
        </w:rPr>
        <w:t>,</w:t>
      </w:r>
      <w:r w:rsidRPr="00017DCF">
        <w:rPr>
          <w:rFonts w:ascii="Times New Roman" w:hAnsi="Times New Roman" w:cs="Times New Roman"/>
          <w:lang w:val="en-GB"/>
        </w:rPr>
        <w:t xml:space="preserve"> 48 (1):</w:t>
      </w:r>
      <w:r w:rsidR="00C95E89">
        <w:rPr>
          <w:rFonts w:ascii="Times New Roman" w:hAnsi="Times New Roman" w:cs="Times New Roman"/>
          <w:lang w:val="en-GB"/>
        </w:rPr>
        <w:t xml:space="preserve"> </w:t>
      </w:r>
      <w:r w:rsidRPr="00017DCF">
        <w:rPr>
          <w:rFonts w:ascii="Times New Roman" w:hAnsi="Times New Roman" w:cs="Times New Roman"/>
          <w:lang w:val="en-GB"/>
        </w:rPr>
        <w:t>14</w:t>
      </w:r>
      <w:r w:rsidR="00C95E89">
        <w:rPr>
          <w:rFonts w:ascii="Times New Roman" w:hAnsi="Times New Roman" w:cs="Times New Roman"/>
          <w:lang w:val="en-GB"/>
        </w:rPr>
        <w:t>–</w:t>
      </w:r>
      <w:r w:rsidRPr="00017DCF">
        <w:rPr>
          <w:rFonts w:ascii="Times New Roman" w:hAnsi="Times New Roman" w:cs="Times New Roman"/>
          <w:lang w:val="en-GB"/>
        </w:rPr>
        <w:t>28.</w:t>
      </w:r>
      <w:proofErr w:type="gramEnd"/>
    </w:p>
    <w:p w14:paraId="49086B08" w14:textId="77777777" w:rsidR="00774056" w:rsidRPr="00017DCF" w:rsidRDefault="00774056" w:rsidP="00C95E89">
      <w:pPr>
        <w:spacing w:line="360" w:lineRule="auto"/>
        <w:ind w:left="397" w:hanging="397"/>
        <w:contextualSpacing/>
        <w:rPr>
          <w:rFonts w:ascii="Times New Roman" w:hAnsi="Times New Roman" w:cs="Times New Roman"/>
          <w:lang w:val="en-GB"/>
        </w:rPr>
      </w:pPr>
      <w:r w:rsidRPr="00017DCF">
        <w:rPr>
          <w:rFonts w:ascii="Times New Roman" w:hAnsi="Times New Roman" w:cs="Times New Roman"/>
          <w:lang w:val="en-GB"/>
        </w:rPr>
        <w:t xml:space="preserve">Flanagan, R. 2013. </w:t>
      </w:r>
      <w:r w:rsidRPr="00017DCF">
        <w:rPr>
          <w:rFonts w:ascii="Times New Roman" w:hAnsi="Times New Roman" w:cs="Times New Roman"/>
          <w:i/>
          <w:lang w:val="en-GB"/>
        </w:rPr>
        <w:t>The Narrow Road to the Deep North</w:t>
      </w:r>
      <w:r w:rsidRPr="00017DCF">
        <w:rPr>
          <w:rFonts w:ascii="Times New Roman" w:hAnsi="Times New Roman" w:cs="Times New Roman"/>
          <w:lang w:val="en-GB"/>
        </w:rPr>
        <w:t xml:space="preserve">. London: </w:t>
      </w:r>
      <w:proofErr w:type="spellStart"/>
      <w:r w:rsidRPr="00017DCF">
        <w:rPr>
          <w:rFonts w:ascii="Times New Roman" w:hAnsi="Times New Roman" w:cs="Times New Roman"/>
          <w:lang w:val="en-GB"/>
        </w:rPr>
        <w:t>Chatto</w:t>
      </w:r>
      <w:proofErr w:type="spellEnd"/>
      <w:r w:rsidRPr="00017DCF">
        <w:rPr>
          <w:rFonts w:ascii="Times New Roman" w:hAnsi="Times New Roman" w:cs="Times New Roman"/>
          <w:lang w:val="en-GB"/>
        </w:rPr>
        <w:t xml:space="preserve"> &amp; </w:t>
      </w:r>
      <w:proofErr w:type="spellStart"/>
      <w:r w:rsidRPr="00017DCF">
        <w:rPr>
          <w:rFonts w:ascii="Times New Roman" w:hAnsi="Times New Roman" w:cs="Times New Roman"/>
          <w:lang w:val="en-GB"/>
        </w:rPr>
        <w:t>Windus</w:t>
      </w:r>
      <w:proofErr w:type="spellEnd"/>
      <w:r w:rsidRPr="00017DCF">
        <w:rPr>
          <w:rFonts w:ascii="Times New Roman" w:hAnsi="Times New Roman" w:cs="Times New Roman"/>
          <w:lang w:val="en-GB"/>
        </w:rPr>
        <w:t>.</w:t>
      </w:r>
    </w:p>
    <w:p w14:paraId="62FEFF13" w14:textId="261D7086" w:rsidR="00366F65" w:rsidRPr="00017DCF" w:rsidRDefault="00B771F2" w:rsidP="00C95E89">
      <w:pPr>
        <w:spacing w:line="360" w:lineRule="auto"/>
        <w:ind w:left="397" w:hanging="397"/>
        <w:contextualSpacing/>
        <w:rPr>
          <w:rFonts w:ascii="Times New Roman" w:hAnsi="Times New Roman" w:cs="Times New Roman"/>
          <w:lang w:val="en-GB"/>
        </w:rPr>
      </w:pPr>
      <w:proofErr w:type="spellStart"/>
      <w:proofErr w:type="gramStart"/>
      <w:r w:rsidRPr="00017DCF">
        <w:rPr>
          <w:rFonts w:ascii="Times New Roman" w:hAnsi="Times New Roman" w:cs="Times New Roman"/>
          <w:lang w:val="en-GB"/>
        </w:rPr>
        <w:t>Gero</w:t>
      </w:r>
      <w:proofErr w:type="spellEnd"/>
      <w:r w:rsidRPr="00017DCF">
        <w:rPr>
          <w:rFonts w:ascii="Times New Roman" w:hAnsi="Times New Roman" w:cs="Times New Roman"/>
          <w:lang w:val="en-GB"/>
        </w:rPr>
        <w:t xml:space="preserve">, J. </w:t>
      </w:r>
      <w:r w:rsidR="00C95E89">
        <w:rPr>
          <w:rFonts w:ascii="Times New Roman" w:hAnsi="Times New Roman" w:cs="Times New Roman"/>
          <w:lang w:val="en-GB"/>
        </w:rPr>
        <w:t>&amp;</w:t>
      </w:r>
      <w:r w:rsidR="00C95E89" w:rsidRPr="00017DCF">
        <w:rPr>
          <w:rFonts w:ascii="Times New Roman" w:hAnsi="Times New Roman" w:cs="Times New Roman"/>
          <w:lang w:val="en-GB"/>
        </w:rPr>
        <w:t xml:space="preserve"> </w:t>
      </w:r>
      <w:proofErr w:type="spellStart"/>
      <w:r w:rsidRPr="00017DCF">
        <w:rPr>
          <w:rFonts w:ascii="Times New Roman" w:hAnsi="Times New Roman" w:cs="Times New Roman"/>
          <w:lang w:val="en-GB"/>
        </w:rPr>
        <w:t>Conkey</w:t>
      </w:r>
      <w:proofErr w:type="spellEnd"/>
      <w:r w:rsidRPr="00017DCF">
        <w:rPr>
          <w:rFonts w:ascii="Times New Roman" w:hAnsi="Times New Roman" w:cs="Times New Roman"/>
          <w:lang w:val="en-GB"/>
        </w:rPr>
        <w:t>, M. 1991.</w:t>
      </w:r>
      <w:proofErr w:type="gramEnd"/>
      <w:r w:rsidRPr="00017DCF">
        <w:rPr>
          <w:rFonts w:ascii="Times New Roman" w:hAnsi="Times New Roman" w:cs="Times New Roman"/>
          <w:lang w:val="en-GB"/>
        </w:rPr>
        <w:t xml:space="preserve"> </w:t>
      </w:r>
      <w:r w:rsidRPr="00017DCF">
        <w:rPr>
          <w:rFonts w:ascii="Times New Roman" w:hAnsi="Times New Roman" w:cs="Times New Roman"/>
          <w:i/>
          <w:lang w:val="en-GB"/>
        </w:rPr>
        <w:t>Engendering Archaeology: Women and Prehistory</w:t>
      </w:r>
      <w:r w:rsidRPr="00017DCF">
        <w:rPr>
          <w:rFonts w:ascii="Times New Roman" w:hAnsi="Times New Roman" w:cs="Times New Roman"/>
          <w:lang w:val="en-GB"/>
        </w:rPr>
        <w:t xml:space="preserve">. Cambridge </w:t>
      </w:r>
      <w:r w:rsidR="00C95E89">
        <w:rPr>
          <w:rFonts w:ascii="Times New Roman" w:hAnsi="Times New Roman" w:cs="Times New Roman"/>
          <w:lang w:val="en-GB"/>
        </w:rPr>
        <w:t>(MA)</w:t>
      </w:r>
      <w:r w:rsidRPr="00017DCF">
        <w:rPr>
          <w:rFonts w:ascii="Times New Roman" w:hAnsi="Times New Roman" w:cs="Times New Roman"/>
          <w:lang w:val="en-GB"/>
        </w:rPr>
        <w:t>: Blackwell.</w:t>
      </w:r>
    </w:p>
    <w:p w14:paraId="6B8C6EB1" w14:textId="77777777" w:rsidR="003102A6" w:rsidRPr="00017DCF" w:rsidRDefault="003102A6" w:rsidP="00C95E89">
      <w:pPr>
        <w:spacing w:line="360" w:lineRule="auto"/>
        <w:ind w:left="397" w:hanging="397"/>
        <w:contextualSpacing/>
        <w:rPr>
          <w:rFonts w:ascii="Times New Roman" w:hAnsi="Times New Roman" w:cs="Times New Roman"/>
          <w:lang w:val="en-GB"/>
        </w:rPr>
      </w:pPr>
      <w:r w:rsidRPr="00017DCF">
        <w:rPr>
          <w:rFonts w:ascii="Times New Roman" w:hAnsi="Times New Roman" w:cs="Times New Roman"/>
          <w:lang w:val="en-GB"/>
        </w:rPr>
        <w:lastRenderedPageBreak/>
        <w:t>Moore, H. 1994.</w:t>
      </w:r>
      <w:r w:rsidR="003874EB" w:rsidRPr="00017DCF">
        <w:rPr>
          <w:rFonts w:ascii="Times New Roman" w:hAnsi="Times New Roman" w:cs="Times New Roman"/>
          <w:lang w:val="en-GB"/>
        </w:rPr>
        <w:t xml:space="preserve"> </w:t>
      </w:r>
      <w:r w:rsidR="003874EB" w:rsidRPr="00017DCF">
        <w:rPr>
          <w:rFonts w:ascii="Times New Roman" w:hAnsi="Times New Roman" w:cs="Times New Roman"/>
          <w:i/>
          <w:lang w:val="en-GB"/>
        </w:rPr>
        <w:t xml:space="preserve">A </w:t>
      </w:r>
      <w:r w:rsidR="003874EB" w:rsidRPr="00017DCF">
        <w:rPr>
          <w:rFonts w:ascii="Times New Roman" w:hAnsi="Times New Roman" w:cs="Times New Roman"/>
          <w:bCs/>
          <w:i/>
          <w:lang w:val="en-GB"/>
        </w:rPr>
        <w:t>Passion for Difference</w:t>
      </w:r>
      <w:r w:rsidR="003874EB" w:rsidRPr="00017DCF">
        <w:rPr>
          <w:rFonts w:ascii="Times New Roman" w:hAnsi="Times New Roman" w:cs="Times New Roman"/>
          <w:i/>
          <w:lang w:val="en-GB"/>
        </w:rPr>
        <w:t>: Essays in Anthropology and Gende</w:t>
      </w:r>
      <w:r w:rsidR="003874EB" w:rsidRPr="00017DCF">
        <w:rPr>
          <w:rFonts w:ascii="Times New Roman" w:hAnsi="Times New Roman" w:cs="Times New Roman"/>
          <w:lang w:val="en-GB"/>
        </w:rPr>
        <w:t>r. Cambridge: Polity Press.</w:t>
      </w:r>
    </w:p>
    <w:p w14:paraId="057F60A2" w14:textId="12A5C915" w:rsidR="001E3D10" w:rsidRPr="00017DCF" w:rsidRDefault="00A84177" w:rsidP="00C95E89">
      <w:pPr>
        <w:spacing w:line="360" w:lineRule="auto"/>
        <w:ind w:left="397" w:hanging="397"/>
        <w:contextualSpacing/>
        <w:rPr>
          <w:rFonts w:ascii="Times New Roman" w:hAnsi="Times New Roman" w:cs="Times New Roman"/>
          <w:lang w:val="en-GB"/>
        </w:rPr>
      </w:pPr>
      <w:r w:rsidRPr="00017DCF">
        <w:rPr>
          <w:rFonts w:ascii="Times New Roman" w:hAnsi="Times New Roman" w:cs="Times New Roman"/>
          <w:lang w:val="en-GB"/>
        </w:rPr>
        <w:t xml:space="preserve">Osborne, R. 1996. </w:t>
      </w:r>
      <w:r w:rsidRPr="00017DCF">
        <w:rPr>
          <w:rFonts w:ascii="Times New Roman" w:hAnsi="Times New Roman" w:cs="Times New Roman"/>
          <w:i/>
          <w:lang w:val="en-GB"/>
        </w:rPr>
        <w:t>Greece in the Making, 1200</w:t>
      </w:r>
      <w:r w:rsidR="00C95E89">
        <w:rPr>
          <w:rFonts w:ascii="Times New Roman" w:hAnsi="Times New Roman" w:cs="Times New Roman"/>
          <w:i/>
          <w:lang w:val="en-GB"/>
        </w:rPr>
        <w:t>–</w:t>
      </w:r>
      <w:r w:rsidRPr="00017DCF">
        <w:rPr>
          <w:rFonts w:ascii="Times New Roman" w:hAnsi="Times New Roman" w:cs="Times New Roman"/>
          <w:i/>
          <w:lang w:val="en-GB"/>
        </w:rPr>
        <w:t>479 B.C.</w:t>
      </w:r>
      <w:r w:rsidRPr="00017DCF">
        <w:rPr>
          <w:rFonts w:ascii="Times New Roman" w:hAnsi="Times New Roman" w:cs="Times New Roman"/>
          <w:lang w:val="en-GB"/>
        </w:rPr>
        <w:t xml:space="preserve"> London: Psychology Press.</w:t>
      </w:r>
    </w:p>
    <w:p w14:paraId="02AAE2B9" w14:textId="77777777" w:rsidR="003102A6" w:rsidRPr="00017DCF" w:rsidRDefault="003102A6" w:rsidP="00C95E89">
      <w:pPr>
        <w:spacing w:line="360" w:lineRule="auto"/>
        <w:ind w:left="397" w:hanging="397"/>
        <w:contextualSpacing/>
        <w:rPr>
          <w:rFonts w:ascii="Times New Roman" w:hAnsi="Times New Roman" w:cs="Times New Roman"/>
          <w:lang w:val="en-GB"/>
        </w:rPr>
      </w:pPr>
      <w:r w:rsidRPr="00017DCF">
        <w:rPr>
          <w:rFonts w:ascii="Times New Roman" w:hAnsi="Times New Roman" w:cs="Times New Roman"/>
          <w:lang w:val="en-GB"/>
        </w:rPr>
        <w:t>Shilling</w:t>
      </w:r>
      <w:r w:rsidR="00C41260" w:rsidRPr="00017DCF">
        <w:rPr>
          <w:rFonts w:ascii="Times New Roman" w:hAnsi="Times New Roman" w:cs="Times New Roman"/>
          <w:lang w:val="en-GB"/>
        </w:rPr>
        <w:t>, C.</w:t>
      </w:r>
      <w:r w:rsidRPr="00017DCF">
        <w:rPr>
          <w:rFonts w:ascii="Times New Roman" w:hAnsi="Times New Roman" w:cs="Times New Roman"/>
          <w:lang w:val="en-GB"/>
        </w:rPr>
        <w:t xml:space="preserve"> 1993.</w:t>
      </w:r>
      <w:r w:rsidR="00C41260" w:rsidRPr="00017DCF">
        <w:rPr>
          <w:rFonts w:ascii="Times New Roman" w:hAnsi="Times New Roman" w:cs="Times New Roman"/>
          <w:lang w:val="en-GB"/>
        </w:rPr>
        <w:t xml:space="preserve"> </w:t>
      </w:r>
      <w:r w:rsidR="00C41260" w:rsidRPr="00017DCF">
        <w:rPr>
          <w:rFonts w:ascii="Times New Roman" w:hAnsi="Times New Roman" w:cs="Times New Roman"/>
          <w:i/>
          <w:lang w:val="en-GB"/>
        </w:rPr>
        <w:t>The Body and Social Theory</w:t>
      </w:r>
      <w:r w:rsidR="00C41260" w:rsidRPr="00017DCF">
        <w:rPr>
          <w:rFonts w:ascii="Times New Roman" w:hAnsi="Times New Roman" w:cs="Times New Roman"/>
          <w:lang w:val="en-GB"/>
        </w:rPr>
        <w:t>. London: Sage.</w:t>
      </w:r>
    </w:p>
    <w:p w14:paraId="70C88BB3" w14:textId="77777777" w:rsidR="00C95E89" w:rsidRPr="00017DCF" w:rsidRDefault="00C95E89" w:rsidP="00C95E89">
      <w:pPr>
        <w:spacing w:line="360" w:lineRule="auto"/>
        <w:ind w:left="397" w:hanging="397"/>
        <w:contextualSpacing/>
        <w:rPr>
          <w:rFonts w:ascii="Times New Roman" w:hAnsi="Times New Roman" w:cs="Times New Roman"/>
          <w:lang w:val="en-GB"/>
        </w:rPr>
      </w:pPr>
      <w:r w:rsidRPr="00017DCF">
        <w:rPr>
          <w:rFonts w:ascii="Times New Roman" w:hAnsi="Times New Roman" w:cs="Times New Roman"/>
          <w:lang w:val="en-GB"/>
        </w:rPr>
        <w:t xml:space="preserve">Snodgrass, A.M. 1974. </w:t>
      </w:r>
      <w:proofErr w:type="gramStart"/>
      <w:r w:rsidRPr="00017DCF">
        <w:rPr>
          <w:rFonts w:ascii="Times New Roman" w:hAnsi="Times New Roman" w:cs="Times New Roman"/>
          <w:lang w:val="en-GB"/>
        </w:rPr>
        <w:t>An</w:t>
      </w:r>
      <w:proofErr w:type="gramEnd"/>
      <w:r w:rsidRPr="00017DCF">
        <w:rPr>
          <w:rFonts w:ascii="Times New Roman" w:hAnsi="Times New Roman" w:cs="Times New Roman"/>
          <w:lang w:val="en-GB"/>
        </w:rPr>
        <w:t xml:space="preserve"> Historical Homeric Society? </w:t>
      </w:r>
      <w:r w:rsidRPr="00017DCF">
        <w:rPr>
          <w:rFonts w:ascii="Times New Roman" w:hAnsi="Times New Roman" w:cs="Times New Roman"/>
          <w:i/>
          <w:lang w:val="en-GB"/>
        </w:rPr>
        <w:t>Journal of Hellenic Studies</w:t>
      </w:r>
      <w:r>
        <w:rPr>
          <w:rFonts w:ascii="Times New Roman" w:hAnsi="Times New Roman" w:cs="Times New Roman"/>
          <w:i/>
          <w:lang w:val="en-GB"/>
        </w:rPr>
        <w:t>,</w:t>
      </w:r>
      <w:r w:rsidRPr="00017DCF">
        <w:rPr>
          <w:rFonts w:ascii="Times New Roman" w:hAnsi="Times New Roman" w:cs="Times New Roman"/>
          <w:lang w:val="en-GB"/>
        </w:rPr>
        <w:t xml:space="preserve"> 94:</w:t>
      </w:r>
      <w:r>
        <w:rPr>
          <w:rFonts w:ascii="Times New Roman" w:hAnsi="Times New Roman" w:cs="Times New Roman"/>
          <w:lang w:val="en-GB"/>
        </w:rPr>
        <w:t xml:space="preserve"> 114–</w:t>
      </w:r>
      <w:r w:rsidRPr="00017DCF">
        <w:rPr>
          <w:rFonts w:ascii="Times New Roman" w:hAnsi="Times New Roman" w:cs="Times New Roman"/>
          <w:lang w:val="en-GB"/>
        </w:rPr>
        <w:t>125.</w:t>
      </w:r>
    </w:p>
    <w:p w14:paraId="58A45095" w14:textId="043F7CDC" w:rsidR="00B771F2" w:rsidRPr="00017DCF" w:rsidRDefault="00B771F2" w:rsidP="00C95E89">
      <w:pPr>
        <w:spacing w:line="360" w:lineRule="auto"/>
        <w:ind w:left="397" w:hanging="397"/>
        <w:contextualSpacing/>
        <w:rPr>
          <w:rFonts w:ascii="Times New Roman" w:hAnsi="Times New Roman" w:cs="Times New Roman"/>
          <w:lang w:val="en-GB"/>
        </w:rPr>
      </w:pPr>
      <w:proofErr w:type="gramStart"/>
      <w:r w:rsidRPr="00017DCF">
        <w:rPr>
          <w:rFonts w:ascii="Times New Roman" w:hAnsi="Times New Roman" w:cs="Times New Roman"/>
          <w:lang w:val="en-GB"/>
        </w:rPr>
        <w:t xml:space="preserve">Sofaer, J. </w:t>
      </w:r>
      <w:r w:rsidR="00C95E89">
        <w:rPr>
          <w:rFonts w:ascii="Times New Roman" w:hAnsi="Times New Roman" w:cs="Times New Roman"/>
          <w:lang w:val="en-GB"/>
        </w:rPr>
        <w:t>&amp;</w:t>
      </w:r>
      <w:r w:rsidR="00C95E89" w:rsidRPr="00017DCF">
        <w:rPr>
          <w:rFonts w:ascii="Times New Roman" w:hAnsi="Times New Roman" w:cs="Times New Roman"/>
          <w:lang w:val="en-GB"/>
        </w:rPr>
        <w:t xml:space="preserve"> </w:t>
      </w:r>
      <w:proofErr w:type="spellStart"/>
      <w:r w:rsidRPr="00017DCF">
        <w:rPr>
          <w:rFonts w:ascii="Times New Roman" w:hAnsi="Times New Roman" w:cs="Times New Roman"/>
          <w:lang w:val="en-GB"/>
        </w:rPr>
        <w:t>Sørensen</w:t>
      </w:r>
      <w:proofErr w:type="spellEnd"/>
      <w:r w:rsidRPr="00017DCF">
        <w:rPr>
          <w:rFonts w:ascii="Times New Roman" w:hAnsi="Times New Roman" w:cs="Times New Roman"/>
          <w:lang w:val="en-GB"/>
        </w:rPr>
        <w:t xml:space="preserve">, M.L.S. </w:t>
      </w:r>
      <w:r w:rsidR="00F5413F" w:rsidRPr="00017DCF">
        <w:rPr>
          <w:rFonts w:ascii="Times New Roman" w:hAnsi="Times New Roman" w:cs="Times New Roman"/>
          <w:lang w:val="en-GB"/>
        </w:rPr>
        <w:t>2013.</w:t>
      </w:r>
      <w:proofErr w:type="gramEnd"/>
      <w:r w:rsidR="00F5413F" w:rsidRPr="00017DCF">
        <w:rPr>
          <w:rFonts w:ascii="Times New Roman" w:hAnsi="Times New Roman" w:cs="Times New Roman"/>
          <w:lang w:val="en-GB"/>
        </w:rPr>
        <w:t xml:space="preserve"> </w:t>
      </w:r>
      <w:proofErr w:type="gramStart"/>
      <w:r w:rsidRPr="00017DCF">
        <w:rPr>
          <w:rFonts w:ascii="Times New Roman" w:hAnsi="Times New Roman" w:cs="Times New Roman"/>
          <w:lang w:val="en-GB"/>
        </w:rPr>
        <w:t>Death and Gender</w:t>
      </w:r>
      <w:r w:rsidR="00C95E89">
        <w:rPr>
          <w:rFonts w:ascii="Times New Roman" w:hAnsi="Times New Roman" w:cs="Times New Roman"/>
          <w:lang w:val="en-GB"/>
        </w:rPr>
        <w:t>.</w:t>
      </w:r>
      <w:proofErr w:type="gramEnd"/>
      <w:r w:rsidR="00C95E89">
        <w:rPr>
          <w:rFonts w:ascii="Times New Roman" w:hAnsi="Times New Roman" w:cs="Times New Roman"/>
          <w:lang w:val="en-GB"/>
        </w:rPr>
        <w:t xml:space="preserve"> I</w:t>
      </w:r>
      <w:r w:rsidR="00F5413F" w:rsidRPr="00017DCF">
        <w:rPr>
          <w:rFonts w:ascii="Times New Roman" w:hAnsi="Times New Roman" w:cs="Times New Roman"/>
          <w:lang w:val="en-GB"/>
        </w:rPr>
        <w:t>n</w:t>
      </w:r>
      <w:r w:rsidR="00A05C5F">
        <w:rPr>
          <w:rFonts w:ascii="Times New Roman" w:hAnsi="Times New Roman" w:cs="Times New Roman"/>
          <w:lang w:val="en-GB"/>
        </w:rPr>
        <w:t>:</w:t>
      </w:r>
      <w:r w:rsidR="00F5413F" w:rsidRPr="00017DCF">
        <w:rPr>
          <w:rFonts w:ascii="Times New Roman" w:hAnsi="Times New Roman" w:cs="Times New Roman"/>
          <w:lang w:val="en-GB"/>
        </w:rPr>
        <w:t xml:space="preserve"> S. </w:t>
      </w:r>
      <w:proofErr w:type="spellStart"/>
      <w:r w:rsidR="00F5413F" w:rsidRPr="00017DCF">
        <w:rPr>
          <w:rFonts w:ascii="Times New Roman" w:hAnsi="Times New Roman" w:cs="Times New Roman"/>
          <w:lang w:val="en-GB"/>
        </w:rPr>
        <w:t>Tarlow</w:t>
      </w:r>
      <w:proofErr w:type="spellEnd"/>
      <w:r w:rsidR="00F5413F" w:rsidRPr="00017DCF">
        <w:rPr>
          <w:rFonts w:ascii="Times New Roman" w:hAnsi="Times New Roman" w:cs="Times New Roman"/>
          <w:lang w:val="en-GB"/>
        </w:rPr>
        <w:t xml:space="preserve"> </w:t>
      </w:r>
      <w:r w:rsidR="00C95E89">
        <w:rPr>
          <w:rFonts w:ascii="Times New Roman" w:hAnsi="Times New Roman" w:cs="Times New Roman"/>
          <w:lang w:val="en-GB"/>
        </w:rPr>
        <w:t>&amp;</w:t>
      </w:r>
      <w:r w:rsidR="00C95E89" w:rsidRPr="00017DCF">
        <w:rPr>
          <w:rFonts w:ascii="Times New Roman" w:hAnsi="Times New Roman" w:cs="Times New Roman"/>
          <w:lang w:val="en-GB"/>
        </w:rPr>
        <w:t xml:space="preserve"> </w:t>
      </w:r>
      <w:r w:rsidR="00F5413F" w:rsidRPr="00017DCF">
        <w:rPr>
          <w:rFonts w:ascii="Times New Roman" w:hAnsi="Times New Roman" w:cs="Times New Roman"/>
          <w:lang w:val="en-GB"/>
        </w:rPr>
        <w:t>L. Nilsson-Stutz</w:t>
      </w:r>
      <w:r w:rsidR="00A05C5F">
        <w:rPr>
          <w:rFonts w:ascii="Times New Roman" w:hAnsi="Times New Roman" w:cs="Times New Roman"/>
          <w:lang w:val="en-GB"/>
        </w:rPr>
        <w:t>,</w:t>
      </w:r>
      <w:r w:rsidR="00F5413F" w:rsidRPr="00017DCF">
        <w:rPr>
          <w:rFonts w:ascii="Times New Roman" w:hAnsi="Times New Roman" w:cs="Times New Roman"/>
          <w:lang w:val="en-GB"/>
        </w:rPr>
        <w:t xml:space="preserve"> </w:t>
      </w:r>
      <w:proofErr w:type="gramStart"/>
      <w:r w:rsidR="00C95E89">
        <w:rPr>
          <w:rFonts w:ascii="Times New Roman" w:hAnsi="Times New Roman" w:cs="Times New Roman"/>
          <w:lang w:val="en-GB"/>
        </w:rPr>
        <w:t>e</w:t>
      </w:r>
      <w:r w:rsidR="00F5413F" w:rsidRPr="00017DCF">
        <w:rPr>
          <w:rFonts w:ascii="Times New Roman" w:hAnsi="Times New Roman" w:cs="Times New Roman"/>
          <w:lang w:val="en-GB"/>
        </w:rPr>
        <w:t>ds</w:t>
      </w:r>
      <w:proofErr w:type="gramEnd"/>
      <w:r w:rsidR="00C95E89">
        <w:rPr>
          <w:rFonts w:ascii="Times New Roman" w:hAnsi="Times New Roman" w:cs="Times New Roman"/>
          <w:lang w:val="en-GB"/>
        </w:rPr>
        <w:t>.</w:t>
      </w:r>
      <w:r w:rsidR="00F5413F" w:rsidRPr="00017DCF">
        <w:rPr>
          <w:rFonts w:ascii="Times New Roman" w:hAnsi="Times New Roman" w:cs="Times New Roman"/>
          <w:lang w:val="en-GB"/>
        </w:rPr>
        <w:t xml:space="preserve"> </w:t>
      </w:r>
      <w:proofErr w:type="gramStart"/>
      <w:r w:rsidR="00C95E89">
        <w:rPr>
          <w:rFonts w:ascii="Times New Roman" w:hAnsi="Times New Roman" w:cs="Times New Roman"/>
          <w:i/>
          <w:lang w:val="en-GB"/>
        </w:rPr>
        <w:t xml:space="preserve">The </w:t>
      </w:r>
      <w:r w:rsidR="00F5413F" w:rsidRPr="00017DCF">
        <w:rPr>
          <w:rFonts w:ascii="Times New Roman" w:hAnsi="Times New Roman" w:cs="Times New Roman"/>
          <w:i/>
          <w:iCs/>
          <w:lang w:val="en-GB"/>
        </w:rPr>
        <w:t>Oxford Handbook of the Archaeology of Death and Burial.</w:t>
      </w:r>
      <w:proofErr w:type="gramEnd"/>
      <w:r w:rsidR="00F5413F" w:rsidRPr="00017DCF">
        <w:rPr>
          <w:rFonts w:ascii="Times New Roman" w:hAnsi="Times New Roman" w:cs="Times New Roman"/>
          <w:lang w:val="en-GB"/>
        </w:rPr>
        <w:t xml:space="preserve"> Oxford: Oxford University Press, </w:t>
      </w:r>
      <w:r w:rsidRPr="00017DCF">
        <w:rPr>
          <w:rFonts w:ascii="Times New Roman" w:hAnsi="Times New Roman" w:cs="Times New Roman"/>
          <w:lang w:val="en-GB"/>
        </w:rPr>
        <w:t>pp.</w:t>
      </w:r>
      <w:r w:rsidR="00272CC1">
        <w:rPr>
          <w:rFonts w:ascii="Times New Roman" w:hAnsi="Times New Roman" w:cs="Times New Roman"/>
          <w:lang w:val="en-GB"/>
        </w:rPr>
        <w:t xml:space="preserve"> </w:t>
      </w:r>
      <w:r w:rsidRPr="00017DCF">
        <w:rPr>
          <w:rFonts w:ascii="Times New Roman" w:hAnsi="Times New Roman" w:cs="Times New Roman"/>
          <w:lang w:val="en-GB"/>
        </w:rPr>
        <w:t>527</w:t>
      </w:r>
      <w:r w:rsidR="00272CC1">
        <w:rPr>
          <w:rFonts w:ascii="Times New Roman" w:hAnsi="Times New Roman" w:cs="Times New Roman"/>
          <w:lang w:val="en-GB"/>
        </w:rPr>
        <w:t>–</w:t>
      </w:r>
      <w:r w:rsidRPr="00017DCF">
        <w:rPr>
          <w:rFonts w:ascii="Times New Roman" w:hAnsi="Times New Roman" w:cs="Times New Roman"/>
          <w:lang w:val="en-GB"/>
        </w:rPr>
        <w:t>41.</w:t>
      </w:r>
    </w:p>
    <w:p w14:paraId="49F90AE6" w14:textId="77777777" w:rsidR="008F5311" w:rsidRPr="000E4930" w:rsidRDefault="008F5311" w:rsidP="008F5311">
      <w:pPr>
        <w:spacing w:line="360" w:lineRule="auto"/>
        <w:ind w:left="397" w:hanging="397"/>
        <w:rPr>
          <w:rFonts w:ascii="Times New Roman" w:hAnsi="Times New Roman"/>
          <w:lang w:val="en-GB"/>
        </w:rPr>
      </w:pPr>
      <w:proofErr w:type="spellStart"/>
      <w:r w:rsidRPr="000E4930">
        <w:rPr>
          <w:rFonts w:ascii="Times New Roman" w:hAnsi="Times New Roman"/>
          <w:bCs/>
          <w:lang w:val="en-GB"/>
        </w:rPr>
        <w:t>Treherne</w:t>
      </w:r>
      <w:proofErr w:type="spellEnd"/>
      <w:r w:rsidRPr="000E4930">
        <w:rPr>
          <w:rFonts w:ascii="Times New Roman" w:hAnsi="Times New Roman"/>
          <w:bCs/>
          <w:lang w:val="en-GB"/>
        </w:rPr>
        <w:t>, P</w:t>
      </w:r>
      <w:r>
        <w:rPr>
          <w:rFonts w:ascii="Times New Roman" w:hAnsi="Times New Roman"/>
          <w:bCs/>
          <w:lang w:val="en-GB"/>
        </w:rPr>
        <w:t>.</w:t>
      </w:r>
      <w:r w:rsidRPr="000E4930">
        <w:rPr>
          <w:rFonts w:ascii="Times New Roman" w:hAnsi="Times New Roman"/>
          <w:bCs/>
          <w:lang w:val="en-GB"/>
        </w:rPr>
        <w:t xml:space="preserve"> 1995. The Warrior’s Beauty: The Masculine Body and Self-Identity in Bronze Age Europe. </w:t>
      </w:r>
      <w:r w:rsidRPr="000E4930">
        <w:rPr>
          <w:rFonts w:ascii="Times New Roman" w:hAnsi="Times New Roman"/>
          <w:bCs/>
          <w:i/>
          <w:lang w:val="en-GB"/>
        </w:rPr>
        <w:t>Journal of European Archaeology,</w:t>
      </w:r>
      <w:r w:rsidRPr="000E4930">
        <w:rPr>
          <w:rFonts w:ascii="Times New Roman" w:hAnsi="Times New Roman"/>
          <w:bCs/>
          <w:lang w:val="en-GB"/>
        </w:rPr>
        <w:t xml:space="preserve"> 3(1)</w:t>
      </w:r>
      <w:r>
        <w:rPr>
          <w:rFonts w:ascii="Times New Roman" w:hAnsi="Times New Roman"/>
          <w:bCs/>
          <w:lang w:val="en-GB"/>
        </w:rPr>
        <w:t xml:space="preserve">: </w:t>
      </w:r>
      <w:r w:rsidRPr="000E4930">
        <w:rPr>
          <w:rFonts w:ascii="Times New Roman" w:hAnsi="Times New Roman"/>
          <w:bCs/>
          <w:lang w:val="en-GB"/>
        </w:rPr>
        <w:t>105</w:t>
      </w:r>
      <w:r>
        <w:rPr>
          <w:rFonts w:ascii="Times New Roman" w:hAnsi="Times New Roman"/>
          <w:bCs/>
          <w:lang w:val="en-GB"/>
        </w:rPr>
        <w:t>–</w:t>
      </w:r>
      <w:r w:rsidRPr="000E4930">
        <w:rPr>
          <w:rFonts w:ascii="Times New Roman" w:hAnsi="Times New Roman"/>
          <w:bCs/>
          <w:lang w:val="en-GB"/>
        </w:rPr>
        <w:t>44.</w:t>
      </w:r>
    </w:p>
    <w:p w14:paraId="722406B9" w14:textId="77777777" w:rsidR="008A0474" w:rsidRPr="00017DCF" w:rsidRDefault="008A0474" w:rsidP="00C95E89">
      <w:pPr>
        <w:spacing w:line="360" w:lineRule="auto"/>
        <w:ind w:left="397" w:hanging="397"/>
        <w:contextualSpacing/>
        <w:rPr>
          <w:rFonts w:ascii="Times New Roman" w:hAnsi="Times New Roman" w:cs="Times New Roman"/>
          <w:lang w:val="en-GB"/>
        </w:rPr>
      </w:pPr>
    </w:p>
    <w:sectPr w:rsidR="008A0474" w:rsidRPr="00017DCF" w:rsidSect="00A01F5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D1B"/>
    <w:rsid w:val="00002FD7"/>
    <w:rsid w:val="000039B7"/>
    <w:rsid w:val="0000766A"/>
    <w:rsid w:val="00016F00"/>
    <w:rsid w:val="00017DCF"/>
    <w:rsid w:val="00027E62"/>
    <w:rsid w:val="000323AE"/>
    <w:rsid w:val="00033906"/>
    <w:rsid w:val="00045FBF"/>
    <w:rsid w:val="00070953"/>
    <w:rsid w:val="000864A8"/>
    <w:rsid w:val="000903CC"/>
    <w:rsid w:val="00093CC2"/>
    <w:rsid w:val="0009708C"/>
    <w:rsid w:val="000A4BCE"/>
    <w:rsid w:val="000B4075"/>
    <w:rsid w:val="000C1380"/>
    <w:rsid w:val="000D31FE"/>
    <w:rsid w:val="000D3C6E"/>
    <w:rsid w:val="000E5408"/>
    <w:rsid w:val="00101A44"/>
    <w:rsid w:val="00132886"/>
    <w:rsid w:val="0014457F"/>
    <w:rsid w:val="00186655"/>
    <w:rsid w:val="001A0F18"/>
    <w:rsid w:val="001A7AE9"/>
    <w:rsid w:val="001E3D10"/>
    <w:rsid w:val="001F2D26"/>
    <w:rsid w:val="001F3C3F"/>
    <w:rsid w:val="00200B5B"/>
    <w:rsid w:val="00210F91"/>
    <w:rsid w:val="00216AE2"/>
    <w:rsid w:val="00233868"/>
    <w:rsid w:val="002339F1"/>
    <w:rsid w:val="00240C8A"/>
    <w:rsid w:val="00254D48"/>
    <w:rsid w:val="002619D7"/>
    <w:rsid w:val="00272CC1"/>
    <w:rsid w:val="00273C41"/>
    <w:rsid w:val="002877CD"/>
    <w:rsid w:val="002949BA"/>
    <w:rsid w:val="002D01B3"/>
    <w:rsid w:val="002D3643"/>
    <w:rsid w:val="002D64D6"/>
    <w:rsid w:val="002E50E3"/>
    <w:rsid w:val="002E52F9"/>
    <w:rsid w:val="002F6D2F"/>
    <w:rsid w:val="003102A6"/>
    <w:rsid w:val="003112D6"/>
    <w:rsid w:val="00314437"/>
    <w:rsid w:val="003203E5"/>
    <w:rsid w:val="0032679B"/>
    <w:rsid w:val="00345431"/>
    <w:rsid w:val="00366F65"/>
    <w:rsid w:val="00376DB5"/>
    <w:rsid w:val="00376DC3"/>
    <w:rsid w:val="003874EB"/>
    <w:rsid w:val="00394B62"/>
    <w:rsid w:val="003A4CE1"/>
    <w:rsid w:val="003B6461"/>
    <w:rsid w:val="003D16B2"/>
    <w:rsid w:val="003F2A8F"/>
    <w:rsid w:val="00416B6A"/>
    <w:rsid w:val="00421658"/>
    <w:rsid w:val="0042426B"/>
    <w:rsid w:val="00447A5E"/>
    <w:rsid w:val="0047649C"/>
    <w:rsid w:val="00496C97"/>
    <w:rsid w:val="004A0D1B"/>
    <w:rsid w:val="004A6DA3"/>
    <w:rsid w:val="004D2530"/>
    <w:rsid w:val="004D74B6"/>
    <w:rsid w:val="004E65B1"/>
    <w:rsid w:val="005054D1"/>
    <w:rsid w:val="0056680B"/>
    <w:rsid w:val="005703B1"/>
    <w:rsid w:val="005740AF"/>
    <w:rsid w:val="0058192E"/>
    <w:rsid w:val="005A04D0"/>
    <w:rsid w:val="005A34D7"/>
    <w:rsid w:val="005A7342"/>
    <w:rsid w:val="005B15F7"/>
    <w:rsid w:val="005E2EC5"/>
    <w:rsid w:val="005E56A5"/>
    <w:rsid w:val="005F5EEC"/>
    <w:rsid w:val="006141B0"/>
    <w:rsid w:val="00617175"/>
    <w:rsid w:val="00627535"/>
    <w:rsid w:val="00636723"/>
    <w:rsid w:val="00643956"/>
    <w:rsid w:val="00664694"/>
    <w:rsid w:val="00673733"/>
    <w:rsid w:val="0067700A"/>
    <w:rsid w:val="00683BAE"/>
    <w:rsid w:val="0068497D"/>
    <w:rsid w:val="00684E45"/>
    <w:rsid w:val="00693C75"/>
    <w:rsid w:val="00696ED5"/>
    <w:rsid w:val="006A562D"/>
    <w:rsid w:val="006C0E74"/>
    <w:rsid w:val="006E204A"/>
    <w:rsid w:val="006F1A2D"/>
    <w:rsid w:val="006F734B"/>
    <w:rsid w:val="007214F0"/>
    <w:rsid w:val="00722C26"/>
    <w:rsid w:val="0073196B"/>
    <w:rsid w:val="00733AC4"/>
    <w:rsid w:val="00734795"/>
    <w:rsid w:val="00763E15"/>
    <w:rsid w:val="00774056"/>
    <w:rsid w:val="007A21D5"/>
    <w:rsid w:val="007D23BC"/>
    <w:rsid w:val="007D3CE5"/>
    <w:rsid w:val="007E6E2F"/>
    <w:rsid w:val="007F158C"/>
    <w:rsid w:val="00810BB8"/>
    <w:rsid w:val="00814639"/>
    <w:rsid w:val="00824DA2"/>
    <w:rsid w:val="00832FFE"/>
    <w:rsid w:val="00840DEB"/>
    <w:rsid w:val="00850618"/>
    <w:rsid w:val="0085645B"/>
    <w:rsid w:val="0085646B"/>
    <w:rsid w:val="00873C5A"/>
    <w:rsid w:val="00882192"/>
    <w:rsid w:val="00882EE2"/>
    <w:rsid w:val="008832D5"/>
    <w:rsid w:val="008976AB"/>
    <w:rsid w:val="008A0474"/>
    <w:rsid w:val="008A1BFD"/>
    <w:rsid w:val="008B0387"/>
    <w:rsid w:val="008B329D"/>
    <w:rsid w:val="008D56B5"/>
    <w:rsid w:val="008D77BA"/>
    <w:rsid w:val="008E564C"/>
    <w:rsid w:val="008F3FC3"/>
    <w:rsid w:val="008F5311"/>
    <w:rsid w:val="00915B21"/>
    <w:rsid w:val="00917105"/>
    <w:rsid w:val="00925351"/>
    <w:rsid w:val="00932785"/>
    <w:rsid w:val="00934AB9"/>
    <w:rsid w:val="00980BC1"/>
    <w:rsid w:val="00980C6D"/>
    <w:rsid w:val="00994D61"/>
    <w:rsid w:val="009A4279"/>
    <w:rsid w:val="009A4D8D"/>
    <w:rsid w:val="009A700C"/>
    <w:rsid w:val="009B2B11"/>
    <w:rsid w:val="009B3CE6"/>
    <w:rsid w:val="009D4F66"/>
    <w:rsid w:val="009E0D09"/>
    <w:rsid w:val="009E7DED"/>
    <w:rsid w:val="009F1F67"/>
    <w:rsid w:val="00A00A41"/>
    <w:rsid w:val="00A01F5E"/>
    <w:rsid w:val="00A05C5F"/>
    <w:rsid w:val="00A132D3"/>
    <w:rsid w:val="00A27BC7"/>
    <w:rsid w:val="00A343C9"/>
    <w:rsid w:val="00A84177"/>
    <w:rsid w:val="00AA5F4B"/>
    <w:rsid w:val="00AB5F9C"/>
    <w:rsid w:val="00AB6E07"/>
    <w:rsid w:val="00AD6953"/>
    <w:rsid w:val="00AE5022"/>
    <w:rsid w:val="00AF46F7"/>
    <w:rsid w:val="00AF6E21"/>
    <w:rsid w:val="00B2091B"/>
    <w:rsid w:val="00B20F18"/>
    <w:rsid w:val="00B3182C"/>
    <w:rsid w:val="00B43F69"/>
    <w:rsid w:val="00B45B34"/>
    <w:rsid w:val="00B45E23"/>
    <w:rsid w:val="00B532D6"/>
    <w:rsid w:val="00B56A2B"/>
    <w:rsid w:val="00B70005"/>
    <w:rsid w:val="00B771F2"/>
    <w:rsid w:val="00BB179A"/>
    <w:rsid w:val="00BC2107"/>
    <w:rsid w:val="00BC7EE6"/>
    <w:rsid w:val="00BE0656"/>
    <w:rsid w:val="00C1712D"/>
    <w:rsid w:val="00C323B7"/>
    <w:rsid w:val="00C4001F"/>
    <w:rsid w:val="00C41260"/>
    <w:rsid w:val="00C4355A"/>
    <w:rsid w:val="00C515A9"/>
    <w:rsid w:val="00C53E1F"/>
    <w:rsid w:val="00C56058"/>
    <w:rsid w:val="00C940B0"/>
    <w:rsid w:val="00C95E89"/>
    <w:rsid w:val="00CA65B2"/>
    <w:rsid w:val="00CB14DB"/>
    <w:rsid w:val="00CC4A0B"/>
    <w:rsid w:val="00CD358C"/>
    <w:rsid w:val="00D06F52"/>
    <w:rsid w:val="00D14878"/>
    <w:rsid w:val="00D15981"/>
    <w:rsid w:val="00D23076"/>
    <w:rsid w:val="00D2537E"/>
    <w:rsid w:val="00D34708"/>
    <w:rsid w:val="00D44C6C"/>
    <w:rsid w:val="00D94C71"/>
    <w:rsid w:val="00DA0A32"/>
    <w:rsid w:val="00DA1F01"/>
    <w:rsid w:val="00DA205B"/>
    <w:rsid w:val="00DA56DC"/>
    <w:rsid w:val="00DD191D"/>
    <w:rsid w:val="00DF7A9A"/>
    <w:rsid w:val="00E028DE"/>
    <w:rsid w:val="00E109DB"/>
    <w:rsid w:val="00E35287"/>
    <w:rsid w:val="00E40CC0"/>
    <w:rsid w:val="00E416A8"/>
    <w:rsid w:val="00E70700"/>
    <w:rsid w:val="00EA1218"/>
    <w:rsid w:val="00EB400C"/>
    <w:rsid w:val="00EC0FF2"/>
    <w:rsid w:val="00EC5B34"/>
    <w:rsid w:val="00EE3E38"/>
    <w:rsid w:val="00EE6011"/>
    <w:rsid w:val="00EF2D93"/>
    <w:rsid w:val="00EF2FF5"/>
    <w:rsid w:val="00F14A4A"/>
    <w:rsid w:val="00F3630A"/>
    <w:rsid w:val="00F44B69"/>
    <w:rsid w:val="00F5413F"/>
    <w:rsid w:val="00F74959"/>
    <w:rsid w:val="00F9241D"/>
    <w:rsid w:val="00FB03E5"/>
    <w:rsid w:val="00FB64BD"/>
    <w:rsid w:val="00FD3032"/>
    <w:rsid w:val="00FE6D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26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91D"/>
    <w:rPr>
      <w:rFonts w:ascii="Tahoma" w:hAnsi="Tahoma" w:cs="Tahoma"/>
      <w:sz w:val="16"/>
      <w:szCs w:val="16"/>
    </w:rPr>
  </w:style>
  <w:style w:type="character" w:customStyle="1" w:styleId="BalloonTextChar">
    <w:name w:val="Balloon Text Char"/>
    <w:basedOn w:val="DefaultParagraphFont"/>
    <w:link w:val="BalloonText"/>
    <w:uiPriority w:val="99"/>
    <w:semiHidden/>
    <w:rsid w:val="00DD191D"/>
    <w:rPr>
      <w:rFonts w:ascii="Tahoma" w:hAnsi="Tahoma" w:cs="Tahoma"/>
      <w:sz w:val="16"/>
      <w:szCs w:val="16"/>
    </w:rPr>
  </w:style>
  <w:style w:type="character" w:styleId="CommentReference">
    <w:name w:val="annotation reference"/>
    <w:basedOn w:val="DefaultParagraphFont"/>
    <w:uiPriority w:val="99"/>
    <w:semiHidden/>
    <w:unhideWhenUsed/>
    <w:rsid w:val="00DD191D"/>
    <w:rPr>
      <w:sz w:val="16"/>
      <w:szCs w:val="16"/>
    </w:rPr>
  </w:style>
  <w:style w:type="paragraph" w:styleId="CommentText">
    <w:name w:val="annotation text"/>
    <w:basedOn w:val="Normal"/>
    <w:link w:val="CommentTextChar"/>
    <w:uiPriority w:val="99"/>
    <w:semiHidden/>
    <w:unhideWhenUsed/>
    <w:rsid w:val="00DD191D"/>
    <w:pPr>
      <w:spacing w:after="200"/>
      <w:ind w:firstLine="720"/>
    </w:pPr>
    <w:rPr>
      <w:rFonts w:ascii="Times New Roman" w:eastAsiaTheme="minorHAnsi" w:hAnsi="Times New Roman"/>
      <w:sz w:val="20"/>
      <w:szCs w:val="20"/>
      <w:lang w:val="en-GB"/>
    </w:rPr>
  </w:style>
  <w:style w:type="character" w:customStyle="1" w:styleId="CommentTextChar">
    <w:name w:val="Comment Text Char"/>
    <w:basedOn w:val="DefaultParagraphFont"/>
    <w:link w:val="CommentText"/>
    <w:uiPriority w:val="99"/>
    <w:semiHidden/>
    <w:rsid w:val="00DD191D"/>
    <w:rPr>
      <w:rFonts w:ascii="Times New Roman" w:eastAsiaTheme="minorHAnsi"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DD191D"/>
    <w:pPr>
      <w:spacing w:after="0"/>
      <w:ind w:firstLine="0"/>
    </w:pPr>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DD191D"/>
    <w:rPr>
      <w:rFonts w:ascii="Times New Roman" w:eastAsiaTheme="minorHAnsi" w:hAnsi="Times New Roman"/>
      <w:b/>
      <w:bCs/>
      <w:sz w:val="20"/>
      <w:szCs w:val="20"/>
      <w:lang w:val="en-GB"/>
    </w:rPr>
  </w:style>
  <w:style w:type="paragraph" w:styleId="Revision">
    <w:name w:val="Revision"/>
    <w:hidden/>
    <w:uiPriority w:val="99"/>
    <w:semiHidden/>
    <w:rsid w:val="002D01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91D"/>
    <w:rPr>
      <w:rFonts w:ascii="Tahoma" w:hAnsi="Tahoma" w:cs="Tahoma"/>
      <w:sz w:val="16"/>
      <w:szCs w:val="16"/>
    </w:rPr>
  </w:style>
  <w:style w:type="character" w:customStyle="1" w:styleId="BalloonTextChar">
    <w:name w:val="Balloon Text Char"/>
    <w:basedOn w:val="DefaultParagraphFont"/>
    <w:link w:val="BalloonText"/>
    <w:uiPriority w:val="99"/>
    <w:semiHidden/>
    <w:rsid w:val="00DD191D"/>
    <w:rPr>
      <w:rFonts w:ascii="Tahoma" w:hAnsi="Tahoma" w:cs="Tahoma"/>
      <w:sz w:val="16"/>
      <w:szCs w:val="16"/>
    </w:rPr>
  </w:style>
  <w:style w:type="character" w:styleId="CommentReference">
    <w:name w:val="annotation reference"/>
    <w:basedOn w:val="DefaultParagraphFont"/>
    <w:uiPriority w:val="99"/>
    <w:semiHidden/>
    <w:unhideWhenUsed/>
    <w:rsid w:val="00DD191D"/>
    <w:rPr>
      <w:sz w:val="16"/>
      <w:szCs w:val="16"/>
    </w:rPr>
  </w:style>
  <w:style w:type="paragraph" w:styleId="CommentText">
    <w:name w:val="annotation text"/>
    <w:basedOn w:val="Normal"/>
    <w:link w:val="CommentTextChar"/>
    <w:uiPriority w:val="99"/>
    <w:semiHidden/>
    <w:unhideWhenUsed/>
    <w:rsid w:val="00DD191D"/>
    <w:pPr>
      <w:spacing w:after="200"/>
      <w:ind w:firstLine="720"/>
    </w:pPr>
    <w:rPr>
      <w:rFonts w:ascii="Times New Roman" w:eastAsiaTheme="minorHAnsi" w:hAnsi="Times New Roman"/>
      <w:sz w:val="20"/>
      <w:szCs w:val="20"/>
      <w:lang w:val="en-GB"/>
    </w:rPr>
  </w:style>
  <w:style w:type="character" w:customStyle="1" w:styleId="CommentTextChar">
    <w:name w:val="Comment Text Char"/>
    <w:basedOn w:val="DefaultParagraphFont"/>
    <w:link w:val="CommentText"/>
    <w:uiPriority w:val="99"/>
    <w:semiHidden/>
    <w:rsid w:val="00DD191D"/>
    <w:rPr>
      <w:rFonts w:ascii="Times New Roman" w:eastAsiaTheme="minorHAnsi"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DD191D"/>
    <w:pPr>
      <w:spacing w:after="0"/>
      <w:ind w:firstLine="0"/>
    </w:pPr>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DD191D"/>
    <w:rPr>
      <w:rFonts w:ascii="Times New Roman" w:eastAsiaTheme="minorHAnsi" w:hAnsi="Times New Roman"/>
      <w:b/>
      <w:bCs/>
      <w:sz w:val="20"/>
      <w:szCs w:val="20"/>
      <w:lang w:val="en-GB"/>
    </w:rPr>
  </w:style>
  <w:style w:type="paragraph" w:styleId="Revision">
    <w:name w:val="Revision"/>
    <w:hidden/>
    <w:uiPriority w:val="99"/>
    <w:semiHidden/>
    <w:rsid w:val="002D0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1558</Words>
  <Characters>8881</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Sofaer</dc:creator>
  <cp:lastModifiedBy>Joanna Sofaer</cp:lastModifiedBy>
  <cp:revision>2</cp:revision>
  <cp:lastPrinted>2016-01-28T19:57:00Z</cp:lastPrinted>
  <dcterms:created xsi:type="dcterms:W3CDTF">2016-05-04T18:55:00Z</dcterms:created>
  <dcterms:modified xsi:type="dcterms:W3CDTF">2016-05-04T18:55:00Z</dcterms:modified>
</cp:coreProperties>
</file>