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78" w:rsidRDefault="000C2831" w:rsidP="00EA689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Intellectual Ability</w:t>
      </w:r>
      <w:r w:rsidR="0002648E">
        <w:rPr>
          <w:b/>
          <w:sz w:val="28"/>
          <w:szCs w:val="28"/>
        </w:rPr>
        <w:t xml:space="preserve"> i</w:t>
      </w:r>
      <w:r w:rsidR="008F2269">
        <w:rPr>
          <w:b/>
          <w:sz w:val="28"/>
          <w:szCs w:val="28"/>
        </w:rPr>
        <w:t>n Young Adulthood as an Antecedent</w:t>
      </w:r>
      <w:r w:rsidR="008B1AC9">
        <w:rPr>
          <w:b/>
          <w:sz w:val="28"/>
          <w:szCs w:val="28"/>
        </w:rPr>
        <w:t xml:space="preserve"> </w:t>
      </w:r>
      <w:r w:rsidR="00D46678">
        <w:rPr>
          <w:b/>
          <w:sz w:val="28"/>
          <w:szCs w:val="28"/>
        </w:rPr>
        <w:t>of</w:t>
      </w:r>
    </w:p>
    <w:p w:rsidR="00CF54A3" w:rsidRDefault="00CA66CE" w:rsidP="00EA68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1AC9">
        <w:rPr>
          <w:b/>
          <w:sz w:val="28"/>
          <w:szCs w:val="28"/>
        </w:rPr>
        <w:t>Physical F</w:t>
      </w:r>
      <w:r w:rsidR="0002648E">
        <w:rPr>
          <w:b/>
          <w:sz w:val="28"/>
          <w:szCs w:val="28"/>
        </w:rPr>
        <w:t>unctioning</w:t>
      </w:r>
      <w:r w:rsidR="001E53ED">
        <w:rPr>
          <w:b/>
          <w:sz w:val="28"/>
          <w:szCs w:val="28"/>
        </w:rPr>
        <w:t xml:space="preserve"> </w:t>
      </w:r>
      <w:r w:rsidR="008F2269">
        <w:rPr>
          <w:b/>
          <w:sz w:val="28"/>
          <w:szCs w:val="28"/>
        </w:rPr>
        <w:t>in</w:t>
      </w:r>
      <w:r w:rsidR="00EA6898">
        <w:rPr>
          <w:b/>
          <w:sz w:val="28"/>
          <w:szCs w:val="28"/>
        </w:rPr>
        <w:t xml:space="preserve"> Old</w:t>
      </w:r>
      <w:r w:rsidR="00117397">
        <w:rPr>
          <w:b/>
          <w:sz w:val="28"/>
          <w:szCs w:val="28"/>
        </w:rPr>
        <w:t>er</w:t>
      </w:r>
      <w:r w:rsidR="00EA6898">
        <w:rPr>
          <w:b/>
          <w:sz w:val="28"/>
          <w:szCs w:val="28"/>
        </w:rPr>
        <w:t xml:space="preserve"> Age</w:t>
      </w:r>
    </w:p>
    <w:p w:rsidR="00B15390" w:rsidRDefault="00B15390" w:rsidP="00EA6898">
      <w:pPr>
        <w:spacing w:line="276" w:lineRule="auto"/>
        <w:jc w:val="center"/>
        <w:rPr>
          <w:b/>
          <w:sz w:val="28"/>
          <w:szCs w:val="28"/>
        </w:rPr>
      </w:pPr>
    </w:p>
    <w:p w:rsidR="00B15390" w:rsidRDefault="00B15390" w:rsidP="00EA6898">
      <w:pPr>
        <w:spacing w:line="276" w:lineRule="auto"/>
        <w:jc w:val="center"/>
        <w:rPr>
          <w:b/>
          <w:sz w:val="28"/>
          <w:szCs w:val="28"/>
        </w:rPr>
      </w:pPr>
    </w:p>
    <w:p w:rsidR="00B15390" w:rsidRDefault="00B15390" w:rsidP="00EA6898">
      <w:pPr>
        <w:spacing w:line="276" w:lineRule="auto"/>
        <w:jc w:val="center"/>
        <w:rPr>
          <w:b/>
          <w:sz w:val="28"/>
          <w:szCs w:val="28"/>
        </w:rPr>
      </w:pPr>
    </w:p>
    <w:p w:rsidR="00B15390" w:rsidRPr="00B15390" w:rsidRDefault="00B15390" w:rsidP="00B15390">
      <w:pPr>
        <w:spacing w:line="276" w:lineRule="auto"/>
        <w:rPr>
          <w:lang w:val="fi-FI"/>
        </w:rPr>
      </w:pPr>
      <w:r w:rsidRPr="00B15390">
        <w:rPr>
          <w:lang w:val="fi-FI"/>
        </w:rPr>
        <w:t>Taina Poranen-Clark</w:t>
      </w:r>
      <w:r w:rsidRPr="00B15390">
        <w:rPr>
          <w:vertAlign w:val="superscript"/>
          <w:lang w:val="fi-FI"/>
        </w:rPr>
        <w:t>1,2</w:t>
      </w:r>
      <w:r w:rsidRPr="00B15390">
        <w:rPr>
          <w:lang w:val="fi-FI"/>
        </w:rPr>
        <w:t>,Mikaela B. von Bonsdorff</w:t>
      </w:r>
      <w:r w:rsidRPr="00B15390">
        <w:rPr>
          <w:vertAlign w:val="superscript"/>
          <w:lang w:val="fi-FI"/>
        </w:rPr>
        <w:t>1</w:t>
      </w:r>
      <w:r w:rsidRPr="00B15390">
        <w:rPr>
          <w:lang w:val="fi-FI"/>
        </w:rPr>
        <w:t>, Timo Törmäkangas</w:t>
      </w:r>
      <w:r w:rsidRPr="00B15390">
        <w:rPr>
          <w:vertAlign w:val="superscript"/>
          <w:lang w:val="fi-FI"/>
        </w:rPr>
        <w:t>1</w:t>
      </w:r>
      <w:r w:rsidRPr="00B15390">
        <w:rPr>
          <w:lang w:val="fi-FI"/>
        </w:rPr>
        <w:t>, Jari Lahti</w:t>
      </w:r>
      <w:r w:rsidRPr="00B15390">
        <w:rPr>
          <w:vertAlign w:val="superscript"/>
          <w:lang w:val="fi-FI"/>
        </w:rPr>
        <w:t>2,3</w:t>
      </w:r>
      <w:r w:rsidRPr="00B15390">
        <w:rPr>
          <w:lang w:val="fi-FI"/>
        </w:rPr>
        <w:t>, Niko Wasenius</w:t>
      </w:r>
      <w:r w:rsidRPr="00B15390">
        <w:rPr>
          <w:vertAlign w:val="superscript"/>
          <w:lang w:val="fi-FI"/>
        </w:rPr>
        <w:t>2</w:t>
      </w:r>
      <w:r w:rsidRPr="00B15390">
        <w:rPr>
          <w:lang w:val="fi-FI"/>
        </w:rPr>
        <w:t>, Katri Räikkönen</w:t>
      </w:r>
      <w:r w:rsidRPr="00B15390">
        <w:rPr>
          <w:vertAlign w:val="superscript"/>
          <w:lang w:val="fi-FI"/>
        </w:rPr>
        <w:t>3</w:t>
      </w:r>
      <w:r w:rsidRPr="00B15390">
        <w:rPr>
          <w:lang w:val="fi-FI"/>
        </w:rPr>
        <w:t>, Clive Osmond</w:t>
      </w:r>
      <w:r w:rsidRPr="00B15390">
        <w:rPr>
          <w:vertAlign w:val="superscript"/>
          <w:lang w:val="fi-FI"/>
        </w:rPr>
        <w:t>4</w:t>
      </w:r>
      <w:r w:rsidRPr="00B15390">
        <w:rPr>
          <w:lang w:val="fi-FI"/>
        </w:rPr>
        <w:t>, Minna K. Salonen</w:t>
      </w:r>
      <w:r w:rsidRPr="00B15390">
        <w:rPr>
          <w:vertAlign w:val="superscript"/>
          <w:lang w:val="fi-FI"/>
        </w:rPr>
        <w:t>2,5</w:t>
      </w:r>
      <w:r w:rsidRPr="00B15390">
        <w:rPr>
          <w:lang w:val="fi-FI"/>
        </w:rPr>
        <w:t>,Taina Rantanen</w:t>
      </w:r>
      <w:r w:rsidRPr="00B15390">
        <w:rPr>
          <w:vertAlign w:val="superscript"/>
          <w:lang w:val="fi-FI"/>
        </w:rPr>
        <w:t>1</w:t>
      </w:r>
      <w:r w:rsidRPr="00B15390">
        <w:rPr>
          <w:lang w:val="fi-FI"/>
        </w:rPr>
        <w:t>, Eero Kajantie</w:t>
      </w:r>
      <w:r w:rsidRPr="00B15390">
        <w:rPr>
          <w:vertAlign w:val="superscript"/>
          <w:lang w:val="fi-FI"/>
        </w:rPr>
        <w:t>5-7</w:t>
      </w:r>
      <w:r w:rsidRPr="00B15390">
        <w:rPr>
          <w:lang w:val="fi-FI"/>
        </w:rPr>
        <w:t>, Johan G. Eriksson</w:t>
      </w:r>
      <w:r w:rsidRPr="00B15390">
        <w:rPr>
          <w:vertAlign w:val="superscript"/>
          <w:lang w:val="fi-FI"/>
        </w:rPr>
        <w:t>2,5,8</w:t>
      </w:r>
    </w:p>
    <w:p w:rsidR="00B15390" w:rsidRPr="00B15390" w:rsidRDefault="00B15390" w:rsidP="00B15390">
      <w:pPr>
        <w:spacing w:line="276" w:lineRule="auto"/>
        <w:rPr>
          <w:lang w:val="fi-FI"/>
        </w:rPr>
      </w:pPr>
    </w:p>
    <w:p w:rsidR="00B15390" w:rsidRDefault="00B15390" w:rsidP="00B15390">
      <w:pPr>
        <w:spacing w:line="276" w:lineRule="auto"/>
      </w:pPr>
      <w:r w:rsidRPr="00E52F9C">
        <w:rPr>
          <w:vertAlign w:val="superscript"/>
        </w:rPr>
        <w:t>1</w:t>
      </w:r>
      <w:r>
        <w:t>Gerontology Research Center and Department of Health Sciences,</w:t>
      </w:r>
      <w:r w:rsidRPr="003B6EF4">
        <w:t xml:space="preserve"> </w:t>
      </w:r>
      <w:r>
        <w:t xml:space="preserve">University of </w:t>
      </w:r>
    </w:p>
    <w:p w:rsidR="00B15390" w:rsidRPr="00294AE2" w:rsidRDefault="00B15390" w:rsidP="00B15390">
      <w:pPr>
        <w:spacing w:line="276" w:lineRule="auto"/>
        <w:rPr>
          <w:lang w:val="sv-FI"/>
        </w:rPr>
      </w:pPr>
      <w:r>
        <w:t xml:space="preserve">   </w:t>
      </w:r>
      <w:r>
        <w:rPr>
          <w:lang w:val="sv-FI"/>
        </w:rPr>
        <w:t>Jyväskylä</w:t>
      </w:r>
      <w:r w:rsidRPr="00294AE2">
        <w:rPr>
          <w:lang w:val="sv-FI"/>
        </w:rPr>
        <w:t>, Finland</w:t>
      </w:r>
    </w:p>
    <w:p w:rsidR="00B15390" w:rsidRPr="003A732B" w:rsidRDefault="00B15390" w:rsidP="00B15390">
      <w:pPr>
        <w:spacing w:line="276" w:lineRule="auto"/>
        <w:rPr>
          <w:lang w:val="sv-SE"/>
        </w:rPr>
      </w:pPr>
      <w:r>
        <w:rPr>
          <w:vertAlign w:val="superscript"/>
          <w:lang w:val="sv-SE"/>
        </w:rPr>
        <w:t>2</w:t>
      </w:r>
      <w:r w:rsidRPr="003A732B">
        <w:rPr>
          <w:lang w:val="sv-SE"/>
        </w:rPr>
        <w:t>Folkhälsan Research Centre, Helsinki, Finland</w:t>
      </w:r>
    </w:p>
    <w:p w:rsidR="00B15390" w:rsidRDefault="00B15390" w:rsidP="00B15390">
      <w:pPr>
        <w:tabs>
          <w:tab w:val="left" w:pos="142"/>
        </w:tabs>
        <w:spacing w:line="276" w:lineRule="auto"/>
      </w:pPr>
      <w:r>
        <w:rPr>
          <w:vertAlign w:val="superscript"/>
        </w:rPr>
        <w:t>3</w:t>
      </w:r>
      <w:r w:rsidRPr="00676DD9">
        <w:t>Institute of</w:t>
      </w:r>
      <w:r>
        <w:t xml:space="preserve"> </w:t>
      </w:r>
      <w:proofErr w:type="spellStart"/>
      <w:r>
        <w:t>Behavioural</w:t>
      </w:r>
      <w:proofErr w:type="spellEnd"/>
      <w:r>
        <w:t xml:space="preserve"> Sciences, University of Helsinki, Helsinki, Finland</w:t>
      </w:r>
    </w:p>
    <w:p w:rsidR="00B15390" w:rsidRDefault="00B15390" w:rsidP="00B15390">
      <w:pPr>
        <w:spacing w:line="276" w:lineRule="auto"/>
      </w:pPr>
      <w:r>
        <w:rPr>
          <w:vertAlign w:val="superscript"/>
          <w:lang w:val="en-GB"/>
        </w:rPr>
        <w:t>4</w:t>
      </w:r>
      <w:r>
        <w:t>MRC Lifecourse Epidemiology Unit, University of Southampton, Southampton, United Kingdom</w:t>
      </w:r>
    </w:p>
    <w:p w:rsidR="00B15390" w:rsidRDefault="00B15390" w:rsidP="00B15390">
      <w:pPr>
        <w:spacing w:line="276" w:lineRule="auto"/>
      </w:pPr>
      <w:r>
        <w:rPr>
          <w:vertAlign w:val="superscript"/>
        </w:rPr>
        <w:t>5</w:t>
      </w:r>
      <w:r w:rsidRPr="00676DD9">
        <w:t>Department of Chronic Disease Prevention, National Institute for Health</w:t>
      </w:r>
      <w:r>
        <w:t xml:space="preserve"> and Welfare, Helsinki, Finland</w:t>
      </w:r>
      <w:r w:rsidRPr="00676DD9">
        <w:t xml:space="preserve"> </w:t>
      </w:r>
    </w:p>
    <w:p w:rsidR="00B15390" w:rsidRDefault="00B15390" w:rsidP="00B15390">
      <w:pPr>
        <w:spacing w:line="276" w:lineRule="auto"/>
      </w:pPr>
      <w:r>
        <w:rPr>
          <w:vertAlign w:val="superscript"/>
        </w:rPr>
        <w:t>6</w:t>
      </w:r>
      <w:r w:rsidRPr="00676DD9">
        <w:t xml:space="preserve">Hospital for Children and Adolescents, Helsinki University Central Hospital and </w:t>
      </w:r>
      <w:r>
        <w:t>University of Helsinki, Finland</w:t>
      </w:r>
      <w:r w:rsidRPr="00676DD9">
        <w:t xml:space="preserve"> </w:t>
      </w:r>
    </w:p>
    <w:p w:rsidR="00B15390" w:rsidRPr="00676DD9" w:rsidRDefault="00B15390" w:rsidP="00B15390">
      <w:pPr>
        <w:spacing w:line="276" w:lineRule="auto"/>
      </w:pPr>
      <w:r>
        <w:rPr>
          <w:vertAlign w:val="superscript"/>
        </w:rPr>
        <w:t>7</w:t>
      </w:r>
      <w:r w:rsidRPr="00676DD9">
        <w:t>D</w:t>
      </w:r>
      <w:r>
        <w:t>epartment of Obstetrics and Gyn</w:t>
      </w:r>
      <w:r w:rsidRPr="00676DD9">
        <w:t>ecology, MRC Oulu, Oulu University Central Hospital and University of Oulu, Oulu, Finland</w:t>
      </w:r>
    </w:p>
    <w:p w:rsidR="00B15390" w:rsidRPr="00816BD6" w:rsidRDefault="00B15390" w:rsidP="00B15390">
      <w:pPr>
        <w:tabs>
          <w:tab w:val="left" w:pos="142"/>
        </w:tabs>
        <w:spacing w:line="276" w:lineRule="auto"/>
      </w:pPr>
      <w:r>
        <w:rPr>
          <w:vertAlign w:val="superscript"/>
        </w:rPr>
        <w:t>8</w:t>
      </w:r>
      <w:r w:rsidRPr="00816BD6">
        <w:t>Department of General Practice and Primary Health Care, University of Helsinki</w:t>
      </w:r>
      <w:r>
        <w:t xml:space="preserve"> and Helsinki University Hospital, </w:t>
      </w:r>
      <w:r w:rsidRPr="00816BD6">
        <w:t xml:space="preserve"> Helsinki, </w:t>
      </w:r>
      <w:r>
        <w:tab/>
      </w:r>
      <w:r w:rsidRPr="00816BD6">
        <w:t>Finland</w:t>
      </w:r>
    </w:p>
    <w:p w:rsidR="00B15390" w:rsidRDefault="00B15390" w:rsidP="00B15390">
      <w:pPr>
        <w:spacing w:line="276" w:lineRule="auto"/>
        <w:rPr>
          <w:b/>
        </w:rPr>
      </w:pPr>
    </w:p>
    <w:p w:rsidR="00B15390" w:rsidRDefault="00B15390" w:rsidP="00B15390">
      <w:pPr>
        <w:spacing w:line="276" w:lineRule="auto"/>
        <w:rPr>
          <w:b/>
        </w:rPr>
      </w:pPr>
    </w:p>
    <w:p w:rsidR="00B15390" w:rsidRDefault="00B15390" w:rsidP="00B15390">
      <w:pPr>
        <w:spacing w:line="276" w:lineRule="auto"/>
        <w:rPr>
          <w:b/>
        </w:rPr>
      </w:pPr>
    </w:p>
    <w:p w:rsidR="00B15390" w:rsidRDefault="00B15390" w:rsidP="00B15390">
      <w:pPr>
        <w:spacing w:line="276" w:lineRule="auto"/>
        <w:rPr>
          <w:b/>
        </w:rPr>
      </w:pPr>
      <w:r w:rsidRPr="00C004F5">
        <w:rPr>
          <w:b/>
        </w:rPr>
        <w:t>Corresponding author and reprint requests:</w:t>
      </w:r>
    </w:p>
    <w:p w:rsidR="00B15390" w:rsidRPr="0006256C" w:rsidRDefault="00B15390" w:rsidP="00B15390">
      <w:pPr>
        <w:spacing w:line="276" w:lineRule="auto"/>
        <w:rPr>
          <w:b/>
        </w:rPr>
      </w:pPr>
      <w:proofErr w:type="spellStart"/>
      <w:r w:rsidRPr="0006256C">
        <w:t>Taina</w:t>
      </w:r>
      <w:proofErr w:type="spellEnd"/>
      <w:r>
        <w:t xml:space="preserve"> </w:t>
      </w:r>
      <w:proofErr w:type="spellStart"/>
      <w:r>
        <w:t>Poranen</w:t>
      </w:r>
      <w:proofErr w:type="spellEnd"/>
      <w:r>
        <w:t>-Clark, MSc</w:t>
      </w:r>
    </w:p>
    <w:p w:rsidR="00B15390" w:rsidRPr="00C004F5" w:rsidRDefault="00B15390" w:rsidP="00B15390">
      <w:pPr>
        <w:spacing w:line="276" w:lineRule="auto"/>
      </w:pPr>
      <w:r>
        <w:t xml:space="preserve">Gerontology Research Center and </w:t>
      </w:r>
      <w:r w:rsidRPr="00C004F5">
        <w:t>Department of Health Sciences</w:t>
      </w:r>
    </w:p>
    <w:p w:rsidR="00B15390" w:rsidRPr="00C004F5" w:rsidRDefault="00B15390" w:rsidP="00B15390">
      <w:pPr>
        <w:spacing w:line="276" w:lineRule="auto"/>
      </w:pPr>
      <w:r>
        <w:t xml:space="preserve">University of </w:t>
      </w:r>
      <w:proofErr w:type="spellStart"/>
      <w:r>
        <w:t>Jyväskylä</w:t>
      </w:r>
      <w:proofErr w:type="spellEnd"/>
    </w:p>
    <w:p w:rsidR="00B15390" w:rsidRPr="00C004F5" w:rsidRDefault="00B15390" w:rsidP="00B15390">
      <w:pPr>
        <w:spacing w:line="276" w:lineRule="auto"/>
      </w:pPr>
      <w:r w:rsidRPr="00C004F5">
        <w:t>PO Box 35 (</w:t>
      </w:r>
      <w:proofErr w:type="spellStart"/>
      <w:r w:rsidRPr="00C004F5">
        <w:t>Viveca</w:t>
      </w:r>
      <w:proofErr w:type="spellEnd"/>
      <w:r w:rsidRPr="00C004F5">
        <w:t>)</w:t>
      </w:r>
    </w:p>
    <w:p w:rsidR="00B15390" w:rsidRPr="00C004F5" w:rsidRDefault="00B15390" w:rsidP="00B15390">
      <w:pPr>
        <w:spacing w:line="276" w:lineRule="auto"/>
      </w:pPr>
      <w:r>
        <w:t xml:space="preserve">FI-40014 University of </w:t>
      </w:r>
      <w:proofErr w:type="spellStart"/>
      <w:r>
        <w:t>Jyväskylä</w:t>
      </w:r>
      <w:proofErr w:type="spellEnd"/>
    </w:p>
    <w:p w:rsidR="00B15390" w:rsidRPr="00C004F5" w:rsidRDefault="00B15390" w:rsidP="00B15390">
      <w:pPr>
        <w:spacing w:line="276" w:lineRule="auto"/>
      </w:pPr>
      <w:r>
        <w:t>Tel. +358 50 566 3719</w:t>
      </w:r>
      <w:r w:rsidRPr="00C004F5">
        <w:t xml:space="preserve">, </w:t>
      </w:r>
      <w:r>
        <w:t>E</w:t>
      </w:r>
      <w:r w:rsidRPr="00C004F5">
        <w:t xml:space="preserve">-mail </w:t>
      </w:r>
      <w:hyperlink r:id="rId9" w:history="1">
        <w:r w:rsidRPr="005F4D4C">
          <w:rPr>
            <w:rStyle w:val="Hyperlink"/>
          </w:rPr>
          <w:t>taina.poranen-clark@jyu.fi</w:t>
        </w:r>
      </w:hyperlink>
    </w:p>
    <w:p w:rsidR="00B15390" w:rsidRDefault="00B15390" w:rsidP="00B15390">
      <w:pPr>
        <w:spacing w:line="360" w:lineRule="auto"/>
        <w:sectPr w:rsidR="00B15390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54A3" w:rsidRPr="00C06C66" w:rsidRDefault="00E97C64" w:rsidP="009B458A">
      <w:pPr>
        <w:spacing w:line="360" w:lineRule="auto"/>
        <w:rPr>
          <w:b/>
        </w:rPr>
      </w:pPr>
      <w:r>
        <w:rPr>
          <w:b/>
        </w:rPr>
        <w:lastRenderedPageBreak/>
        <w:t>Intellectual Ability</w:t>
      </w:r>
      <w:r w:rsidR="00DA36F6">
        <w:rPr>
          <w:b/>
        </w:rPr>
        <w:t xml:space="preserve"> in </w:t>
      </w:r>
      <w:r w:rsidR="0044372B">
        <w:rPr>
          <w:b/>
        </w:rPr>
        <w:t>Young A</w:t>
      </w:r>
      <w:r w:rsidR="00B31E24">
        <w:rPr>
          <w:b/>
        </w:rPr>
        <w:t>dulthood as an A</w:t>
      </w:r>
      <w:r w:rsidR="00240FF7">
        <w:rPr>
          <w:b/>
        </w:rPr>
        <w:t xml:space="preserve">ntecedent </w:t>
      </w:r>
      <w:r w:rsidR="008F2269">
        <w:rPr>
          <w:b/>
        </w:rPr>
        <w:t xml:space="preserve">of </w:t>
      </w:r>
      <w:r w:rsidR="0044372B">
        <w:rPr>
          <w:b/>
        </w:rPr>
        <w:t>Physical F</w:t>
      </w:r>
      <w:r w:rsidR="00DA36F6">
        <w:rPr>
          <w:b/>
        </w:rPr>
        <w:t>unctioning</w:t>
      </w:r>
      <w:r w:rsidR="001E53ED">
        <w:rPr>
          <w:b/>
        </w:rPr>
        <w:t xml:space="preserve"> </w:t>
      </w:r>
      <w:r w:rsidR="008F2269">
        <w:rPr>
          <w:b/>
        </w:rPr>
        <w:t>in</w:t>
      </w:r>
      <w:r w:rsidR="00CF54A3">
        <w:rPr>
          <w:b/>
        </w:rPr>
        <w:t xml:space="preserve"> Old</w:t>
      </w:r>
      <w:r>
        <w:rPr>
          <w:b/>
        </w:rPr>
        <w:t>er</w:t>
      </w:r>
      <w:r w:rsidR="00CF54A3" w:rsidRPr="00C06C66">
        <w:rPr>
          <w:b/>
        </w:rPr>
        <w:t xml:space="preserve"> Age</w:t>
      </w:r>
    </w:p>
    <w:p w:rsidR="00CF54A3" w:rsidRDefault="00CF54A3" w:rsidP="009B458A">
      <w:pPr>
        <w:spacing w:line="360" w:lineRule="auto"/>
        <w:rPr>
          <w:b/>
        </w:rPr>
      </w:pPr>
    </w:p>
    <w:p w:rsidR="00CF54A3" w:rsidRDefault="00CF54A3" w:rsidP="009B458A">
      <w:pPr>
        <w:spacing w:line="360" w:lineRule="auto"/>
        <w:rPr>
          <w:b/>
        </w:rPr>
      </w:pPr>
      <w:r w:rsidRPr="00C06C66">
        <w:rPr>
          <w:b/>
        </w:rPr>
        <w:t>ABSTRACT</w:t>
      </w:r>
      <w:r>
        <w:rPr>
          <w:b/>
        </w:rPr>
        <w:t xml:space="preserve"> </w:t>
      </w:r>
    </w:p>
    <w:p w:rsidR="001A38A6" w:rsidRPr="00265BAA" w:rsidRDefault="00973BEE" w:rsidP="001A38A6">
      <w:pPr>
        <w:spacing w:line="360" w:lineRule="auto"/>
        <w:jc w:val="both"/>
        <w:rPr>
          <w:color w:val="FF0000"/>
        </w:rPr>
      </w:pPr>
      <w:r>
        <w:rPr>
          <w:b/>
        </w:rPr>
        <w:t>Objectives</w:t>
      </w:r>
      <w:r w:rsidR="001A38A6" w:rsidRPr="007E58A8">
        <w:rPr>
          <w:b/>
        </w:rPr>
        <w:t>:</w:t>
      </w:r>
      <w:r w:rsidR="00521F67">
        <w:rPr>
          <w:b/>
        </w:rPr>
        <w:t xml:space="preserve"> </w:t>
      </w:r>
      <w:r w:rsidR="00521F67">
        <w:t>Low cognitive ability</w:t>
      </w:r>
      <w:r w:rsidR="001A38A6" w:rsidRPr="00F65BB2">
        <w:t xml:space="preserve"> is associated with subsequent </w:t>
      </w:r>
      <w:r w:rsidR="001A38A6">
        <w:t xml:space="preserve">functional </w:t>
      </w:r>
      <w:r w:rsidR="001A38A6" w:rsidRPr="00F65BB2">
        <w:t>disability.</w:t>
      </w:r>
      <w:r w:rsidR="0050413C">
        <w:t xml:space="preserve"> Whether</w:t>
      </w:r>
      <w:r w:rsidR="001A38A6" w:rsidRPr="00F65BB2">
        <w:t xml:space="preserve"> </w:t>
      </w:r>
      <w:r w:rsidR="0050413C">
        <w:t>this association extends across adult life</w:t>
      </w:r>
      <w:r w:rsidR="00E97C64">
        <w:t xml:space="preserve"> has been little studi</w:t>
      </w:r>
      <w:r w:rsidR="001A38A6">
        <w:t>ed</w:t>
      </w:r>
      <w:r w:rsidR="001A38A6" w:rsidRPr="00F65BB2">
        <w:t>. The aim of this study was to examine the association between intellectual a</w:t>
      </w:r>
      <w:r w:rsidR="0050413C">
        <w:t>bility</w:t>
      </w:r>
      <w:r w:rsidR="00022A94">
        <w:t xml:space="preserve"> in young adulthood and</w:t>
      </w:r>
      <w:r w:rsidR="00C85AD2">
        <w:t xml:space="preserve"> </w:t>
      </w:r>
      <w:r w:rsidR="001A38A6" w:rsidRPr="00F65BB2">
        <w:t>physical</w:t>
      </w:r>
      <w:r w:rsidR="001A38A6">
        <w:t xml:space="preserve"> </w:t>
      </w:r>
      <w:r w:rsidR="001A38A6" w:rsidRPr="00265BAA">
        <w:t>functioning</w:t>
      </w:r>
      <w:r w:rsidR="008F4606" w:rsidRPr="00265BAA">
        <w:t xml:space="preserve"> during </w:t>
      </w:r>
      <w:r w:rsidR="00265BAA" w:rsidRPr="00265BAA">
        <w:t xml:space="preserve">a </w:t>
      </w:r>
      <w:r w:rsidR="008F4606" w:rsidRPr="00265BAA">
        <w:t>10-year</w:t>
      </w:r>
      <w:r w:rsidR="001A38A6" w:rsidRPr="00265BAA">
        <w:t xml:space="preserve"> </w:t>
      </w:r>
      <w:r w:rsidR="008F4606" w:rsidRPr="00265BAA">
        <w:t xml:space="preserve">follow-up </w:t>
      </w:r>
      <w:r w:rsidR="001A38A6" w:rsidRPr="00265BAA">
        <w:t>in older age.</w:t>
      </w:r>
    </w:p>
    <w:p w:rsidR="00C36167" w:rsidRDefault="00973BEE" w:rsidP="001A38A6">
      <w:pPr>
        <w:spacing w:line="360" w:lineRule="auto"/>
      </w:pPr>
      <w:r w:rsidRPr="00265BAA">
        <w:rPr>
          <w:b/>
        </w:rPr>
        <w:t>M</w:t>
      </w:r>
      <w:r w:rsidR="001A38A6" w:rsidRPr="00265BAA">
        <w:rPr>
          <w:b/>
        </w:rPr>
        <w:t>ethods:</w:t>
      </w:r>
      <w:r w:rsidR="001A38A6" w:rsidRPr="00265BAA">
        <w:t xml:space="preserve"> </w:t>
      </w:r>
      <w:r w:rsidR="00753847" w:rsidRPr="009201DC">
        <w:t>360 persons o</w:t>
      </w:r>
      <w:r w:rsidR="005E79A0" w:rsidRPr="009201DC">
        <w:t xml:space="preserve">f  </w:t>
      </w:r>
      <w:r w:rsidR="00753847" w:rsidRPr="009201DC">
        <w:t>the</w:t>
      </w:r>
      <w:r w:rsidR="00265BAA" w:rsidRPr="009201DC">
        <w:t xml:space="preserve"> </w:t>
      </w:r>
      <w:r w:rsidR="005E79A0" w:rsidRPr="009201DC">
        <w:t>Helsinki Birth Cohort Study (HBCS)</w:t>
      </w:r>
      <w:r w:rsidR="00265BAA" w:rsidRPr="009201DC">
        <w:t xml:space="preserve"> male members, </w:t>
      </w:r>
      <w:r w:rsidR="005E79A0" w:rsidRPr="009201DC">
        <w:t xml:space="preserve">born between 1934- 1944 and residing </w:t>
      </w:r>
      <w:r w:rsidR="00753847" w:rsidRPr="009201DC">
        <w:t>in Finland in 1971,</w:t>
      </w:r>
      <w:r w:rsidR="001A38A6" w:rsidRPr="009201DC">
        <w:t xml:space="preserve"> </w:t>
      </w:r>
      <w:r w:rsidR="00265BAA" w:rsidRPr="009201DC">
        <w:t xml:space="preserve">took part in </w:t>
      </w:r>
      <w:r w:rsidR="001E47C2" w:rsidRPr="009201DC">
        <w:t xml:space="preserve">The Finnish </w:t>
      </w:r>
      <w:proofErr w:type="spellStart"/>
      <w:r w:rsidR="001E47C2" w:rsidRPr="009201DC">
        <w:t>Defenc</w:t>
      </w:r>
      <w:r w:rsidR="001A38A6" w:rsidRPr="009201DC">
        <w:t>e</w:t>
      </w:r>
      <w:proofErr w:type="spellEnd"/>
      <w:r w:rsidR="001A38A6" w:rsidRPr="009201DC">
        <w:t xml:space="preserve"> Forces Basic Intellectual Ability Test during the first two weeks of</w:t>
      </w:r>
      <w:r w:rsidR="0072397E" w:rsidRPr="009201DC">
        <w:t xml:space="preserve"> their military service</w:t>
      </w:r>
      <w:r w:rsidR="0010740C" w:rsidRPr="009201DC">
        <w:t xml:space="preserve"> </w:t>
      </w:r>
      <w:r w:rsidR="00265BAA" w:rsidRPr="009201DC">
        <w:t xml:space="preserve">training </w:t>
      </w:r>
      <w:r w:rsidR="0010740C" w:rsidRPr="009201DC">
        <w:t>between 1952- 72.</w:t>
      </w:r>
      <w:r w:rsidR="00D81B73" w:rsidRPr="009201DC">
        <w:t xml:space="preserve"> Their p</w:t>
      </w:r>
      <w:r w:rsidR="001A38A6" w:rsidRPr="009201DC">
        <w:t xml:space="preserve">hysical functioning </w:t>
      </w:r>
      <w:r w:rsidR="0072397E" w:rsidRPr="009201DC">
        <w:t xml:space="preserve">was assessed </w:t>
      </w:r>
      <w:r w:rsidR="00265BAA" w:rsidRPr="009201DC">
        <w:t>twice using the</w:t>
      </w:r>
      <w:r w:rsidR="0072397E" w:rsidRPr="009201DC">
        <w:t xml:space="preserve"> Short Form 36 (SF-36) </w:t>
      </w:r>
      <w:r w:rsidR="001A38A6" w:rsidRPr="009201DC">
        <w:t>questionnaire</w:t>
      </w:r>
      <w:r w:rsidR="00C36167" w:rsidRPr="009201DC">
        <w:t xml:space="preserve"> </w:t>
      </w:r>
      <w:r w:rsidR="008710E0" w:rsidRPr="009201DC">
        <w:t>at</w:t>
      </w:r>
      <w:r w:rsidR="0010740C" w:rsidRPr="009201DC">
        <w:t xml:space="preserve"> average age</w:t>
      </w:r>
      <w:r w:rsidR="008710E0" w:rsidRPr="009201DC">
        <w:t>s</w:t>
      </w:r>
      <w:r w:rsidR="0010740C" w:rsidRPr="009201DC">
        <w:t xml:space="preserve"> of 61</w:t>
      </w:r>
      <w:r w:rsidR="001A38A6" w:rsidRPr="009201DC">
        <w:t xml:space="preserve"> </w:t>
      </w:r>
      <w:r w:rsidR="008710E0" w:rsidRPr="009201DC">
        <w:t>and</w:t>
      </w:r>
      <w:r w:rsidR="0010740C" w:rsidRPr="009201DC">
        <w:t xml:space="preserve"> 71</w:t>
      </w:r>
      <w:r w:rsidR="00BB40D5" w:rsidRPr="009201DC">
        <w:t xml:space="preserve"> years</w:t>
      </w:r>
      <w:r w:rsidR="00C36167" w:rsidRPr="009201DC">
        <w:t>.</w:t>
      </w:r>
      <w:r w:rsidR="001A38A6" w:rsidRPr="00A62036">
        <w:rPr>
          <w:color w:val="FF0000"/>
        </w:rPr>
        <w:t xml:space="preserve"> </w:t>
      </w:r>
      <w:r w:rsidR="00AA101E">
        <w:t>A</w:t>
      </w:r>
      <w:r w:rsidR="00456D08" w:rsidRPr="00795977">
        <w:t xml:space="preserve"> l</w:t>
      </w:r>
      <w:r w:rsidR="00795977" w:rsidRPr="00795977">
        <w:t xml:space="preserve">ongitudinal </w:t>
      </w:r>
      <w:r w:rsidR="00FD3073" w:rsidRPr="00795977">
        <w:t xml:space="preserve">path model </w:t>
      </w:r>
      <w:r w:rsidR="00AA101E">
        <w:t>linking Intellectual Ab</w:t>
      </w:r>
      <w:r w:rsidR="00265BAA">
        <w:t>ility Test score to the</w:t>
      </w:r>
      <w:r w:rsidR="00AA101E">
        <w:t xml:space="preserve"> physical functioning assessments</w:t>
      </w:r>
      <w:r w:rsidR="00795977" w:rsidRPr="00795977">
        <w:t xml:space="preserve"> </w:t>
      </w:r>
      <w:r w:rsidR="001A38A6" w:rsidRPr="00795977">
        <w:t>was used t</w:t>
      </w:r>
      <w:r w:rsidR="003B1DA8" w:rsidRPr="00795977">
        <w:t>o explore the effect of</w:t>
      </w:r>
      <w:r w:rsidR="001A38A6" w:rsidRPr="00795977">
        <w:t xml:space="preserve"> intellectu</w:t>
      </w:r>
      <w:r w:rsidR="001A38A6">
        <w:t>al ability in young adulthood</w:t>
      </w:r>
      <w:r w:rsidR="0010740C">
        <w:t xml:space="preserve"> on physical functioning </w:t>
      </w:r>
      <w:r w:rsidR="001A38A6">
        <w:t>in older age</w:t>
      </w:r>
      <w:r w:rsidR="003B1DA8">
        <w:t>.</w:t>
      </w:r>
    </w:p>
    <w:p w:rsidR="00EA2E8A" w:rsidRDefault="001A38A6" w:rsidP="001A38A6">
      <w:pPr>
        <w:spacing w:line="360" w:lineRule="auto"/>
      </w:pPr>
      <w:r w:rsidRPr="00F65BB2">
        <w:rPr>
          <w:b/>
        </w:rPr>
        <w:t xml:space="preserve">Results: </w:t>
      </w:r>
      <w:r w:rsidRPr="00F65BB2">
        <w:t xml:space="preserve">After </w:t>
      </w:r>
      <w:r w:rsidR="00C36167">
        <w:t>adjustment</w:t>
      </w:r>
      <w:r w:rsidR="00061605">
        <w:t>s</w:t>
      </w:r>
      <w:r w:rsidR="00C36167">
        <w:t xml:space="preserve"> for age</w:t>
      </w:r>
      <w:r w:rsidR="000973B2">
        <w:t xml:space="preserve"> a</w:t>
      </w:r>
      <w:r w:rsidR="0010740C">
        <w:t>t</w:t>
      </w:r>
      <w:r w:rsidR="004558DB">
        <w:t xml:space="preserve"> measurement</w:t>
      </w:r>
      <w:r w:rsidR="003B1DA8">
        <w:t>,</w:t>
      </w:r>
      <w:r w:rsidR="000973B2">
        <w:t xml:space="preserve"> childhood</w:t>
      </w:r>
      <w:r w:rsidR="004E1887">
        <w:t xml:space="preserve"> </w:t>
      </w:r>
      <w:r w:rsidR="00C36167">
        <w:t>socioeconomic status</w:t>
      </w:r>
      <w:r w:rsidR="003F168B">
        <w:t xml:space="preserve"> and adult BMI (</w:t>
      </w:r>
      <w:r w:rsidR="003B1DA8">
        <w:t>kg/</w:t>
      </w:r>
      <w:r w:rsidR="003B1DA8" w:rsidRPr="003B1DA8">
        <w:t>m</w:t>
      </w:r>
      <w:r w:rsidR="003B1DA8" w:rsidRPr="003B1DA8">
        <w:rPr>
          <w:vertAlign w:val="superscript"/>
        </w:rPr>
        <w:t>2</w:t>
      </w:r>
      <w:r w:rsidR="003B1DA8">
        <w:t>)</w:t>
      </w:r>
      <w:r w:rsidR="00A62036">
        <w:t>,</w:t>
      </w:r>
      <w:r w:rsidR="003B1DA8">
        <w:rPr>
          <w:vertAlign w:val="superscript"/>
        </w:rPr>
        <w:t xml:space="preserve"> </w:t>
      </w:r>
      <w:r w:rsidRPr="003B1DA8">
        <w:t>better</w:t>
      </w:r>
      <w:r>
        <w:t xml:space="preserve"> </w:t>
      </w:r>
      <w:r w:rsidRPr="00F65BB2">
        <w:t>intellectua</w:t>
      </w:r>
      <w:r w:rsidR="003F168B">
        <w:t>l ability</w:t>
      </w:r>
      <w:r w:rsidR="00932E57">
        <w:t xml:space="preserve"> </w:t>
      </w:r>
      <w:r w:rsidR="00EA2E8A">
        <w:t xml:space="preserve">total and arithmetic and verbal </w:t>
      </w:r>
      <w:r w:rsidR="00810803">
        <w:t xml:space="preserve">reasoning </w:t>
      </w:r>
      <w:r w:rsidR="00EA2E8A">
        <w:t xml:space="preserve">subtest scores </w:t>
      </w:r>
      <w:r w:rsidR="003F168B">
        <w:t>in young adulthood predicted better physical functioning at ag</w:t>
      </w:r>
      <w:r w:rsidR="0010740C">
        <w:t>e 61</w:t>
      </w:r>
      <w:r w:rsidR="003F168B">
        <w:t xml:space="preserve"> years (P</w:t>
      </w:r>
      <w:r w:rsidR="00EA2E8A">
        <w:t>-values &lt;</w:t>
      </w:r>
      <w:r w:rsidR="003F168B">
        <w:t xml:space="preserve"> </w:t>
      </w:r>
      <w:r w:rsidR="004D55DC">
        <w:t>0.021</w:t>
      </w:r>
      <w:r w:rsidR="003F168B">
        <w:t>)</w:t>
      </w:r>
      <w:r w:rsidR="008710E0">
        <w:t xml:space="preserve">. Intellectual ability </w:t>
      </w:r>
      <w:r w:rsidR="00EA2E8A">
        <w:t xml:space="preserve">total and arithmetic and verbal reasoning subtest scores </w:t>
      </w:r>
      <w:r w:rsidR="008710E0">
        <w:t>in young adulthood</w:t>
      </w:r>
      <w:r w:rsidR="00EA2E8A">
        <w:t xml:space="preserve"> had indirect</w:t>
      </w:r>
      <w:r w:rsidR="003F168B">
        <w:t xml:space="preserve"> effect</w:t>
      </w:r>
      <w:r w:rsidR="00EA2E8A">
        <w:t>s</w:t>
      </w:r>
      <w:r w:rsidR="003F168B">
        <w:t xml:space="preserve"> on</w:t>
      </w:r>
      <w:r w:rsidRPr="00F65BB2">
        <w:t xml:space="preserve"> </w:t>
      </w:r>
      <w:r w:rsidR="0010740C">
        <w:t>physical functioning at age 71</w:t>
      </w:r>
      <w:r w:rsidR="003815D4">
        <w:t xml:space="preserve"> years </w:t>
      </w:r>
      <w:r w:rsidR="003F168B">
        <w:t>(</w:t>
      </w:r>
      <w:r w:rsidR="004D55DC">
        <w:t>P-values &lt; 0.022</w:t>
      </w:r>
      <w:r w:rsidR="008710E0">
        <w:t xml:space="preserve">) through </w:t>
      </w:r>
      <w:r w:rsidR="00EA2E8A">
        <w:t xml:space="preserve">better </w:t>
      </w:r>
      <w:r w:rsidR="008710E0">
        <w:t>physical functioning at age 61 years.</w:t>
      </w:r>
      <w:r w:rsidR="003815D4">
        <w:t xml:space="preserve"> </w:t>
      </w:r>
      <w:r w:rsidR="00D81B73" w:rsidRPr="003325F1">
        <w:t>Adjustment for main</w:t>
      </w:r>
      <w:r w:rsidR="00D81B73">
        <w:t xml:space="preserve"> chronic diseases </w:t>
      </w:r>
      <w:r w:rsidR="00D81B73" w:rsidRPr="003325F1">
        <w:t>did not change the results materially.</w:t>
      </w:r>
    </w:p>
    <w:p w:rsidR="001A38A6" w:rsidRPr="00F65BB2" w:rsidRDefault="001A38A6" w:rsidP="001A38A6">
      <w:pPr>
        <w:spacing w:line="360" w:lineRule="auto"/>
      </w:pPr>
      <w:r w:rsidRPr="00F65BB2">
        <w:rPr>
          <w:b/>
        </w:rPr>
        <w:t>Conclusion:</w:t>
      </w:r>
      <w:r>
        <w:t xml:space="preserve"> </w:t>
      </w:r>
      <w:r w:rsidR="0027605C">
        <w:t>Better e</w:t>
      </w:r>
      <w:r w:rsidR="00AA101E" w:rsidRPr="00F65BB2">
        <w:t>a</w:t>
      </w:r>
      <w:r w:rsidR="00AA101E">
        <w:t>rly life i</w:t>
      </w:r>
      <w:r w:rsidR="00A74C1F">
        <w:t>ntellectual</w:t>
      </w:r>
      <w:r w:rsidR="00C8180B">
        <w:t xml:space="preserve"> </w:t>
      </w:r>
      <w:r w:rsidR="0010740C">
        <w:t>ability</w:t>
      </w:r>
      <w:r w:rsidR="00EA2E8A">
        <w:t xml:space="preserve"> helps in</w:t>
      </w:r>
      <w:r w:rsidR="002C3CC8">
        <w:t xml:space="preserve"> maintain</w:t>
      </w:r>
      <w:r w:rsidR="00EA2E8A">
        <w:t>ing</w:t>
      </w:r>
      <w:r w:rsidR="002C3CC8">
        <w:t xml:space="preserve"> </w:t>
      </w:r>
      <w:r w:rsidRPr="00F65BB2">
        <w:t>better p</w:t>
      </w:r>
      <w:r w:rsidR="002C3CC8">
        <w:t>hysical functioning</w:t>
      </w:r>
      <w:r w:rsidR="00EA2E8A">
        <w:t xml:space="preserve"> in older age</w:t>
      </w:r>
      <w:r w:rsidRPr="00F65BB2">
        <w:t>.</w:t>
      </w:r>
    </w:p>
    <w:p w:rsidR="00770321" w:rsidRDefault="00770321" w:rsidP="009B458A">
      <w:pPr>
        <w:spacing w:line="480" w:lineRule="auto"/>
        <w:rPr>
          <w:b/>
        </w:rPr>
      </w:pPr>
    </w:p>
    <w:p w:rsidR="001A38A6" w:rsidRDefault="001A38A6" w:rsidP="009B458A">
      <w:pPr>
        <w:spacing w:line="480" w:lineRule="auto"/>
        <w:rPr>
          <w:b/>
        </w:rPr>
      </w:pPr>
    </w:p>
    <w:p w:rsidR="00597775" w:rsidRDefault="00597775" w:rsidP="009B458A">
      <w:pPr>
        <w:spacing w:line="480" w:lineRule="auto"/>
        <w:rPr>
          <w:b/>
        </w:rPr>
      </w:pPr>
    </w:p>
    <w:p w:rsidR="00071316" w:rsidRDefault="00071316" w:rsidP="009B458A">
      <w:pPr>
        <w:spacing w:line="480" w:lineRule="auto"/>
        <w:rPr>
          <w:b/>
        </w:rPr>
      </w:pPr>
    </w:p>
    <w:p w:rsidR="00071316" w:rsidRDefault="00071316" w:rsidP="009B458A">
      <w:pPr>
        <w:spacing w:line="480" w:lineRule="auto"/>
        <w:rPr>
          <w:b/>
        </w:rPr>
      </w:pPr>
    </w:p>
    <w:p w:rsidR="00517026" w:rsidRDefault="00517026" w:rsidP="009B458A">
      <w:pPr>
        <w:spacing w:line="480" w:lineRule="auto"/>
        <w:rPr>
          <w:b/>
        </w:rPr>
      </w:pPr>
    </w:p>
    <w:p w:rsidR="00753847" w:rsidRDefault="00753847" w:rsidP="009B458A">
      <w:pPr>
        <w:spacing w:line="480" w:lineRule="auto"/>
        <w:rPr>
          <w:b/>
        </w:rPr>
      </w:pPr>
    </w:p>
    <w:p w:rsidR="00753847" w:rsidRDefault="00753847" w:rsidP="009B458A">
      <w:pPr>
        <w:spacing w:line="480" w:lineRule="auto"/>
        <w:rPr>
          <w:b/>
        </w:rPr>
      </w:pPr>
    </w:p>
    <w:p w:rsidR="000A72A7" w:rsidRPr="008F2269" w:rsidRDefault="0047737D" w:rsidP="009B458A">
      <w:pPr>
        <w:spacing w:line="480" w:lineRule="auto"/>
        <w:rPr>
          <w:b/>
        </w:rPr>
      </w:pPr>
      <w:r w:rsidRPr="007A6E2A">
        <w:rPr>
          <w:b/>
        </w:rPr>
        <w:t>INTRODUCTION</w:t>
      </w:r>
      <w:r w:rsidR="00465E2E">
        <w:t xml:space="preserve"> </w:t>
      </w:r>
    </w:p>
    <w:p w:rsidR="003A1C9D" w:rsidRDefault="00D66A5E" w:rsidP="009B458A">
      <w:pPr>
        <w:spacing w:line="480" w:lineRule="auto"/>
      </w:pPr>
      <w:r>
        <w:t>P</w:t>
      </w:r>
      <w:r w:rsidR="005D12E2">
        <w:t xml:space="preserve">eople with higher </w:t>
      </w:r>
      <w:r w:rsidR="00163546">
        <w:t>early life</w:t>
      </w:r>
      <w:r w:rsidR="00633A6F">
        <w:t xml:space="preserve"> </w:t>
      </w:r>
      <w:r w:rsidR="005D12E2">
        <w:t xml:space="preserve">intellectual abilities tend to live longer and </w:t>
      </w:r>
      <w:r w:rsidR="00F015FD">
        <w:t xml:space="preserve">lead </w:t>
      </w:r>
      <w:r w:rsidR="005D12E2">
        <w:t xml:space="preserve">healthier </w:t>
      </w:r>
      <w:proofErr w:type="gramStart"/>
      <w:r w:rsidR="00F0335B">
        <w:t>lives</w:t>
      </w:r>
      <w:proofErr w:type="gramEnd"/>
      <w:r w:rsidR="005D12E2">
        <w:fldChar w:fldCharType="begin"/>
      </w:r>
      <w:r w:rsidR="00502887">
        <w:instrText>ADDIN RW.CITE{{75 Batty,G.D. 2007}}</w:instrText>
      </w:r>
      <w:r w:rsidR="005D12E2">
        <w:fldChar w:fldCharType="separate"/>
      </w:r>
      <w:r w:rsidR="00D62272" w:rsidRPr="00D62272">
        <w:t>[1]</w:t>
      </w:r>
      <w:r w:rsidR="005D12E2">
        <w:fldChar w:fldCharType="end"/>
      </w:r>
      <w:r w:rsidR="005D12E2">
        <w:t>.</w:t>
      </w:r>
      <w:r w:rsidR="003E257F">
        <w:t xml:space="preserve"> </w:t>
      </w:r>
      <w:r w:rsidR="00753847">
        <w:t>E</w:t>
      </w:r>
      <w:r w:rsidR="00F10D1E" w:rsidRPr="0082658C">
        <w:t xml:space="preserve">arly </w:t>
      </w:r>
      <w:r w:rsidR="00F10D1E">
        <w:t>adul</w:t>
      </w:r>
      <w:r w:rsidR="00E12B66">
        <w:t>thood</w:t>
      </w:r>
      <w:r w:rsidR="00376720">
        <w:t>,</w:t>
      </w:r>
      <w:r w:rsidR="00E12B66">
        <w:t xml:space="preserve"> </w:t>
      </w:r>
      <w:r w:rsidR="00FD33A2">
        <w:t xml:space="preserve">as a </w:t>
      </w:r>
      <w:r w:rsidR="002C22D7">
        <w:t xml:space="preserve">period when </w:t>
      </w:r>
      <w:r w:rsidR="00FD33A2">
        <w:t>brain development peaks</w:t>
      </w:r>
      <w:r w:rsidR="00376720">
        <w:t>,</w:t>
      </w:r>
      <w:r w:rsidR="00376720" w:rsidRPr="00376720">
        <w:t xml:space="preserve"> </w:t>
      </w:r>
      <w:r w:rsidR="00376720">
        <w:t>is a critical milestone in the development of inte</w:t>
      </w:r>
      <w:r w:rsidR="00F0335B">
        <w:t xml:space="preserve">llectual abilities in </w:t>
      </w:r>
      <w:proofErr w:type="gramStart"/>
      <w:r w:rsidR="00F0335B">
        <w:t>adulthood</w:t>
      </w:r>
      <w:proofErr w:type="gramEnd"/>
      <w:r w:rsidR="006907AD">
        <w:fldChar w:fldCharType="begin"/>
      </w:r>
      <w:r w:rsidR="00502887">
        <w:instrText>ADDIN RW.CITE{{68 Salthouse,T.A. 2009}}</w:instrText>
      </w:r>
      <w:r w:rsidR="006907AD">
        <w:fldChar w:fldCharType="separate"/>
      </w:r>
      <w:r w:rsidR="00D62272" w:rsidRPr="00D62272">
        <w:t>[2]</w:t>
      </w:r>
      <w:r w:rsidR="006907AD">
        <w:fldChar w:fldCharType="end"/>
      </w:r>
      <w:r w:rsidR="00A67602">
        <w:t xml:space="preserve">. </w:t>
      </w:r>
      <w:r w:rsidR="008978B7" w:rsidRPr="001F2E08">
        <w:t>B</w:t>
      </w:r>
      <w:r w:rsidR="008E7989" w:rsidRPr="001F2E08">
        <w:t xml:space="preserve">etter </w:t>
      </w:r>
      <w:r w:rsidR="00153D31" w:rsidRPr="001F2E08">
        <w:t>early life</w:t>
      </w:r>
      <w:r w:rsidR="008978B7" w:rsidRPr="001F2E08">
        <w:t xml:space="preserve"> </w:t>
      </w:r>
      <w:r w:rsidR="00485262" w:rsidRPr="001F2E08">
        <w:t xml:space="preserve">cognitive ability </w:t>
      </w:r>
      <w:r w:rsidR="0002555F" w:rsidRPr="001F2E08">
        <w:t xml:space="preserve">is a key ingredient of cognitive reserve and </w:t>
      </w:r>
      <w:r w:rsidR="00485262" w:rsidRPr="001F2E08">
        <w:t>can pr</w:t>
      </w:r>
      <w:r w:rsidR="00F0335B">
        <w:t xml:space="preserve">otect against cognitive </w:t>
      </w:r>
      <w:proofErr w:type="gramStart"/>
      <w:r w:rsidR="00F0335B">
        <w:t>decline</w:t>
      </w:r>
      <w:proofErr w:type="gramEnd"/>
      <w:r w:rsidR="002161A0" w:rsidRPr="002572C9">
        <w:fldChar w:fldCharType="begin"/>
      </w:r>
      <w:r w:rsidR="00502887" w:rsidRPr="002572C9">
        <w:instrText>ADDIN RW.CITE{{100 Richards,M. 2004}}</w:instrText>
      </w:r>
      <w:r w:rsidR="002161A0" w:rsidRPr="002572C9">
        <w:fldChar w:fldCharType="separate"/>
      </w:r>
      <w:r w:rsidR="00D62272" w:rsidRPr="00D62272">
        <w:t>[3]</w:t>
      </w:r>
      <w:r w:rsidR="002161A0" w:rsidRPr="002572C9">
        <w:fldChar w:fldCharType="end"/>
      </w:r>
      <w:r w:rsidR="002161A0" w:rsidRPr="002572C9">
        <w:t xml:space="preserve">accompanied with declines in functional status </w:t>
      </w:r>
      <w:r w:rsidR="00485262" w:rsidRPr="002572C9">
        <w:t>in later life</w:t>
      </w:r>
      <w:r w:rsidR="00054BDD" w:rsidRPr="002572C9">
        <w:fldChar w:fldCharType="begin"/>
      </w:r>
      <w:r w:rsidR="00502887" w:rsidRPr="002572C9">
        <w:instrText>ADDIN RW.CITE{{102 Auyeung,T.W. 2008}}</w:instrText>
      </w:r>
      <w:r w:rsidR="00054BDD" w:rsidRPr="002572C9">
        <w:fldChar w:fldCharType="separate"/>
      </w:r>
      <w:r w:rsidR="00D62272" w:rsidRPr="00D62272">
        <w:t>[4]</w:t>
      </w:r>
      <w:r w:rsidR="00054BDD" w:rsidRPr="002572C9">
        <w:fldChar w:fldCharType="end"/>
      </w:r>
      <w:r w:rsidR="00485262" w:rsidRPr="002572C9">
        <w:t>.</w:t>
      </w:r>
      <w:r w:rsidR="00A67602" w:rsidRPr="002572C9">
        <w:t xml:space="preserve"> C</w:t>
      </w:r>
      <w:r w:rsidR="00DB0E51" w:rsidRPr="002572C9">
        <w:t>ognitive ageing has implications for</w:t>
      </w:r>
      <w:r w:rsidR="00F0335B" w:rsidRPr="002572C9">
        <w:t xml:space="preserve"> motor performance in older </w:t>
      </w:r>
      <w:proofErr w:type="gramStart"/>
      <w:r w:rsidR="00F0335B" w:rsidRPr="002572C9">
        <w:t>age</w:t>
      </w:r>
      <w:proofErr w:type="gramEnd"/>
      <w:r w:rsidR="00DB0E51" w:rsidRPr="002572C9">
        <w:fldChar w:fldCharType="begin"/>
      </w:r>
      <w:r w:rsidR="00502887" w:rsidRPr="002572C9">
        <w:instrText>ADDIN RW.CITE{{35 Ren,J. 2013}}</w:instrText>
      </w:r>
      <w:r w:rsidR="00DB0E51" w:rsidRPr="002572C9">
        <w:fldChar w:fldCharType="separate"/>
      </w:r>
      <w:r w:rsidR="00D62272" w:rsidRPr="00D62272">
        <w:t>[5]</w:t>
      </w:r>
      <w:r w:rsidR="00DB0E51" w:rsidRPr="002572C9">
        <w:fldChar w:fldCharType="end"/>
      </w:r>
      <w:r w:rsidR="00DB0E51" w:rsidRPr="002572C9">
        <w:t xml:space="preserve"> as cognitive functions play an important ro</w:t>
      </w:r>
      <w:r w:rsidR="00F0335B" w:rsidRPr="002572C9">
        <w:t>le in skilled motor performance</w:t>
      </w:r>
      <w:r w:rsidR="00DB0E51" w:rsidRPr="002572C9">
        <w:fldChar w:fldCharType="begin"/>
      </w:r>
      <w:r w:rsidR="00502887" w:rsidRPr="002572C9">
        <w:instrText>ADDIN RW.CITE{{6 Diamond,A. 2000}}</w:instrText>
      </w:r>
      <w:r w:rsidR="00DB0E51" w:rsidRPr="002572C9">
        <w:fldChar w:fldCharType="separate"/>
      </w:r>
      <w:r w:rsidR="00D62272" w:rsidRPr="00D62272">
        <w:t>[6]</w:t>
      </w:r>
      <w:r w:rsidR="00DB0E51" w:rsidRPr="002572C9">
        <w:fldChar w:fldCharType="end"/>
      </w:r>
      <w:r w:rsidR="00DB0E51" w:rsidRPr="002572C9">
        <w:t xml:space="preserve">. </w:t>
      </w:r>
      <w:r w:rsidR="00485262" w:rsidRPr="002572C9">
        <w:t xml:space="preserve"> </w:t>
      </w:r>
      <w:r w:rsidR="00A67602" w:rsidRPr="002572C9">
        <w:t>S</w:t>
      </w:r>
      <w:r w:rsidR="00A67602">
        <w:t>o far, only few studies</w:t>
      </w:r>
      <w:r w:rsidR="00A67602" w:rsidRPr="001E3348">
        <w:t xml:space="preserve"> have investigated the association between early life intellectual ability and physical functioning in later</w:t>
      </w:r>
      <w:r w:rsidR="00A67602">
        <w:t xml:space="preserve"> </w:t>
      </w:r>
      <w:proofErr w:type="gramStart"/>
      <w:r w:rsidR="00A67602">
        <w:t>life</w:t>
      </w:r>
      <w:proofErr w:type="gramEnd"/>
      <w:r w:rsidR="00093CB1">
        <w:fldChar w:fldCharType="begin"/>
      </w:r>
      <w:r w:rsidR="00502887">
        <w:instrText>ADDIN RW.CITE{{73 Kuh,D. 2009; 71 Starr,J.M. 2000}}</w:instrText>
      </w:r>
      <w:r w:rsidR="00093CB1">
        <w:fldChar w:fldCharType="separate"/>
      </w:r>
      <w:r w:rsidR="00D62272" w:rsidRPr="00D62272">
        <w:t>[7, 8]</w:t>
      </w:r>
      <w:r w:rsidR="00093CB1">
        <w:fldChar w:fldCharType="end"/>
      </w:r>
      <w:r w:rsidR="00A67602" w:rsidRPr="001E3348">
        <w:t>.</w:t>
      </w:r>
      <w:r w:rsidR="00A67602">
        <w:t xml:space="preserve"> </w:t>
      </w:r>
      <w:r w:rsidR="00F63D16" w:rsidRPr="008B62E8">
        <w:t xml:space="preserve">To our knowledge this is a first study where </w:t>
      </w:r>
      <w:r w:rsidR="00E55E81" w:rsidRPr="008B62E8">
        <w:t xml:space="preserve">this </w:t>
      </w:r>
      <w:r w:rsidR="00F63D16" w:rsidRPr="008B62E8">
        <w:t>association has been studied during 10-year follow-up</w:t>
      </w:r>
      <w:r w:rsidR="00A40B7F" w:rsidRPr="008B62E8">
        <w:t xml:space="preserve"> in old</w:t>
      </w:r>
      <w:r w:rsidR="00A3184E" w:rsidRPr="008B62E8">
        <w:t>er</w:t>
      </w:r>
      <w:r w:rsidR="00A40B7F" w:rsidRPr="008B62E8">
        <w:t xml:space="preserve"> age</w:t>
      </w:r>
      <w:r w:rsidR="00F63D16" w:rsidRPr="008B62E8">
        <w:t>.</w:t>
      </w:r>
      <w:r w:rsidR="00F63D16">
        <w:t xml:space="preserve"> </w:t>
      </w:r>
    </w:p>
    <w:p w:rsidR="003A1C9D" w:rsidRDefault="003A1C9D" w:rsidP="009B458A">
      <w:pPr>
        <w:spacing w:line="480" w:lineRule="auto"/>
      </w:pPr>
    </w:p>
    <w:p w:rsidR="0047737D" w:rsidRPr="00C06C66" w:rsidRDefault="0047737D" w:rsidP="009B458A">
      <w:pPr>
        <w:spacing w:line="480" w:lineRule="auto"/>
        <w:rPr>
          <w:b/>
        </w:rPr>
      </w:pPr>
      <w:r w:rsidRPr="00C06C66">
        <w:rPr>
          <w:b/>
        </w:rPr>
        <w:t>METHODS</w:t>
      </w:r>
    </w:p>
    <w:p w:rsidR="0047737D" w:rsidRPr="00C06C66" w:rsidRDefault="0047737D" w:rsidP="009B458A">
      <w:pPr>
        <w:spacing w:line="480" w:lineRule="auto"/>
        <w:rPr>
          <w:b/>
        </w:rPr>
      </w:pPr>
      <w:r w:rsidRPr="00C06C66">
        <w:rPr>
          <w:b/>
        </w:rPr>
        <w:t>Study population</w:t>
      </w:r>
    </w:p>
    <w:p w:rsidR="000B10EF" w:rsidRPr="00D37AFC" w:rsidRDefault="00B54D72" w:rsidP="00A11269">
      <w:pPr>
        <w:spacing w:line="480" w:lineRule="auto"/>
      </w:pPr>
      <w:r w:rsidRPr="00B54D72">
        <w:t>The study population belongs to</w:t>
      </w:r>
      <w:r w:rsidR="00B2504A" w:rsidRPr="00B54D72">
        <w:t xml:space="preserve"> the Helsinki Birth Cohort </w:t>
      </w:r>
      <w:r w:rsidRPr="00B54D72">
        <w:t xml:space="preserve">Study </w:t>
      </w:r>
      <w:r w:rsidR="00B2504A" w:rsidRPr="00B54D72">
        <w:t xml:space="preserve">(HBCS), which includes 8760 </w:t>
      </w:r>
      <w:r w:rsidR="000B0F4A" w:rsidRPr="00B54D72">
        <w:t>participa</w:t>
      </w:r>
      <w:r w:rsidR="007F19D7">
        <w:t>nts who were born between 1934-</w:t>
      </w:r>
      <w:r w:rsidR="000B0F4A" w:rsidRPr="00B54D72">
        <w:t>1944 and who had attended child welfare clinics</w:t>
      </w:r>
      <w:r w:rsidR="00F0335B">
        <w:t xml:space="preserve"> and resided in Finland in 1971</w:t>
      </w:r>
      <w:r w:rsidR="000B0F4A" w:rsidRPr="00B54D72">
        <w:fldChar w:fldCharType="begin"/>
      </w:r>
      <w:r w:rsidR="00502887">
        <w:instrText>ADDIN RW.CITE{{23 Barker,D.J. 2005; 17 Eriksson,J.G. 2001; 27 Räikkonen,K. 2009; 103 Kajantie,E. 2010}}</w:instrText>
      </w:r>
      <w:r w:rsidR="000B0F4A" w:rsidRPr="00B54D72">
        <w:fldChar w:fldCharType="separate"/>
      </w:r>
      <w:r w:rsidR="00D62272" w:rsidRPr="00D62272">
        <w:t>[9-12]</w:t>
      </w:r>
      <w:r w:rsidR="000B0F4A" w:rsidRPr="00B54D72">
        <w:fldChar w:fldCharType="end"/>
      </w:r>
      <w:r w:rsidR="00C67382">
        <w:t xml:space="preserve">. Of these, </w:t>
      </w:r>
      <w:r w:rsidR="000D4942">
        <w:t xml:space="preserve">we were able to identify </w:t>
      </w:r>
      <w:r w:rsidR="00C67382">
        <w:t>2786</w:t>
      </w:r>
      <w:r w:rsidR="000D4942">
        <w:t xml:space="preserve"> </w:t>
      </w:r>
      <w:r w:rsidR="001E3348" w:rsidRPr="00B54D72">
        <w:t>Fi</w:t>
      </w:r>
      <w:r w:rsidR="0099559B">
        <w:t>nnish male military conscri</w:t>
      </w:r>
      <w:r w:rsidRPr="00B54D72">
        <w:t xml:space="preserve">pt </w:t>
      </w:r>
      <w:r w:rsidR="000D4942">
        <w:t xml:space="preserve">who </w:t>
      </w:r>
      <w:r w:rsidR="000B0F4A" w:rsidRPr="00B54D72">
        <w:t>took</w:t>
      </w:r>
      <w:r w:rsidR="005C41CA" w:rsidRPr="00B54D72">
        <w:t xml:space="preserve"> a</w:t>
      </w:r>
      <w:r w:rsidR="00AF6544" w:rsidRPr="00B54D72">
        <w:t>n</w:t>
      </w:r>
      <w:r w:rsidR="00AB46D4" w:rsidRPr="00B54D72">
        <w:t xml:space="preserve"> intellectual</w:t>
      </w:r>
      <w:r w:rsidR="00BA56BE" w:rsidRPr="00B54D72">
        <w:t xml:space="preserve"> </w:t>
      </w:r>
      <w:r w:rsidR="001E47C2">
        <w:t xml:space="preserve">ability test </w:t>
      </w:r>
      <w:r w:rsidR="009E20B0" w:rsidRPr="00B54D72">
        <w:t xml:space="preserve">during their </w:t>
      </w:r>
      <w:r w:rsidR="00972955" w:rsidRPr="002572C9">
        <w:t>mandatory</w:t>
      </w:r>
      <w:r w:rsidR="00972955">
        <w:t xml:space="preserve"> </w:t>
      </w:r>
      <w:r w:rsidR="009E20B0" w:rsidRPr="00B54D72">
        <w:t xml:space="preserve">military service at </w:t>
      </w:r>
      <w:r w:rsidR="005C41CA" w:rsidRPr="00B54D72">
        <w:t xml:space="preserve">a </w:t>
      </w:r>
      <w:r w:rsidR="009E20B0" w:rsidRPr="00B54D72">
        <w:t xml:space="preserve">mean </w:t>
      </w:r>
      <w:r w:rsidR="009B039F" w:rsidRPr="00B54D72">
        <w:t xml:space="preserve">age of </w:t>
      </w:r>
      <w:r w:rsidR="009E20B0" w:rsidRPr="00B54D72">
        <w:t>20.3</w:t>
      </w:r>
      <w:r w:rsidR="00BA56BE" w:rsidRPr="00B54D72">
        <w:t xml:space="preserve"> years</w:t>
      </w:r>
      <w:r w:rsidRPr="00B54D72">
        <w:t xml:space="preserve"> </w:t>
      </w:r>
      <w:proofErr w:type="gramStart"/>
      <w:r w:rsidRPr="00B54D72">
        <w:t>between 1952-1972</w:t>
      </w:r>
      <w:proofErr w:type="gramEnd"/>
      <w:r w:rsidR="000B0F4A" w:rsidRPr="00B54D72">
        <w:t>.</w:t>
      </w:r>
      <w:r w:rsidR="00BA56BE" w:rsidRPr="00B54D72">
        <w:t xml:space="preserve"> </w:t>
      </w:r>
      <w:r w:rsidR="000D4942" w:rsidRPr="009201DC">
        <w:t>O</w:t>
      </w:r>
      <w:r w:rsidR="009E20B0" w:rsidRPr="009201DC">
        <w:t>f them</w:t>
      </w:r>
      <w:r w:rsidR="005C41CA" w:rsidRPr="009201DC">
        <w:t>,</w:t>
      </w:r>
      <w:r w:rsidR="001E3348" w:rsidRPr="009201DC">
        <w:t xml:space="preserve"> </w:t>
      </w:r>
      <w:r w:rsidR="00774914" w:rsidRPr="009201DC">
        <w:t>640 men</w:t>
      </w:r>
      <w:r w:rsidR="00C67382" w:rsidRPr="00C67382">
        <w:t xml:space="preserve"> </w:t>
      </w:r>
      <w:r w:rsidR="00C67382" w:rsidRPr="009201DC">
        <w:t xml:space="preserve">participated in the </w:t>
      </w:r>
      <w:r w:rsidR="00E80E3B">
        <w:t xml:space="preserve">clinical </w:t>
      </w:r>
      <w:r w:rsidR="00C67382" w:rsidRPr="009201DC">
        <w:t>examinations between 2001 and 2004.</w:t>
      </w:r>
      <w:r w:rsidR="004C684C" w:rsidRPr="009201DC">
        <w:t xml:space="preserve"> </w:t>
      </w:r>
      <w:r w:rsidR="003239D5" w:rsidRPr="009201DC">
        <w:t xml:space="preserve">A total of 1094 participants (478 men and 616 women) attended the </w:t>
      </w:r>
      <w:r w:rsidR="003239D5">
        <w:t xml:space="preserve">follow-up </w:t>
      </w:r>
      <w:r w:rsidR="003239D5" w:rsidRPr="009201DC">
        <w:t>clinical examinations between 2011 and 2013</w:t>
      </w:r>
      <w:r w:rsidR="003239D5" w:rsidRPr="009201DC">
        <w:fldChar w:fldCharType="begin"/>
      </w:r>
      <w:r w:rsidR="00502887">
        <w:instrText>ADDIN RW.CITE{{184 Eriksson,J.G. 2015}}</w:instrText>
      </w:r>
      <w:r w:rsidR="003239D5" w:rsidRPr="009201DC">
        <w:fldChar w:fldCharType="separate"/>
      </w:r>
      <w:r w:rsidR="00D62272" w:rsidRPr="00D62272">
        <w:t>[13]</w:t>
      </w:r>
      <w:r w:rsidR="003239D5" w:rsidRPr="009201DC">
        <w:fldChar w:fldCharType="end"/>
      </w:r>
      <w:r w:rsidR="003239D5">
        <w:t xml:space="preserve">. </w:t>
      </w:r>
      <w:r w:rsidR="00063435">
        <w:t xml:space="preserve">Complete data, i.e. military intellectual ability test score measured in early adulthood and both physical functioning assessments at age 61 and 71, were </w:t>
      </w:r>
      <w:r w:rsidR="00145A1D">
        <w:t>available for 360 participants</w:t>
      </w:r>
      <w:r w:rsidR="00E80E3B">
        <w:t xml:space="preserve"> (Supplementary data)</w:t>
      </w:r>
      <w:r w:rsidR="0034642F">
        <w:t xml:space="preserve">. </w:t>
      </w:r>
      <w:r w:rsidR="000B10EF" w:rsidRPr="007D50BD">
        <w:t>T</w:t>
      </w:r>
      <w:r w:rsidR="000B10EF" w:rsidRPr="00CE794F">
        <w:t>he</w:t>
      </w:r>
      <w:r w:rsidR="000B10EF" w:rsidRPr="00334281">
        <w:t xml:space="preserve"> study complies with the guidelines </w:t>
      </w:r>
      <w:r w:rsidR="0034642F">
        <w:t xml:space="preserve">of the Declaration of Helsinki and </w:t>
      </w:r>
      <w:r w:rsidR="0034642F" w:rsidRPr="00334281">
        <w:t xml:space="preserve">the Hospital District of Helsinki and </w:t>
      </w:r>
      <w:proofErr w:type="spellStart"/>
      <w:r w:rsidR="0034642F" w:rsidRPr="00334281">
        <w:t>Uusimaa</w:t>
      </w:r>
      <w:proofErr w:type="spellEnd"/>
      <w:r w:rsidR="0034642F" w:rsidRPr="00334281">
        <w:t xml:space="preserve"> </w:t>
      </w:r>
      <w:r w:rsidR="000B10EF" w:rsidRPr="00334281">
        <w:t xml:space="preserve">approved </w:t>
      </w:r>
      <w:r w:rsidR="0034642F">
        <w:t>the study</w:t>
      </w:r>
      <w:r w:rsidR="000B10EF" w:rsidRPr="00334281">
        <w:t xml:space="preserve">. All participants gave a written informed </w:t>
      </w:r>
      <w:r w:rsidR="000B10EF" w:rsidRPr="00334281">
        <w:lastRenderedPageBreak/>
        <w:t>consent.</w:t>
      </w:r>
      <w:r w:rsidR="000B10EF">
        <w:t xml:space="preserve"> </w:t>
      </w:r>
      <w:r w:rsidR="00470A6F">
        <w:t>Intellectual ability data were linked with pe</w:t>
      </w:r>
      <w:r w:rsidR="009C4DB2">
        <w:t xml:space="preserve">rmission from the Finnish </w:t>
      </w:r>
      <w:proofErr w:type="spellStart"/>
      <w:r w:rsidR="009C4DB2">
        <w:t>Defenc</w:t>
      </w:r>
      <w:r w:rsidR="00470A6F">
        <w:t>e</w:t>
      </w:r>
      <w:proofErr w:type="spellEnd"/>
      <w:r w:rsidR="00470A6F">
        <w:t xml:space="preserve"> Forces.</w:t>
      </w:r>
    </w:p>
    <w:p w:rsidR="00126A98" w:rsidRDefault="00126A98" w:rsidP="009B458A">
      <w:pPr>
        <w:spacing w:line="480" w:lineRule="auto"/>
        <w:rPr>
          <w:b/>
        </w:rPr>
      </w:pPr>
    </w:p>
    <w:p w:rsidR="00B0164A" w:rsidRPr="00B0164A" w:rsidRDefault="00B0164A" w:rsidP="009B458A">
      <w:pPr>
        <w:spacing w:line="480" w:lineRule="auto"/>
        <w:rPr>
          <w:b/>
        </w:rPr>
      </w:pPr>
      <w:r w:rsidRPr="00B0164A">
        <w:rPr>
          <w:b/>
        </w:rPr>
        <w:t>Intellectual ability</w:t>
      </w:r>
    </w:p>
    <w:p w:rsidR="00AF65D5" w:rsidRDefault="00BA56BE" w:rsidP="00B0164A">
      <w:pPr>
        <w:spacing w:line="480" w:lineRule="auto"/>
      </w:pPr>
      <w:r>
        <w:t>T</w:t>
      </w:r>
      <w:r w:rsidR="003325F1">
        <w:t xml:space="preserve">he Finnish </w:t>
      </w:r>
      <w:proofErr w:type="spellStart"/>
      <w:r w:rsidR="003325F1">
        <w:t>Defe</w:t>
      </w:r>
      <w:r w:rsidR="009C4DB2">
        <w:t>nc</w:t>
      </w:r>
      <w:r w:rsidR="00A01E89">
        <w:t>e</w:t>
      </w:r>
      <w:proofErr w:type="spellEnd"/>
      <w:r w:rsidR="00A01E89">
        <w:t xml:space="preserve"> Forces B</w:t>
      </w:r>
      <w:r>
        <w:t>asic Intellectual Ability Test</w:t>
      </w:r>
      <w:r w:rsidR="00626C19">
        <w:t xml:space="preserve"> was developed by the </w:t>
      </w:r>
      <w:r w:rsidR="003325F1">
        <w:t xml:space="preserve">Finnish </w:t>
      </w:r>
      <w:proofErr w:type="spellStart"/>
      <w:r w:rsidR="003325F1">
        <w:t>De</w:t>
      </w:r>
      <w:r w:rsidR="001E47C2">
        <w:t>fenc</w:t>
      </w:r>
      <w:r w:rsidR="002E7225">
        <w:t>e</w:t>
      </w:r>
      <w:proofErr w:type="spellEnd"/>
      <w:r w:rsidR="002E7225">
        <w:t xml:space="preserve"> Forc</w:t>
      </w:r>
      <w:r w:rsidR="00626C19">
        <w:t>es Educ</w:t>
      </w:r>
      <w:r w:rsidR="00512FBF">
        <w:t>ational Development Centre</w:t>
      </w:r>
      <w:r w:rsidR="00825EE1">
        <w:t xml:space="preserve"> and </w:t>
      </w:r>
      <w:r w:rsidR="00A83CED">
        <w:t xml:space="preserve">was </w:t>
      </w:r>
      <w:r w:rsidR="00A83CED" w:rsidRPr="003325F1">
        <w:t>compulsory</w:t>
      </w:r>
      <w:r w:rsidR="008228C4">
        <w:t xml:space="preserve"> for</w:t>
      </w:r>
      <w:r w:rsidR="00626C19">
        <w:t xml:space="preserve"> all new recruits during the two first </w:t>
      </w:r>
      <w:r w:rsidR="008228C4">
        <w:t xml:space="preserve">two </w:t>
      </w:r>
      <w:r w:rsidR="00626C19">
        <w:t>weeks of their military service</w:t>
      </w:r>
      <w:r w:rsidR="002200C4">
        <w:t xml:space="preserve">. </w:t>
      </w:r>
      <w:r w:rsidR="007A6C23" w:rsidRPr="00AE2EF9">
        <w:t xml:space="preserve">Administration of the test has been described in detail </w:t>
      </w:r>
      <w:proofErr w:type="gramStart"/>
      <w:r w:rsidR="007A6C23" w:rsidRPr="00AE2EF9">
        <w:t>previously</w:t>
      </w:r>
      <w:proofErr w:type="gramEnd"/>
      <w:r w:rsidR="00E53DFA">
        <w:fldChar w:fldCharType="begin"/>
      </w:r>
      <w:r w:rsidR="00502887">
        <w:instrText>ADDIN RW.CITE{{27 Räikkonen,K. 2009; 91 Räikkonen,K. 2013; 188 Tiihonen,Jari 2005}}</w:instrText>
      </w:r>
      <w:r w:rsidR="00E53DFA">
        <w:fldChar w:fldCharType="separate"/>
      </w:r>
      <w:r w:rsidR="00D62272" w:rsidRPr="00D62272">
        <w:t>[11, 14, 15]</w:t>
      </w:r>
      <w:r w:rsidR="00E53DFA">
        <w:fldChar w:fldCharType="end"/>
      </w:r>
      <w:r w:rsidR="007A6C23" w:rsidRPr="00AE2EF9">
        <w:t>.</w:t>
      </w:r>
      <w:r w:rsidR="00DE0083">
        <w:t xml:space="preserve"> </w:t>
      </w:r>
      <w:r w:rsidR="007A6C23">
        <w:t>Briefly, t</w:t>
      </w:r>
      <w:r w:rsidR="008228C4">
        <w:t>he test battery includes</w:t>
      </w:r>
      <w:r w:rsidR="002200C4">
        <w:t xml:space="preserve"> arithmetic</w:t>
      </w:r>
      <w:r w:rsidR="0073327F">
        <w:t>, verbal</w:t>
      </w:r>
      <w:r w:rsidR="002200C4">
        <w:t xml:space="preserve"> and visuospatial reasoning subtests</w:t>
      </w:r>
      <w:r w:rsidR="009B1365">
        <w:t xml:space="preserve"> measuring </w:t>
      </w:r>
      <w:r w:rsidR="00CF6382">
        <w:t>general cognitive ability and logical thinking</w:t>
      </w:r>
      <w:r w:rsidR="002200C4">
        <w:t xml:space="preserve">. </w:t>
      </w:r>
      <w:r w:rsidR="00CF6382">
        <w:t>E</w:t>
      </w:r>
      <w:r w:rsidR="008228C4">
        <w:t>ach subtest includes</w:t>
      </w:r>
      <w:r w:rsidR="00B07742">
        <w:t xml:space="preserve"> 40 multiple </w:t>
      </w:r>
      <w:r w:rsidR="002200C4">
        <w:t>choice questions</w:t>
      </w:r>
      <w:r w:rsidR="00193604">
        <w:t xml:space="preserve"> ordered by </w:t>
      </w:r>
      <w:r w:rsidR="00193604" w:rsidRPr="003325F1">
        <w:t>difficulty</w:t>
      </w:r>
      <w:r w:rsidR="00CC287C" w:rsidRPr="003325F1">
        <w:t xml:space="preserve"> </w:t>
      </w:r>
      <w:r w:rsidR="006B4FEF" w:rsidRPr="003325F1">
        <w:t>(</w:t>
      </w:r>
      <w:r w:rsidR="003325F1" w:rsidRPr="003325F1">
        <w:t>range</w:t>
      </w:r>
      <w:r w:rsidR="008F4606" w:rsidRPr="003325F1">
        <w:t xml:space="preserve"> </w:t>
      </w:r>
      <w:r w:rsidR="006B4FEF" w:rsidRPr="003325F1">
        <w:t>0-4</w:t>
      </w:r>
      <w:r w:rsidR="00CC287C" w:rsidRPr="003325F1">
        <w:t>0 points</w:t>
      </w:r>
      <w:r w:rsidR="00C67382">
        <w:t>)</w:t>
      </w:r>
      <w:r w:rsidR="0071249B">
        <w:t xml:space="preserve">. </w:t>
      </w:r>
      <w:r w:rsidR="007A6C23">
        <w:t>Correct answers</w:t>
      </w:r>
      <w:r w:rsidR="008228C4">
        <w:t xml:space="preserve"> in each subtest were summed</w:t>
      </w:r>
      <w:r w:rsidR="007A6C23">
        <w:t xml:space="preserve"> and </w:t>
      </w:r>
      <w:r w:rsidR="00C85BAA">
        <w:t xml:space="preserve">the </w:t>
      </w:r>
      <w:r w:rsidR="007A6C23">
        <w:t xml:space="preserve">arithmetic mean was used as </w:t>
      </w:r>
      <w:r w:rsidR="00C85BAA">
        <w:t xml:space="preserve">an </w:t>
      </w:r>
      <w:r w:rsidR="007A6C23">
        <w:t>index of intellectual ability</w:t>
      </w:r>
      <w:r w:rsidR="00391AD3">
        <w:t xml:space="preserve"> (Supplementary data</w:t>
      </w:r>
      <w:r w:rsidR="00391AD3" w:rsidRPr="008B086B">
        <w:t>).</w:t>
      </w:r>
      <w:r w:rsidR="007A6C23">
        <w:t xml:space="preserve"> </w:t>
      </w:r>
    </w:p>
    <w:p w:rsidR="005D0D87" w:rsidRDefault="005D0D87" w:rsidP="00A038C7">
      <w:pPr>
        <w:spacing w:line="480" w:lineRule="auto"/>
        <w:rPr>
          <w:b/>
        </w:rPr>
      </w:pPr>
    </w:p>
    <w:p w:rsidR="003374EC" w:rsidRPr="00AE2EF9" w:rsidRDefault="00814A25" w:rsidP="00A038C7">
      <w:pPr>
        <w:spacing w:line="480" w:lineRule="auto"/>
        <w:rPr>
          <w:b/>
        </w:rPr>
      </w:pPr>
      <w:r w:rsidRPr="00AE2EF9">
        <w:rPr>
          <w:b/>
        </w:rPr>
        <w:t>Physical functioning</w:t>
      </w:r>
    </w:p>
    <w:p w:rsidR="00814A25" w:rsidRPr="00814A25" w:rsidRDefault="00814A25" w:rsidP="00A038C7">
      <w:pPr>
        <w:spacing w:line="480" w:lineRule="auto"/>
      </w:pPr>
      <w:r w:rsidRPr="00AE2EF9">
        <w:t>Physical fu</w:t>
      </w:r>
      <w:r w:rsidR="008E7989">
        <w:t xml:space="preserve">nctioning was assessed </w:t>
      </w:r>
      <w:r w:rsidR="007F59EB" w:rsidRPr="003325F1">
        <w:t>at</w:t>
      </w:r>
      <w:r w:rsidR="003325F1" w:rsidRPr="003325F1">
        <w:t xml:space="preserve"> the first </w:t>
      </w:r>
      <w:r w:rsidR="003325F1">
        <w:t>clinical examination</w:t>
      </w:r>
      <w:r w:rsidR="00235004">
        <w:t xml:space="preserve"> (</w:t>
      </w:r>
      <w:r w:rsidR="00CB0377">
        <w:t xml:space="preserve">2001-2004) and </w:t>
      </w:r>
      <w:r w:rsidR="003325F1">
        <w:t xml:space="preserve">again </w:t>
      </w:r>
      <w:r w:rsidR="002A49CF">
        <w:t xml:space="preserve">at </w:t>
      </w:r>
      <w:r w:rsidR="003325F1">
        <w:t>the 10-</w:t>
      </w:r>
      <w:r w:rsidR="00235004">
        <w:t>year follow-up (</w:t>
      </w:r>
      <w:r w:rsidR="00CB0377">
        <w:t xml:space="preserve">2013) </w:t>
      </w:r>
      <w:r w:rsidR="008E7989">
        <w:t>using</w:t>
      </w:r>
      <w:r w:rsidRPr="00AE2EF9">
        <w:t xml:space="preserve"> the Finnish validated</w:t>
      </w:r>
      <w:r w:rsidR="00ED6BB0" w:rsidRPr="00AE2EF9">
        <w:t xml:space="preserve"> version of the RAND</w:t>
      </w:r>
      <w:r w:rsidR="009E0F7C">
        <w:t xml:space="preserve"> 36- Item Health Surv</w:t>
      </w:r>
      <w:r w:rsidR="001019DC">
        <w:t>ey 1.0 [Short Form 36 (SF-36)]</w:t>
      </w:r>
      <w:r w:rsidR="008E7989">
        <w:t>.</w:t>
      </w:r>
      <w:r w:rsidR="009E0F7C">
        <w:t xml:space="preserve"> The SF-36 has been found to be</w:t>
      </w:r>
      <w:r w:rsidR="00ED6BB0" w:rsidRPr="00AE2EF9">
        <w:t xml:space="preserve"> a reliable and valid measure o</w:t>
      </w:r>
      <w:r w:rsidR="007A6C23">
        <w:t xml:space="preserve">f physical functioning </w:t>
      </w:r>
      <w:r w:rsidR="00ED6BB0" w:rsidRPr="00AE2EF9">
        <w:t>in the Finnish</w:t>
      </w:r>
      <w:r w:rsidR="007A6C23">
        <w:t xml:space="preserve"> </w:t>
      </w:r>
      <w:r w:rsidR="001019DC">
        <w:t xml:space="preserve">older </w:t>
      </w:r>
      <w:proofErr w:type="gramStart"/>
      <w:r w:rsidR="00ED6BB0" w:rsidRPr="00AE2EF9">
        <w:t>population</w:t>
      </w:r>
      <w:proofErr w:type="gramEnd"/>
      <w:r w:rsidR="004F18A0">
        <w:fldChar w:fldCharType="begin"/>
      </w:r>
      <w:r w:rsidR="00502887">
        <w:instrText>ADDIN RW.CITE{{82 Aalto,Anna-Mari 1999; 83 Bohannon,R.W. 2010}}</w:instrText>
      </w:r>
      <w:r w:rsidR="004F18A0">
        <w:fldChar w:fldCharType="separate"/>
      </w:r>
      <w:r w:rsidR="00D62272" w:rsidRPr="00D62272">
        <w:t>[16, 17]</w:t>
      </w:r>
      <w:r w:rsidR="004F18A0">
        <w:fldChar w:fldCharType="end"/>
      </w:r>
      <w:r w:rsidR="001E2CE6">
        <w:t>.</w:t>
      </w:r>
      <w:r w:rsidR="004E0314">
        <w:t xml:space="preserve"> </w:t>
      </w:r>
      <w:r w:rsidR="008E7989">
        <w:t>We used t</w:t>
      </w:r>
      <w:r w:rsidR="00B13673">
        <w:t>he t</w:t>
      </w:r>
      <w:r w:rsidR="009A2851">
        <w:t>en-</w:t>
      </w:r>
      <w:r w:rsidR="008E7989">
        <w:t>item subscale on physical functioning</w:t>
      </w:r>
      <w:r w:rsidR="00262FFC">
        <w:t xml:space="preserve">. </w:t>
      </w:r>
      <w:r w:rsidR="00EC4EDF">
        <w:t>The items wer</w:t>
      </w:r>
      <w:r w:rsidR="005F1B68">
        <w:t>e coded into 0= great deal of difficulty</w:t>
      </w:r>
      <w:r w:rsidR="00247C94">
        <w:t xml:space="preserve"> or unab</w:t>
      </w:r>
      <w:r w:rsidR="005F1B68">
        <w:t>le to perform, 50= some difficulty, 100= no difficulty</w:t>
      </w:r>
      <w:r w:rsidR="00EC4EDF">
        <w:t>,</w:t>
      </w:r>
      <w:r w:rsidR="00247C94">
        <w:t xml:space="preserve"> </w:t>
      </w:r>
      <w:r w:rsidR="007D1486">
        <w:t xml:space="preserve">and </w:t>
      </w:r>
      <w:r w:rsidR="003325F1">
        <w:t>the</w:t>
      </w:r>
      <w:r w:rsidR="00247C94">
        <w:t xml:space="preserve"> summary score was divided by 10.</w:t>
      </w:r>
      <w:r w:rsidR="00EC4EDF">
        <w:t xml:space="preserve"> </w:t>
      </w:r>
      <w:r w:rsidR="0074554C">
        <w:t>Higher scores imply</w:t>
      </w:r>
      <w:r w:rsidR="004E0314">
        <w:t xml:space="preserve"> better physical functioning. </w:t>
      </w:r>
      <w:r w:rsidR="00F91EBB" w:rsidRPr="00AE2EF9">
        <w:t>T</w:t>
      </w:r>
      <w:r w:rsidR="009A2851">
        <w:t>he ten-</w:t>
      </w:r>
      <w:r w:rsidR="00107241" w:rsidRPr="00AE2EF9">
        <w:t>item SF-36 physical functioning score</w:t>
      </w:r>
      <w:r w:rsidR="00F91EBB" w:rsidRPr="00AE2EF9">
        <w:t xml:space="preserve"> has been des</w:t>
      </w:r>
      <w:r w:rsidR="00107241" w:rsidRPr="00AE2EF9">
        <w:t>crib</w:t>
      </w:r>
      <w:r w:rsidR="00B0164A" w:rsidRPr="00AE2EF9">
        <w:t>ed</w:t>
      </w:r>
      <w:r w:rsidR="00F0335B">
        <w:t xml:space="preserve"> in detail </w:t>
      </w:r>
      <w:proofErr w:type="gramStart"/>
      <w:r w:rsidR="00F0335B">
        <w:t>previously</w:t>
      </w:r>
      <w:proofErr w:type="gramEnd"/>
      <w:r w:rsidR="00EB1F59">
        <w:fldChar w:fldCharType="begin"/>
      </w:r>
      <w:r w:rsidR="00502887">
        <w:instrText>ADDIN RW.CITE{{90 vonBonsdorff,M.B. 2011}}</w:instrText>
      </w:r>
      <w:r w:rsidR="00EB1F59">
        <w:fldChar w:fldCharType="separate"/>
      </w:r>
      <w:r w:rsidR="00D62272" w:rsidRPr="00D62272">
        <w:t>[18]</w:t>
      </w:r>
      <w:r w:rsidR="00EB1F59">
        <w:fldChar w:fldCharType="end"/>
      </w:r>
      <w:r w:rsidR="00ED6BB0" w:rsidRPr="00AE2EF9">
        <w:t>.</w:t>
      </w:r>
    </w:p>
    <w:p w:rsidR="00737618" w:rsidRDefault="00737618" w:rsidP="009B458A">
      <w:pPr>
        <w:spacing w:line="480" w:lineRule="auto"/>
        <w:rPr>
          <w:b/>
        </w:rPr>
      </w:pPr>
    </w:p>
    <w:p w:rsidR="0047737D" w:rsidRPr="007D1486" w:rsidRDefault="00927473" w:rsidP="009B458A">
      <w:pPr>
        <w:spacing w:line="480" w:lineRule="auto"/>
        <w:rPr>
          <w:b/>
        </w:rPr>
      </w:pPr>
      <w:r w:rsidRPr="007D1486">
        <w:rPr>
          <w:b/>
        </w:rPr>
        <w:t>C</w:t>
      </w:r>
      <w:r w:rsidR="000C086E" w:rsidRPr="007D1486">
        <w:rPr>
          <w:b/>
        </w:rPr>
        <w:t>ovariates</w:t>
      </w:r>
    </w:p>
    <w:p w:rsidR="00737618" w:rsidRDefault="00FA5379" w:rsidP="009B458A">
      <w:pPr>
        <w:spacing w:line="480" w:lineRule="auto"/>
      </w:pPr>
      <w:r>
        <w:lastRenderedPageBreak/>
        <w:t>W</w:t>
      </w:r>
      <w:r w:rsidR="00BC7BC4" w:rsidRPr="003325F1">
        <w:t>e selected a</w:t>
      </w:r>
      <w:r w:rsidR="007D1486" w:rsidRPr="003325F1">
        <w:t>ge at</w:t>
      </w:r>
      <w:r w:rsidR="007D1486">
        <w:t xml:space="preserve"> </w:t>
      </w:r>
      <w:r w:rsidR="00BA0D5C">
        <w:t xml:space="preserve">military service and </w:t>
      </w:r>
      <w:r w:rsidR="00995E1C">
        <w:t>age</w:t>
      </w:r>
      <w:r w:rsidR="00BC7BC4">
        <w:t>s</w:t>
      </w:r>
      <w:r w:rsidR="00995E1C">
        <w:t xml:space="preserve"> </w:t>
      </w:r>
      <w:r w:rsidR="00BA0D5C">
        <w:t xml:space="preserve">at the </w:t>
      </w:r>
      <w:r w:rsidR="007D1486">
        <w:t>clinical examination</w:t>
      </w:r>
      <w:r w:rsidR="00BA0D5C">
        <w:t>s</w:t>
      </w:r>
      <w:r w:rsidR="00071316">
        <w:t>,</w:t>
      </w:r>
      <w:r w:rsidR="003325F1">
        <w:t xml:space="preserve"> </w:t>
      </w:r>
      <w:r w:rsidR="009B039F">
        <w:t xml:space="preserve">childhood </w:t>
      </w:r>
      <w:r w:rsidR="009C2114">
        <w:t xml:space="preserve">socioeconomic status determined by </w:t>
      </w:r>
      <w:r w:rsidR="0086513C">
        <w:t>father’s</w:t>
      </w:r>
      <w:r w:rsidR="007D1486">
        <w:t xml:space="preserve"> occupational status</w:t>
      </w:r>
      <w:r w:rsidR="00D81B73">
        <w:t xml:space="preserve">, </w:t>
      </w:r>
      <w:r w:rsidR="00BC7BC4">
        <w:t>adult body mass index (BMI)</w:t>
      </w:r>
      <w:r w:rsidR="00D81B73">
        <w:t>, and main chronic diseases</w:t>
      </w:r>
      <w:r w:rsidR="00387AA5" w:rsidRPr="00387AA5">
        <w:t xml:space="preserve"> </w:t>
      </w:r>
      <w:r w:rsidR="00387AA5">
        <w:t>as covariates</w:t>
      </w:r>
      <w:r w:rsidR="009D692D">
        <w:fldChar w:fldCharType="begin"/>
      </w:r>
      <w:r w:rsidR="00502887">
        <w:instrText>ADDIN RW.CITE{{112 Hurst,L. 2013; 71 Starr,J.M. 2000}}</w:instrText>
      </w:r>
      <w:r w:rsidR="009D692D">
        <w:fldChar w:fldCharType="separate"/>
      </w:r>
      <w:r w:rsidR="00D62272" w:rsidRPr="00D62272">
        <w:t>[8, 19]</w:t>
      </w:r>
      <w:r w:rsidR="009D692D">
        <w:fldChar w:fldCharType="end"/>
      </w:r>
      <w:r w:rsidR="007D1486" w:rsidRPr="007D1486">
        <w:t xml:space="preserve">. </w:t>
      </w:r>
      <w:r w:rsidR="0086513C">
        <w:t xml:space="preserve">Father’s </w:t>
      </w:r>
      <w:r w:rsidR="00291C45" w:rsidRPr="007D1486">
        <w:t xml:space="preserve">occupational status </w:t>
      </w:r>
      <w:r w:rsidR="0086513C">
        <w:t xml:space="preserve">indicated by the highest occupational class </w:t>
      </w:r>
      <w:r w:rsidR="00291C45" w:rsidRPr="007D1486">
        <w:t xml:space="preserve">was </w:t>
      </w:r>
      <w:r w:rsidR="00A522C5" w:rsidRPr="007D1486">
        <w:t xml:space="preserve">extracted </w:t>
      </w:r>
      <w:r w:rsidR="00F137C2" w:rsidRPr="007D1486">
        <w:t xml:space="preserve">from </w:t>
      </w:r>
      <w:r w:rsidR="00774914">
        <w:t>the birth records,</w:t>
      </w:r>
      <w:r w:rsidR="003374EC" w:rsidRPr="007D1486">
        <w:t xml:space="preserve"> </w:t>
      </w:r>
      <w:r w:rsidR="0086513C">
        <w:t>child welfare and school healthcare records and was coded as upper middle class, lower middle class, manual workers or unknown occupation (Central Statistics Office of Finland, 1989).</w:t>
      </w:r>
      <w:r w:rsidR="00BC7BC4">
        <w:t xml:space="preserve"> </w:t>
      </w:r>
      <w:r w:rsidR="007D622B">
        <w:t xml:space="preserve">Weight and height were measured at the clinical examination and BMI was calculated </w:t>
      </w:r>
      <w:r w:rsidR="005B3911">
        <w:t>(</w:t>
      </w:r>
      <w:r w:rsidR="00774914">
        <w:t>kg/</w:t>
      </w:r>
      <w:r w:rsidR="007D622B">
        <w:t>m</w:t>
      </w:r>
      <w:r w:rsidR="007D622B" w:rsidRPr="007D622B">
        <w:rPr>
          <w:vertAlign w:val="superscript"/>
        </w:rPr>
        <w:t>2</w:t>
      </w:r>
      <w:r w:rsidR="005B3911" w:rsidRPr="005B3911">
        <w:t>)</w:t>
      </w:r>
      <w:r w:rsidR="00802F2F" w:rsidRPr="00802F2F">
        <w:t xml:space="preserve">. </w:t>
      </w:r>
      <w:r w:rsidR="00D81B73">
        <w:t>Main chronic diseases were asked using questionnaires at the clinical examinations.</w:t>
      </w:r>
    </w:p>
    <w:p w:rsidR="0086513C" w:rsidRDefault="0086513C" w:rsidP="009B458A">
      <w:pPr>
        <w:spacing w:line="480" w:lineRule="auto"/>
        <w:rPr>
          <w:b/>
        </w:rPr>
      </w:pPr>
    </w:p>
    <w:p w:rsidR="00C90502" w:rsidRDefault="00E42186" w:rsidP="009B458A">
      <w:pPr>
        <w:spacing w:line="480" w:lineRule="auto"/>
        <w:rPr>
          <w:b/>
        </w:rPr>
      </w:pPr>
      <w:r w:rsidRPr="00C06C66">
        <w:rPr>
          <w:b/>
        </w:rPr>
        <w:t>Statistical analyses</w:t>
      </w:r>
      <w:r w:rsidR="00C90502">
        <w:rPr>
          <w:b/>
        </w:rPr>
        <w:t xml:space="preserve"> </w:t>
      </w:r>
    </w:p>
    <w:p w:rsidR="000C086E" w:rsidRPr="00673C0F" w:rsidRDefault="00297D3A" w:rsidP="00803D7C">
      <w:pPr>
        <w:spacing w:line="480" w:lineRule="auto"/>
      </w:pPr>
      <w:r>
        <w:t xml:space="preserve">Student’s </w:t>
      </w:r>
      <w:r w:rsidRPr="000F058B">
        <w:rPr>
          <w:i/>
        </w:rPr>
        <w:t>t</w:t>
      </w:r>
      <w:r>
        <w:t>-test was used for comparing means for normall</w:t>
      </w:r>
      <w:r w:rsidR="00805BCD">
        <w:t xml:space="preserve">y distributed </w:t>
      </w:r>
      <w:r w:rsidR="00225400">
        <w:t xml:space="preserve">variables </w:t>
      </w:r>
      <w:r w:rsidR="00805BCD">
        <w:t xml:space="preserve">and </w:t>
      </w:r>
      <w:proofErr w:type="spellStart"/>
      <w:r w:rsidR="00805BCD">
        <w:t>Kruskal</w:t>
      </w:r>
      <w:proofErr w:type="spellEnd"/>
      <w:r w:rsidR="00805BCD">
        <w:t>-Wallis H</w:t>
      </w:r>
      <w:r>
        <w:t xml:space="preserve"> test for non-normally distr</w:t>
      </w:r>
      <w:r w:rsidR="00225400">
        <w:t xml:space="preserve">ibuted continuous variables. </w:t>
      </w:r>
      <w:r>
        <w:t>Pearson’s chi-</w:t>
      </w:r>
      <w:r w:rsidR="00C8386F">
        <w:t xml:space="preserve">square </w:t>
      </w:r>
      <w:r>
        <w:t>test was us</w:t>
      </w:r>
      <w:r w:rsidR="0010244D">
        <w:t>ed for comparing proportions in</w:t>
      </w:r>
      <w:r>
        <w:t xml:space="preserve"> categorical variables</w:t>
      </w:r>
      <w:r w:rsidRPr="0010244D">
        <w:t>.</w:t>
      </w:r>
      <w:r w:rsidR="00FC1C25" w:rsidRPr="0010244D">
        <w:t xml:space="preserve"> Due to </w:t>
      </w:r>
      <w:r w:rsidR="00DD0E2C">
        <w:t xml:space="preserve">a </w:t>
      </w:r>
      <w:r w:rsidR="0010244D" w:rsidRPr="0010244D">
        <w:t>noticeable</w:t>
      </w:r>
      <w:r w:rsidR="00A13100" w:rsidRPr="0010244D">
        <w:t xml:space="preserve"> ceiling effect </w:t>
      </w:r>
      <w:r w:rsidR="00FC1C25" w:rsidRPr="0010244D">
        <w:t>of the p</w:t>
      </w:r>
      <w:r w:rsidR="009D2863" w:rsidRPr="0010244D">
        <w:t>hysical functioning summary score</w:t>
      </w:r>
      <w:r w:rsidR="0010244D" w:rsidRPr="0010244D">
        <w:t xml:space="preserve"> at both measurements, we treated this variable as censored. </w:t>
      </w:r>
      <w:r w:rsidR="0010244D" w:rsidRPr="00FB110C">
        <w:t>A</w:t>
      </w:r>
      <w:r w:rsidR="0010244D" w:rsidRPr="0010244D">
        <w:t xml:space="preserve"> </w:t>
      </w:r>
      <w:r w:rsidR="00A13100" w:rsidRPr="0010244D">
        <w:t>longitudinal</w:t>
      </w:r>
      <w:r w:rsidR="00472A68" w:rsidRPr="0010244D">
        <w:t xml:space="preserve"> path model </w:t>
      </w:r>
      <w:r w:rsidR="0010244D" w:rsidRPr="0010244D">
        <w:t>for these</w:t>
      </w:r>
      <w:r w:rsidR="00A13100" w:rsidRPr="0010244D">
        <w:t xml:space="preserve"> outcome</w:t>
      </w:r>
      <w:r w:rsidR="0010244D" w:rsidRPr="0010244D">
        <w:t>s</w:t>
      </w:r>
      <w:r w:rsidR="00A13100" w:rsidRPr="0010244D">
        <w:t xml:space="preserve"> </w:t>
      </w:r>
      <w:r w:rsidR="00FC1C25" w:rsidRPr="0010244D">
        <w:t>was used</w:t>
      </w:r>
      <w:r w:rsidR="00472A68" w:rsidRPr="0010244D">
        <w:t xml:space="preserve"> to explore the effect </w:t>
      </w:r>
      <w:r w:rsidR="00FC1C25" w:rsidRPr="0010244D">
        <w:t>of</w:t>
      </w:r>
      <w:r w:rsidR="0083594A">
        <w:t xml:space="preserve"> </w:t>
      </w:r>
      <w:r w:rsidR="00FC1C25" w:rsidRPr="0034642F">
        <w:t>intellectua</w:t>
      </w:r>
      <w:r w:rsidR="00995E1C" w:rsidRPr="0034642F">
        <w:t>l ability</w:t>
      </w:r>
      <w:r w:rsidR="0083594A">
        <w:t xml:space="preserve"> </w:t>
      </w:r>
      <w:r w:rsidR="00995E1C">
        <w:t>in young adulthood on</w:t>
      </w:r>
      <w:r w:rsidR="009D2863" w:rsidRPr="0010244D">
        <w:t xml:space="preserve"> physical functioning in old</w:t>
      </w:r>
      <w:r w:rsidR="00995E1C">
        <w:t>er</w:t>
      </w:r>
      <w:r w:rsidR="00FC1C25" w:rsidRPr="0010244D">
        <w:t xml:space="preserve"> age</w:t>
      </w:r>
      <w:r w:rsidR="00B16304">
        <w:t xml:space="preserve"> (</w:t>
      </w:r>
      <w:r w:rsidR="00391AD3">
        <w:t>Supplementary data</w:t>
      </w:r>
      <w:r w:rsidR="00B16304" w:rsidRPr="008B086B">
        <w:t>)</w:t>
      </w:r>
      <w:r w:rsidR="00FC1C25" w:rsidRPr="008B086B">
        <w:t>.</w:t>
      </w:r>
      <w:r w:rsidR="00FC1C25" w:rsidRPr="0010244D">
        <w:t xml:space="preserve"> </w:t>
      </w:r>
      <w:r w:rsidR="0034642F">
        <w:t xml:space="preserve"> </w:t>
      </w:r>
      <w:r w:rsidR="0034642F" w:rsidRPr="00E80E3B">
        <w:t xml:space="preserve">Standardized values of the intellectual ability test scores were used in the path models. </w:t>
      </w:r>
      <w:r w:rsidR="0010244D" w:rsidRPr="0010244D">
        <w:t xml:space="preserve">Since the age range varied for the three waves of measurement, each measure was </w:t>
      </w:r>
      <w:r w:rsidR="0010244D" w:rsidRPr="0010244D">
        <w:rPr>
          <w:rFonts w:eastAsiaTheme="minorHAnsi"/>
          <w:lang w:eastAsia="en-US"/>
        </w:rPr>
        <w:t>adjust</w:t>
      </w:r>
      <w:r w:rsidR="0010244D">
        <w:rPr>
          <w:rFonts w:eastAsiaTheme="minorHAnsi"/>
          <w:lang w:eastAsia="en-US"/>
        </w:rPr>
        <w:t>ed accordingly in the model</w:t>
      </w:r>
      <w:r w:rsidR="00FA5379">
        <w:rPr>
          <w:rFonts w:eastAsiaTheme="minorHAnsi"/>
          <w:lang w:eastAsia="en-US"/>
        </w:rPr>
        <w:t xml:space="preserve">. </w:t>
      </w:r>
      <w:r w:rsidR="00D52638">
        <w:t>W</w:t>
      </w:r>
      <w:r w:rsidR="0010244D" w:rsidRPr="0010244D">
        <w:t xml:space="preserve">e additionally adjusted </w:t>
      </w:r>
      <w:r w:rsidR="00121C90" w:rsidRPr="0010244D">
        <w:t xml:space="preserve">for </w:t>
      </w:r>
      <w:r w:rsidR="00697F49">
        <w:t>childhood socioeconomic</w:t>
      </w:r>
      <w:r w:rsidR="00FC1C25" w:rsidRPr="0010244D">
        <w:t xml:space="preserve"> status</w:t>
      </w:r>
      <w:r w:rsidR="00CA1CCC">
        <w:t xml:space="preserve">, </w:t>
      </w:r>
      <w:r w:rsidR="00472A68" w:rsidRPr="0010244D">
        <w:t>adult BMI</w:t>
      </w:r>
      <w:r w:rsidR="00CA1CCC">
        <w:t xml:space="preserve"> and main chronic diseases. </w:t>
      </w:r>
      <w:r w:rsidR="00235004">
        <w:t xml:space="preserve"> </w:t>
      </w:r>
      <w:r w:rsidR="0010244D" w:rsidRPr="0010244D">
        <w:t>For a</w:t>
      </w:r>
      <w:r w:rsidR="000C086E" w:rsidRPr="0010244D">
        <w:t>ll</w:t>
      </w:r>
      <w:r w:rsidR="0010244D" w:rsidRPr="0010244D">
        <w:t xml:space="preserve"> tests</w:t>
      </w:r>
      <w:r w:rsidR="000C086E" w:rsidRPr="0010244D">
        <w:t xml:space="preserve"> two-tailed</w:t>
      </w:r>
      <w:r w:rsidR="0010244D" w:rsidRPr="0010244D">
        <w:t xml:space="preserve"> p-values are reported and</w:t>
      </w:r>
      <w:r w:rsidR="000C086E" w:rsidRPr="0010244D">
        <w:t xml:space="preserve"> the level of significance was set at p&lt;</w:t>
      </w:r>
      <w:r w:rsidR="0010244D" w:rsidRPr="0010244D">
        <w:t xml:space="preserve">0.05. The </w:t>
      </w:r>
      <w:r w:rsidR="000C086E" w:rsidRPr="0010244D">
        <w:t xml:space="preserve">analyses were </w:t>
      </w:r>
      <w:r w:rsidR="000C086E" w:rsidRPr="000004DE">
        <w:t>carried out with SPSS IBM version 2</w:t>
      </w:r>
      <w:r w:rsidR="0098697A">
        <w:t>2</w:t>
      </w:r>
      <w:r w:rsidR="000C086E" w:rsidRPr="000004DE">
        <w:t>.0 (SPSS, Armonk, NY, IBM Corp)</w:t>
      </w:r>
      <w:r w:rsidR="00472A68">
        <w:t xml:space="preserve"> and </w:t>
      </w:r>
      <w:proofErr w:type="spellStart"/>
      <w:r w:rsidR="00E3295F">
        <w:t>Mplus</w:t>
      </w:r>
      <w:proofErr w:type="spellEnd"/>
      <w:r w:rsidR="00E3295F">
        <w:t xml:space="preserve"> (version 7, 2012</w:t>
      </w:r>
      <w:r w:rsidR="003B6898">
        <w:t xml:space="preserve">; </w:t>
      </w:r>
      <w:proofErr w:type="spellStart"/>
      <w:r w:rsidR="003B6898">
        <w:t>Muthén</w:t>
      </w:r>
      <w:proofErr w:type="spellEnd"/>
      <w:r w:rsidR="003B6898">
        <w:t xml:space="preserve"> &amp;</w:t>
      </w:r>
      <w:proofErr w:type="spellStart"/>
      <w:r w:rsidR="003B6898">
        <w:t>Muthén</w:t>
      </w:r>
      <w:proofErr w:type="spellEnd"/>
      <w:r w:rsidR="003B6898">
        <w:t>, Los Angeles, CA).</w:t>
      </w:r>
    </w:p>
    <w:p w:rsidR="00924071" w:rsidRDefault="00924071" w:rsidP="009B458A">
      <w:pPr>
        <w:spacing w:line="480" w:lineRule="auto"/>
        <w:rPr>
          <w:b/>
        </w:rPr>
      </w:pPr>
    </w:p>
    <w:p w:rsidR="0047737D" w:rsidRDefault="0047737D" w:rsidP="009B458A">
      <w:pPr>
        <w:spacing w:line="480" w:lineRule="auto"/>
        <w:rPr>
          <w:b/>
        </w:rPr>
      </w:pPr>
      <w:r w:rsidRPr="00C06C66">
        <w:rPr>
          <w:b/>
        </w:rPr>
        <w:t>RESULTS</w:t>
      </w:r>
    </w:p>
    <w:p w:rsidR="000550DE" w:rsidRDefault="00004F5B" w:rsidP="009B458A">
      <w:pPr>
        <w:spacing w:line="480" w:lineRule="auto"/>
      </w:pPr>
      <w:r>
        <w:lastRenderedPageBreak/>
        <w:t>C</w:t>
      </w:r>
      <w:r w:rsidR="00A516E5">
        <w:t>haracteri</w:t>
      </w:r>
      <w:r w:rsidR="00AE147C">
        <w:t xml:space="preserve">stics of the study </w:t>
      </w:r>
      <w:r w:rsidR="00FC1AEC">
        <w:t>participants</w:t>
      </w:r>
      <w:r>
        <w:t xml:space="preserve"> are presented in Table 1.</w:t>
      </w:r>
    </w:p>
    <w:p w:rsidR="00F5567F" w:rsidRDefault="003E42ED" w:rsidP="00841984">
      <w:pPr>
        <w:spacing w:line="480" w:lineRule="auto"/>
      </w:pPr>
      <w:r>
        <w:t>The longitudinal</w:t>
      </w:r>
      <w:r w:rsidR="006C488F">
        <w:t xml:space="preserve"> path model</w:t>
      </w:r>
      <w:r w:rsidR="007E3031">
        <w:t xml:space="preserve"> </w:t>
      </w:r>
      <w:r>
        <w:t xml:space="preserve">including </w:t>
      </w:r>
      <w:r w:rsidR="00E72079">
        <w:t xml:space="preserve">the censored physical functioning </w:t>
      </w:r>
      <w:r w:rsidR="003325F1">
        <w:t>variables</w:t>
      </w:r>
      <w:r w:rsidR="00E72079">
        <w:t xml:space="preserve"> </w:t>
      </w:r>
      <w:r>
        <w:t>revealed</w:t>
      </w:r>
      <w:r w:rsidR="00E3295F">
        <w:t xml:space="preserve"> a </w:t>
      </w:r>
      <w:r w:rsidR="003B6898">
        <w:t xml:space="preserve">direct positive association between </w:t>
      </w:r>
      <w:r w:rsidR="00EF4C99">
        <w:t xml:space="preserve">higher total </w:t>
      </w:r>
      <w:r w:rsidR="003B6898">
        <w:t xml:space="preserve">intellectual ability </w:t>
      </w:r>
      <w:r w:rsidR="00EF4C99">
        <w:t>score</w:t>
      </w:r>
      <w:r w:rsidR="002A6FA4" w:rsidRPr="002A6FA4">
        <w:t xml:space="preserve"> </w:t>
      </w:r>
      <w:r w:rsidR="002A6FA4">
        <w:t>(</w:t>
      </w:r>
      <w:r w:rsidR="002A6FA4" w:rsidRPr="003325F1">
        <w:t>P=0.007</w:t>
      </w:r>
      <w:r w:rsidR="002A6FA4">
        <w:t>),</w:t>
      </w:r>
      <w:r w:rsidR="00EF4C99">
        <w:t xml:space="preserve"> </w:t>
      </w:r>
      <w:r w:rsidR="002A6FA4">
        <w:t xml:space="preserve">arithmetic </w:t>
      </w:r>
      <w:r w:rsidR="004D55DC">
        <w:t>reasoning (P=0.004) and verbal reasoning (P=0.021</w:t>
      </w:r>
      <w:r w:rsidR="002A6FA4">
        <w:t xml:space="preserve">) </w:t>
      </w:r>
      <w:r w:rsidR="003B6898">
        <w:t xml:space="preserve">in early adulthood and </w:t>
      </w:r>
      <w:r w:rsidR="00EF4C99">
        <w:t xml:space="preserve">better </w:t>
      </w:r>
      <w:r>
        <w:t xml:space="preserve">physical functioning </w:t>
      </w:r>
      <w:r w:rsidR="00985974" w:rsidRPr="003325F1">
        <w:t xml:space="preserve">at </w:t>
      </w:r>
      <w:r w:rsidR="000A24C0" w:rsidRPr="003325F1">
        <w:t>the first assessment</w:t>
      </w:r>
      <w:r w:rsidR="00985974" w:rsidRPr="003325F1">
        <w:t xml:space="preserve"> in 2001-04 </w:t>
      </w:r>
      <w:r w:rsidR="00235004" w:rsidRPr="003325F1">
        <w:t>(</w:t>
      </w:r>
      <w:r w:rsidR="003325F1" w:rsidRPr="003325F1">
        <w:t>adjus</w:t>
      </w:r>
      <w:r w:rsidR="002A6FA4">
        <w:t>ted for age at each measurement</w:t>
      </w:r>
      <w:r w:rsidR="003B6898" w:rsidRPr="003325F1">
        <w:t>).</w:t>
      </w:r>
      <w:r w:rsidR="00C87B9A" w:rsidRPr="003325F1">
        <w:t xml:space="preserve"> Physical functioning at</w:t>
      </w:r>
      <w:r w:rsidR="00E3295F" w:rsidRPr="003325F1">
        <w:t xml:space="preserve"> </w:t>
      </w:r>
      <w:r w:rsidR="00CC287C" w:rsidRPr="003325F1">
        <w:t>the first assessment</w:t>
      </w:r>
      <w:r w:rsidR="00242A97">
        <w:t xml:space="preserve"> </w:t>
      </w:r>
      <w:r w:rsidR="00E72079">
        <w:t>predicted</w:t>
      </w:r>
      <w:r w:rsidR="00E3295F">
        <w:t xml:space="preserve"> physical functioning at the </w:t>
      </w:r>
      <w:r w:rsidR="00E72079">
        <w:t>10-</w:t>
      </w:r>
      <w:r>
        <w:t>year follow-</w:t>
      </w:r>
      <w:r w:rsidRPr="00235004">
        <w:t>up</w:t>
      </w:r>
      <w:r w:rsidR="00E3295F" w:rsidRPr="00235004">
        <w:t xml:space="preserve"> (P&lt;0.001).</w:t>
      </w:r>
      <w:r w:rsidR="00E3295F">
        <w:t xml:space="preserve"> </w:t>
      </w:r>
      <w:r w:rsidR="00242A97">
        <w:t xml:space="preserve">Intellectual ability </w:t>
      </w:r>
      <w:r w:rsidR="00EF4C99">
        <w:t xml:space="preserve">total score </w:t>
      </w:r>
      <w:r w:rsidR="002A6FA4">
        <w:t>(P=0.007</w:t>
      </w:r>
      <w:r w:rsidR="002A6FA4" w:rsidRPr="00235004">
        <w:t>)</w:t>
      </w:r>
      <w:r w:rsidR="002A6FA4">
        <w:t xml:space="preserve">, </w:t>
      </w:r>
      <w:r w:rsidR="002A6FA4" w:rsidRPr="00B4530C">
        <w:t>arithmetic reasoning (P= 0.00</w:t>
      </w:r>
      <w:r w:rsidR="004D55DC">
        <w:t>4</w:t>
      </w:r>
      <w:r w:rsidR="002A6FA4" w:rsidRPr="00B4530C">
        <w:t>)</w:t>
      </w:r>
      <w:r w:rsidR="004D55DC">
        <w:t xml:space="preserve"> and verbal reasoning (P=0.022</w:t>
      </w:r>
      <w:r w:rsidR="002A6FA4">
        <w:t>)</w:t>
      </w:r>
      <w:r w:rsidR="002A6FA4" w:rsidRPr="00B4530C">
        <w:t xml:space="preserve"> </w:t>
      </w:r>
      <w:r w:rsidR="00242A97">
        <w:t>in early adulthood had</w:t>
      </w:r>
      <w:r w:rsidR="00E3295F">
        <w:t xml:space="preserve"> an indirect effect</w:t>
      </w:r>
      <w:r w:rsidR="00242A97">
        <w:t xml:space="preserve"> on physical functioning </w:t>
      </w:r>
      <w:r w:rsidR="00C87B9A">
        <w:t>at</w:t>
      </w:r>
      <w:r w:rsidR="000928E7">
        <w:t xml:space="preserve"> follow-</w:t>
      </w:r>
      <w:r w:rsidR="000928E7" w:rsidRPr="00985974">
        <w:t>up</w:t>
      </w:r>
      <w:r w:rsidR="00FB110C" w:rsidRPr="00985974">
        <w:t xml:space="preserve"> </w:t>
      </w:r>
      <w:r w:rsidR="00985974" w:rsidRPr="00985974">
        <w:t>in 2013</w:t>
      </w:r>
      <w:r w:rsidR="00773A17">
        <w:t xml:space="preserve"> through</w:t>
      </w:r>
      <w:r w:rsidR="00CC287C" w:rsidRPr="003325F1">
        <w:t xml:space="preserve"> the first assessment</w:t>
      </w:r>
      <w:r w:rsidR="00242A97">
        <w:t xml:space="preserve"> physical</w:t>
      </w:r>
      <w:r w:rsidR="000928E7">
        <w:t xml:space="preserve"> </w:t>
      </w:r>
      <w:r w:rsidR="00242A97">
        <w:t>functioning</w:t>
      </w:r>
      <w:r w:rsidR="002A6FA4">
        <w:t>.</w:t>
      </w:r>
      <w:r w:rsidR="00A81F65">
        <w:t xml:space="preserve"> </w:t>
      </w:r>
      <w:r w:rsidR="007A6232">
        <w:t xml:space="preserve">Further </w:t>
      </w:r>
      <w:r w:rsidR="00C87B9A">
        <w:t>adjustments</w:t>
      </w:r>
      <w:r w:rsidR="00082931">
        <w:t xml:space="preserve"> </w:t>
      </w:r>
      <w:r w:rsidR="00F5567F">
        <w:t xml:space="preserve">for childhood socioeconomic status and </w:t>
      </w:r>
      <w:r w:rsidR="00F5567F" w:rsidRPr="00235004">
        <w:t>adult BMI</w:t>
      </w:r>
      <w:r>
        <w:t xml:space="preserve"> did not attenuate the re</w:t>
      </w:r>
      <w:r w:rsidR="00B4530C">
        <w:t>sults</w:t>
      </w:r>
      <w:r w:rsidR="005B1D97">
        <w:t xml:space="preserve"> (Table 2)</w:t>
      </w:r>
      <w:r w:rsidR="00841984">
        <w:t xml:space="preserve">. </w:t>
      </w:r>
      <w:r w:rsidR="00345C0A" w:rsidRPr="003325F1">
        <w:t>Adjustment</w:t>
      </w:r>
      <w:r w:rsidR="00AF2A5A" w:rsidRPr="003325F1">
        <w:t xml:space="preserve"> for main</w:t>
      </w:r>
      <w:r w:rsidR="00064ABD" w:rsidRPr="003325F1">
        <w:t xml:space="preserve"> chronic diseases (heart congestion, myocardial infarction, angina pectori</w:t>
      </w:r>
      <w:r w:rsidR="00345C0A" w:rsidRPr="003325F1">
        <w:t>s, hypertension, diabetes)</w:t>
      </w:r>
      <w:r w:rsidR="00064ABD" w:rsidRPr="003325F1">
        <w:t xml:space="preserve"> did not change </w:t>
      </w:r>
      <w:r w:rsidR="003325F1" w:rsidRPr="003325F1">
        <w:t xml:space="preserve">the </w:t>
      </w:r>
      <w:r w:rsidR="00064ABD" w:rsidRPr="003325F1">
        <w:t>results materially</w:t>
      </w:r>
      <w:r w:rsidR="002A6FA4">
        <w:t xml:space="preserve">. </w:t>
      </w:r>
      <w:r w:rsidR="005B1D97">
        <w:t>All the models fitted well, described in Table 2.</w:t>
      </w:r>
    </w:p>
    <w:p w:rsidR="002A6FA4" w:rsidRDefault="002A6FA4" w:rsidP="00841984">
      <w:pPr>
        <w:spacing w:line="480" w:lineRule="auto"/>
      </w:pPr>
    </w:p>
    <w:p w:rsidR="0047737D" w:rsidRPr="00CE4C1C" w:rsidRDefault="0047737D" w:rsidP="009B458A">
      <w:pPr>
        <w:spacing w:line="480" w:lineRule="auto"/>
        <w:rPr>
          <w:b/>
        </w:rPr>
      </w:pPr>
      <w:r w:rsidRPr="00CE4C1C">
        <w:rPr>
          <w:b/>
        </w:rPr>
        <w:t>DISCUSSION</w:t>
      </w:r>
    </w:p>
    <w:p w:rsidR="00D27DC0" w:rsidRDefault="007E3031" w:rsidP="00FE503F">
      <w:pPr>
        <w:spacing w:line="480" w:lineRule="auto"/>
      </w:pPr>
      <w:r w:rsidRPr="002572C9">
        <w:t>M</w:t>
      </w:r>
      <w:r w:rsidR="00CE4C1C" w:rsidRPr="002572C9">
        <w:t>en</w:t>
      </w:r>
      <w:r w:rsidR="00D21891" w:rsidRPr="002572C9">
        <w:t xml:space="preserve"> who had </w:t>
      </w:r>
      <w:r w:rsidR="00CE4C1C" w:rsidRPr="002572C9">
        <w:t>better intellectual ability in early adulthood had better physical functioning</w:t>
      </w:r>
      <w:r w:rsidR="00FE503F" w:rsidRPr="002572C9">
        <w:t xml:space="preserve"> </w:t>
      </w:r>
      <w:r w:rsidR="00CE4C1C" w:rsidRPr="002572C9">
        <w:t>in</w:t>
      </w:r>
      <w:r w:rsidR="00FE503F" w:rsidRPr="002572C9">
        <w:t xml:space="preserve"> </w:t>
      </w:r>
      <w:r w:rsidR="00126A98" w:rsidRPr="002572C9">
        <w:t xml:space="preserve">early </w:t>
      </w:r>
      <w:r w:rsidR="00FE503F" w:rsidRPr="002572C9">
        <w:t>old</w:t>
      </w:r>
      <w:r w:rsidR="00262FFC" w:rsidRPr="002572C9">
        <w:t xml:space="preserve"> ag</w:t>
      </w:r>
      <w:r w:rsidR="00FA5379" w:rsidRPr="002572C9">
        <w:t>e</w:t>
      </w:r>
      <w:r w:rsidR="006828CE" w:rsidRPr="002572C9">
        <w:t>.</w:t>
      </w:r>
      <w:r w:rsidR="00FA5379" w:rsidRPr="002572C9">
        <w:t xml:space="preserve"> </w:t>
      </w:r>
      <w:r w:rsidR="006828CE" w:rsidRPr="002572C9">
        <w:t>Better intellectual ability in early adulthood had</w:t>
      </w:r>
      <w:r w:rsidR="00262FFC" w:rsidRPr="002572C9">
        <w:t xml:space="preserve"> </w:t>
      </w:r>
      <w:r w:rsidR="00502887" w:rsidRPr="002572C9">
        <w:t xml:space="preserve">also </w:t>
      </w:r>
      <w:r w:rsidR="00262FFC" w:rsidRPr="002572C9">
        <w:t>an indirect effect on physical functioning after</w:t>
      </w:r>
      <w:r w:rsidR="00FC1AEC" w:rsidRPr="002572C9">
        <w:t xml:space="preserve"> the</w:t>
      </w:r>
      <w:r w:rsidR="00A13100" w:rsidRPr="002572C9">
        <w:t xml:space="preserve"> 10-</w:t>
      </w:r>
      <w:r w:rsidR="006828CE" w:rsidRPr="002572C9">
        <w:t xml:space="preserve">year follow-up through the first assessment of physical functioning. </w:t>
      </w:r>
      <w:r w:rsidR="003D6E97" w:rsidRPr="002572C9">
        <w:t xml:space="preserve">Our </w:t>
      </w:r>
      <w:r w:rsidR="003D6E97">
        <w:t>study</w:t>
      </w:r>
      <w:r w:rsidR="00C87B9A">
        <w:t xml:space="preserve"> findings</w:t>
      </w:r>
      <w:r w:rsidR="003D6E97">
        <w:t xml:space="preserve"> </w:t>
      </w:r>
      <w:r w:rsidR="0052103D">
        <w:t xml:space="preserve">thus </w:t>
      </w:r>
      <w:r w:rsidR="003D6E97">
        <w:t>suggest</w:t>
      </w:r>
      <w:r w:rsidR="00595329">
        <w:t>s</w:t>
      </w:r>
      <w:r w:rsidR="003D6E97">
        <w:t xml:space="preserve"> that</w:t>
      </w:r>
      <w:r w:rsidR="00FE119D">
        <w:t xml:space="preserve"> </w:t>
      </w:r>
      <w:r w:rsidR="00CE4C1C">
        <w:t xml:space="preserve">intellectual </w:t>
      </w:r>
      <w:r w:rsidR="00A13100">
        <w:t>ability in early adulthood, often considered to be the</w:t>
      </w:r>
      <w:r w:rsidR="00CE4C1C">
        <w:t xml:space="preserve"> peak of cognitive development</w:t>
      </w:r>
      <w:r w:rsidR="00B33682">
        <w:fldChar w:fldCharType="begin"/>
      </w:r>
      <w:r w:rsidR="00502887">
        <w:instrText>ADDIN RW.CITE{{24 Craik,F.I. 2006}}</w:instrText>
      </w:r>
      <w:r w:rsidR="00B33682">
        <w:fldChar w:fldCharType="separate"/>
      </w:r>
      <w:r w:rsidR="00D62272" w:rsidRPr="00D62272">
        <w:t>[20]</w:t>
      </w:r>
      <w:r w:rsidR="00B33682">
        <w:fldChar w:fldCharType="end"/>
      </w:r>
      <w:r w:rsidR="00595329">
        <w:t xml:space="preserve">, </w:t>
      </w:r>
      <w:r w:rsidR="00D21891">
        <w:t>may track over to</w:t>
      </w:r>
      <w:r w:rsidR="00CE4C1C">
        <w:t xml:space="preserve"> physical functioning in</w:t>
      </w:r>
      <w:r w:rsidR="00732BAB">
        <w:t xml:space="preserve"> old</w:t>
      </w:r>
      <w:r w:rsidR="00DE1B0D">
        <w:t>er</w:t>
      </w:r>
      <w:r w:rsidR="00732BAB">
        <w:t xml:space="preserve"> age</w:t>
      </w:r>
      <w:r w:rsidR="00BE15A2">
        <w:t xml:space="preserve">. </w:t>
      </w:r>
    </w:p>
    <w:p w:rsidR="00A13100" w:rsidRPr="0082658C" w:rsidRDefault="00A13100" w:rsidP="00FE503F">
      <w:pPr>
        <w:spacing w:line="480" w:lineRule="auto"/>
      </w:pPr>
    </w:p>
    <w:p w:rsidR="0071249B" w:rsidRDefault="00D106FF" w:rsidP="0071249B">
      <w:pPr>
        <w:spacing w:line="480" w:lineRule="auto"/>
      </w:pPr>
      <w:r w:rsidRPr="001E3348">
        <w:t xml:space="preserve">Physical </w:t>
      </w:r>
      <w:r>
        <w:t>and cognitive functioning are</w:t>
      </w:r>
      <w:r w:rsidRPr="001E3348">
        <w:t xml:space="preserve"> important factor</w:t>
      </w:r>
      <w:r>
        <w:t>s</w:t>
      </w:r>
      <w:r w:rsidRPr="001E3348">
        <w:t xml:space="preserve"> for mai</w:t>
      </w:r>
      <w:r w:rsidR="00AE63B9">
        <w:t>ntaining functional independence</w:t>
      </w:r>
      <w:r w:rsidRPr="001E3348">
        <w:t xml:space="preserve"> and quality of life in older </w:t>
      </w:r>
      <w:proofErr w:type="gramStart"/>
      <w:r w:rsidRPr="001E3348">
        <w:t>age</w:t>
      </w:r>
      <w:proofErr w:type="gramEnd"/>
      <w:r>
        <w:fldChar w:fldCharType="begin"/>
      </w:r>
      <w:r w:rsidR="00502887">
        <w:instrText>ADDIN RW.CITE{{56 Johansson,MariaM 2012}}</w:instrText>
      </w:r>
      <w:r>
        <w:fldChar w:fldCharType="separate"/>
      </w:r>
      <w:r w:rsidR="00D62272" w:rsidRPr="00D62272">
        <w:t>[21]</w:t>
      </w:r>
      <w:r>
        <w:fldChar w:fldCharType="end"/>
      </w:r>
      <w:r>
        <w:t xml:space="preserve">. </w:t>
      </w:r>
      <w:r w:rsidR="0078753C">
        <w:t>Previous studies have confirmed</w:t>
      </w:r>
      <w:r w:rsidR="007D5734">
        <w:t xml:space="preserve"> the link</w:t>
      </w:r>
      <w:r w:rsidRPr="001E3348">
        <w:t xml:space="preserve"> between cog</w:t>
      </w:r>
      <w:r w:rsidR="00F0335B">
        <w:t xml:space="preserve">nitive and physical </w:t>
      </w:r>
      <w:proofErr w:type="gramStart"/>
      <w:r w:rsidR="00F0335B">
        <w:t>functioning</w:t>
      </w:r>
      <w:proofErr w:type="gramEnd"/>
      <w:r>
        <w:fldChar w:fldCharType="begin"/>
      </w:r>
      <w:r w:rsidR="00502887">
        <w:instrText>ADDIN RW.CITE{{66 Clouston,S.A. 2013}}</w:instrText>
      </w:r>
      <w:r>
        <w:fldChar w:fldCharType="separate"/>
      </w:r>
      <w:r w:rsidR="00D62272" w:rsidRPr="00D62272">
        <w:t>[22]</w:t>
      </w:r>
      <w:r>
        <w:fldChar w:fldCharType="end"/>
      </w:r>
      <w:r w:rsidRPr="001E3348">
        <w:t xml:space="preserve">.  </w:t>
      </w:r>
      <w:r w:rsidR="00265777">
        <w:t>Deterioration</w:t>
      </w:r>
      <w:r w:rsidR="00624D2B">
        <w:t xml:space="preserve"> in the structure or function of</w:t>
      </w:r>
      <w:r w:rsidR="00265777">
        <w:t xml:space="preserve"> </w:t>
      </w:r>
      <w:r w:rsidR="00265777">
        <w:lastRenderedPageBreak/>
        <w:t>the central nervous system has negative</w:t>
      </w:r>
      <w:r w:rsidR="00624D2B">
        <w:t xml:space="preserve"> effects on the executi</w:t>
      </w:r>
      <w:r w:rsidR="00F0335B">
        <w:t xml:space="preserve">on of physical tasks in old </w:t>
      </w:r>
      <w:proofErr w:type="gramStart"/>
      <w:r w:rsidR="00F0335B">
        <w:t>age</w:t>
      </w:r>
      <w:proofErr w:type="gramEnd"/>
      <w:r w:rsidR="00624D2B">
        <w:fldChar w:fldCharType="begin"/>
      </w:r>
      <w:r w:rsidR="00502887">
        <w:instrText>ADDIN RW.CITE{{35 Ren,J. 2013}}</w:instrText>
      </w:r>
      <w:r w:rsidR="00624D2B">
        <w:fldChar w:fldCharType="separate"/>
      </w:r>
      <w:r w:rsidR="00D62272" w:rsidRPr="00D62272">
        <w:t>[5]</w:t>
      </w:r>
      <w:r w:rsidR="00624D2B">
        <w:fldChar w:fldCharType="end"/>
      </w:r>
      <w:r w:rsidR="00AD1CF2" w:rsidRPr="00B4530C">
        <w:t>.</w:t>
      </w:r>
      <w:r w:rsidR="00BF11D8" w:rsidRPr="00BF11D8">
        <w:t xml:space="preserve"> </w:t>
      </w:r>
      <w:r w:rsidR="00973BEE">
        <w:t>E</w:t>
      </w:r>
      <w:r w:rsidRPr="001E3348">
        <w:t>xecutive functio</w:t>
      </w:r>
      <w:r w:rsidR="009A2E6E">
        <w:t>ns are</w:t>
      </w:r>
      <w:r w:rsidR="00E4672D">
        <w:t xml:space="preserve"> </w:t>
      </w:r>
      <w:r w:rsidRPr="001E3348">
        <w:t>high-level cognitive fu</w:t>
      </w:r>
      <w:r w:rsidR="000F54C5">
        <w:t>nctions that control and guide g</w:t>
      </w:r>
      <w:r w:rsidRPr="001E3348">
        <w:t xml:space="preserve">oal-directed motor </w:t>
      </w:r>
      <w:proofErr w:type="gramStart"/>
      <w:r w:rsidRPr="001E3348">
        <w:t>performances</w:t>
      </w:r>
      <w:proofErr w:type="gramEnd"/>
      <w:r w:rsidR="00F205BE">
        <w:fldChar w:fldCharType="begin"/>
      </w:r>
      <w:r w:rsidR="00502887">
        <w:instrText>ADDIN RW.CITE{{59 Banich,MarieT 2009}}</w:instrText>
      </w:r>
      <w:r w:rsidR="00F205BE">
        <w:fldChar w:fldCharType="separate"/>
      </w:r>
      <w:r w:rsidR="00D62272" w:rsidRPr="00D62272">
        <w:t>[23]</w:t>
      </w:r>
      <w:r w:rsidR="00F205BE">
        <w:fldChar w:fldCharType="end"/>
      </w:r>
      <w:r w:rsidR="00F906DD">
        <w:t>.</w:t>
      </w:r>
      <w:r w:rsidR="0071249B">
        <w:t xml:space="preserve"> </w:t>
      </w:r>
      <w:r w:rsidR="00F906DD">
        <w:t>I</w:t>
      </w:r>
      <w:r w:rsidRPr="001E3348">
        <w:t>mpairment in exe</w:t>
      </w:r>
      <w:r w:rsidR="000F54C5">
        <w:t>cutive functioning has been linked</w:t>
      </w:r>
      <w:r w:rsidR="00E72079">
        <w:t xml:space="preserve"> with declines of</w:t>
      </w:r>
      <w:r w:rsidRPr="001E3348">
        <w:t xml:space="preserve"> functional status in older </w:t>
      </w:r>
      <w:proofErr w:type="gramStart"/>
      <w:r w:rsidRPr="001E3348">
        <w:t>age</w:t>
      </w:r>
      <w:proofErr w:type="gramEnd"/>
      <w:r>
        <w:fldChar w:fldCharType="begin"/>
      </w:r>
      <w:r w:rsidR="00502887">
        <w:instrText>ADDIN RW.CITE{{67 Gale,C.R. 2014}}</w:instrText>
      </w:r>
      <w:r>
        <w:fldChar w:fldCharType="separate"/>
      </w:r>
      <w:r w:rsidR="00D62272" w:rsidRPr="00D62272">
        <w:t>[24]</w:t>
      </w:r>
      <w:r>
        <w:fldChar w:fldCharType="end"/>
      </w:r>
      <w:r w:rsidRPr="001E3348">
        <w:t xml:space="preserve">. </w:t>
      </w:r>
      <w:r w:rsidR="00A50CF4" w:rsidRPr="008179B4">
        <w:t>Fi</w:t>
      </w:r>
      <w:r w:rsidR="00451A5B" w:rsidRPr="008179B4">
        <w:t>nding</w:t>
      </w:r>
      <w:r w:rsidR="0025789C" w:rsidRPr="008179B4">
        <w:t xml:space="preserve">s from </w:t>
      </w:r>
      <w:r w:rsidR="004C4167" w:rsidRPr="008179B4">
        <w:t xml:space="preserve">the </w:t>
      </w:r>
      <w:r w:rsidR="0025789C" w:rsidRPr="008179B4">
        <w:t xml:space="preserve">current study </w:t>
      </w:r>
      <w:r w:rsidR="00C1274F" w:rsidRPr="008179B4">
        <w:t xml:space="preserve">might </w:t>
      </w:r>
      <w:r w:rsidR="0025789C" w:rsidRPr="008179B4">
        <w:t xml:space="preserve">suggest that </w:t>
      </w:r>
      <w:r w:rsidR="004C4167" w:rsidRPr="008179B4">
        <w:t xml:space="preserve">the </w:t>
      </w:r>
      <w:r w:rsidR="00C1274F" w:rsidRPr="008179B4">
        <w:t xml:space="preserve">association between intellectual ability in young adulthood and </w:t>
      </w:r>
      <w:r w:rsidR="0025789C" w:rsidRPr="008179B4">
        <w:t xml:space="preserve">physical functioning in older age is mediated by </w:t>
      </w:r>
      <w:r w:rsidR="004C4167" w:rsidRPr="008179B4">
        <w:t xml:space="preserve">the </w:t>
      </w:r>
      <w:r w:rsidR="0030722E" w:rsidRPr="008179B4">
        <w:t>function of premotor cortex on</w:t>
      </w:r>
      <w:r w:rsidR="0025789C" w:rsidRPr="008179B4">
        <w:t xml:space="preserve"> </w:t>
      </w:r>
      <w:r w:rsidR="0030722E" w:rsidRPr="008179B4">
        <w:t>lateral frontal lobe</w:t>
      </w:r>
      <w:r w:rsidR="0025789C" w:rsidRPr="008179B4">
        <w:t xml:space="preserve"> which supports the executive control of action and </w:t>
      </w:r>
      <w:proofErr w:type="gramStart"/>
      <w:r w:rsidR="0025789C" w:rsidRPr="008179B4">
        <w:t>attention</w:t>
      </w:r>
      <w:proofErr w:type="gramEnd"/>
      <w:r w:rsidR="00091928" w:rsidRPr="008179B4">
        <w:fldChar w:fldCharType="begin"/>
      </w:r>
      <w:r w:rsidR="00502887">
        <w:instrText>ADDIN RW.CITE{{111 Miller,EarlK 2001; 6 Diamond,A. 2000}}</w:instrText>
      </w:r>
      <w:r w:rsidR="00091928" w:rsidRPr="008179B4">
        <w:fldChar w:fldCharType="separate"/>
      </w:r>
      <w:r w:rsidR="00D62272" w:rsidRPr="00D62272">
        <w:t>[6, 25]</w:t>
      </w:r>
      <w:r w:rsidR="00091928" w:rsidRPr="008179B4">
        <w:fldChar w:fldCharType="end"/>
      </w:r>
      <w:r w:rsidR="007E3031">
        <w:t>.</w:t>
      </w:r>
      <w:r w:rsidR="000B7E41">
        <w:t xml:space="preserve"> </w:t>
      </w:r>
      <w:r w:rsidR="00FA5379">
        <w:t>B</w:t>
      </w:r>
      <w:r w:rsidR="000818E8" w:rsidRPr="00CB674D">
        <w:t xml:space="preserve">etter development of </w:t>
      </w:r>
      <w:r w:rsidR="008A2076">
        <w:t xml:space="preserve">the </w:t>
      </w:r>
      <w:r w:rsidR="000818E8" w:rsidRPr="00CB674D">
        <w:t xml:space="preserve">central nervous system </w:t>
      </w:r>
      <w:r w:rsidR="00CB674D">
        <w:t>in early life</w:t>
      </w:r>
      <w:r w:rsidR="00241294">
        <w:t>,</w:t>
      </w:r>
      <w:r w:rsidR="00CB674D">
        <w:t xml:space="preserve"> </w:t>
      </w:r>
      <w:r w:rsidR="00737FA5">
        <w:t xml:space="preserve">resulting </w:t>
      </w:r>
      <w:r w:rsidR="00B314C9">
        <w:t xml:space="preserve">in </w:t>
      </w:r>
      <w:r w:rsidR="00737FA5">
        <w:t>higher</w:t>
      </w:r>
      <w:r w:rsidR="0016015B">
        <w:t xml:space="preserve"> peak </w:t>
      </w:r>
      <w:r w:rsidR="00737FA5">
        <w:t>level of intellectual ability in</w:t>
      </w:r>
      <w:r w:rsidR="0016015B">
        <w:t xml:space="preserve"> early adulthood, </w:t>
      </w:r>
      <w:r w:rsidR="000818E8" w:rsidRPr="00CB674D">
        <w:t>may have far-reaching effect</w:t>
      </w:r>
      <w:r w:rsidR="007C2C5E">
        <w:t>s on cognitive reserve capacity and thus</w:t>
      </w:r>
      <w:r w:rsidR="00CB674D">
        <w:t xml:space="preserve"> </w:t>
      </w:r>
      <w:r w:rsidR="00B314C9">
        <w:t xml:space="preserve">also be related to </w:t>
      </w:r>
      <w:r w:rsidR="00CB674D">
        <w:t>better physical functioning in older age.</w:t>
      </w:r>
      <w:r w:rsidR="000818E8" w:rsidRPr="00CB674D">
        <w:t xml:space="preserve"> </w:t>
      </w:r>
      <w:r w:rsidR="000B3EDF">
        <w:t xml:space="preserve">Persons with higher </w:t>
      </w:r>
      <w:r w:rsidR="00F1360D">
        <w:t>early life</w:t>
      </w:r>
      <w:r w:rsidR="003C2F01">
        <w:t xml:space="preserve"> </w:t>
      </w:r>
      <w:r w:rsidR="00E72079">
        <w:t>cognitive ability may</w:t>
      </w:r>
      <w:r w:rsidR="000B3EDF">
        <w:t xml:space="preserve"> have lower </w:t>
      </w:r>
      <w:r w:rsidR="008A2076">
        <w:t xml:space="preserve">subsequent </w:t>
      </w:r>
      <w:r w:rsidR="000B3EDF">
        <w:t xml:space="preserve">risk of cognitive </w:t>
      </w:r>
      <w:proofErr w:type="gramStart"/>
      <w:r w:rsidR="000B3EDF">
        <w:t>impairment</w:t>
      </w:r>
      <w:proofErr w:type="gramEnd"/>
      <w:r w:rsidR="00E97C56">
        <w:fldChar w:fldCharType="begin"/>
      </w:r>
      <w:r w:rsidR="00502887">
        <w:instrText>ADDIN RW.CITE{{45 Stern,Yaakov 2009}}</w:instrText>
      </w:r>
      <w:r w:rsidR="00E97C56">
        <w:fldChar w:fldCharType="separate"/>
      </w:r>
      <w:r w:rsidR="00D62272" w:rsidRPr="00D62272">
        <w:t>[26]</w:t>
      </w:r>
      <w:r w:rsidR="00E97C56">
        <w:fldChar w:fldCharType="end"/>
      </w:r>
      <w:r w:rsidR="00E97C56">
        <w:t xml:space="preserve"> </w:t>
      </w:r>
      <w:r w:rsidR="003C2F01">
        <w:t>accompanied with</w:t>
      </w:r>
      <w:r w:rsidR="00384A7E">
        <w:t xml:space="preserve"> decline in physic</w:t>
      </w:r>
      <w:r w:rsidR="00F0335B">
        <w:t>al functioning</w:t>
      </w:r>
      <w:r w:rsidR="001521F5">
        <w:fldChar w:fldCharType="begin"/>
      </w:r>
      <w:r w:rsidR="00502887">
        <w:instrText>ADDIN RW.CITE{{102 Auyeung,T.W. 2008}}</w:instrText>
      </w:r>
      <w:r w:rsidR="001521F5">
        <w:fldChar w:fldCharType="separate"/>
      </w:r>
      <w:r w:rsidR="00D62272" w:rsidRPr="00D62272">
        <w:t>[4]</w:t>
      </w:r>
      <w:r w:rsidR="001521F5">
        <w:fldChar w:fldCharType="end"/>
      </w:r>
      <w:r w:rsidR="00D476B6">
        <w:t>.</w:t>
      </w:r>
      <w:r w:rsidR="0071249B" w:rsidRPr="00CA1CCC">
        <w:rPr>
          <w:color w:val="FF0000"/>
        </w:rPr>
        <w:t xml:space="preserve"> </w:t>
      </w:r>
    </w:p>
    <w:p w:rsidR="000B3EDF" w:rsidRDefault="000B3EDF" w:rsidP="009B458A">
      <w:pPr>
        <w:spacing w:line="480" w:lineRule="auto"/>
      </w:pPr>
    </w:p>
    <w:p w:rsidR="00A03887" w:rsidRDefault="001E7BFB" w:rsidP="009B458A">
      <w:pPr>
        <w:spacing w:line="480" w:lineRule="auto"/>
      </w:pPr>
      <w:r>
        <w:t>T</w:t>
      </w:r>
      <w:r w:rsidR="002422E1">
        <w:t>he</w:t>
      </w:r>
      <w:r>
        <w:t xml:space="preserve"> l</w:t>
      </w:r>
      <w:r w:rsidR="00970899">
        <w:t xml:space="preserve">ongitudinal </w:t>
      </w:r>
      <w:r w:rsidR="008F26FD">
        <w:t>study design</w:t>
      </w:r>
      <w:r w:rsidR="008A2076">
        <w:t xml:space="preserve"> </w:t>
      </w:r>
      <w:r>
        <w:t>is one of the strengths of this study</w:t>
      </w:r>
      <w:r w:rsidR="00970899" w:rsidRPr="00E72079">
        <w:t>.</w:t>
      </w:r>
      <w:r w:rsidR="005331CA" w:rsidRPr="00E72079">
        <w:t xml:space="preserve"> Intellectual ability in this study was measured</w:t>
      </w:r>
      <w:r w:rsidR="009F06CD" w:rsidRPr="00E72079">
        <w:t xml:space="preserve"> </w:t>
      </w:r>
      <w:r w:rsidR="005331CA" w:rsidRPr="00E72079">
        <w:t>at the age when it is</w:t>
      </w:r>
      <w:r w:rsidR="00464AEB">
        <w:t xml:space="preserve"> likely</w:t>
      </w:r>
      <w:r w:rsidR="009C025D">
        <w:t xml:space="preserve"> </w:t>
      </w:r>
      <w:r w:rsidR="004249EF">
        <w:t xml:space="preserve">that </w:t>
      </w:r>
      <w:r w:rsidR="009C025D">
        <w:t xml:space="preserve">the brain is fully matured </w:t>
      </w:r>
      <w:r w:rsidR="006D5CB4">
        <w:t>o</w:t>
      </w:r>
      <w:r w:rsidR="00F0335B">
        <w:t xml:space="preserve">r at least near full </w:t>
      </w:r>
      <w:proofErr w:type="gramStart"/>
      <w:r w:rsidR="00F0335B">
        <w:t>maturation</w:t>
      </w:r>
      <w:proofErr w:type="gramEnd"/>
      <w:r w:rsidR="00464AEB">
        <w:fldChar w:fldCharType="begin"/>
      </w:r>
      <w:r w:rsidR="00502887">
        <w:instrText>ADDIN RW.CITE{{109 Giedd,J.N. 1999}}</w:instrText>
      </w:r>
      <w:r w:rsidR="00464AEB">
        <w:fldChar w:fldCharType="separate"/>
      </w:r>
      <w:r w:rsidR="00D62272" w:rsidRPr="00D62272">
        <w:t>[27]</w:t>
      </w:r>
      <w:r w:rsidR="00464AEB">
        <w:fldChar w:fldCharType="end"/>
      </w:r>
      <w:r w:rsidR="005331CA" w:rsidRPr="00E72079">
        <w:t xml:space="preserve"> </w:t>
      </w:r>
      <w:r w:rsidR="009C025D">
        <w:t xml:space="preserve">and </w:t>
      </w:r>
      <w:r w:rsidR="005331CA" w:rsidRPr="00E72079">
        <w:t xml:space="preserve">unlikely </w:t>
      </w:r>
      <w:r w:rsidR="004249EF">
        <w:t xml:space="preserve">that </w:t>
      </w:r>
      <w:r w:rsidR="005331CA" w:rsidRPr="00E72079">
        <w:t>cognit</w:t>
      </w:r>
      <w:r w:rsidR="004249EF">
        <w:t>ive decline would yet be present</w:t>
      </w:r>
      <w:r w:rsidR="00B87E8A" w:rsidRPr="00E72079">
        <w:fldChar w:fldCharType="begin"/>
      </w:r>
      <w:r w:rsidR="00502887">
        <w:instrText>ADDIN RW.CITE{{107 Hedden,T. 2004}}</w:instrText>
      </w:r>
      <w:r w:rsidR="00B87E8A" w:rsidRPr="00E72079">
        <w:fldChar w:fldCharType="separate"/>
      </w:r>
      <w:r w:rsidR="00D62272" w:rsidRPr="00D62272">
        <w:t>[28]</w:t>
      </w:r>
      <w:r w:rsidR="00B87E8A" w:rsidRPr="00E72079">
        <w:fldChar w:fldCharType="end"/>
      </w:r>
      <w:r w:rsidR="00B87E8A" w:rsidRPr="008B182D">
        <w:t xml:space="preserve">. </w:t>
      </w:r>
      <w:r w:rsidR="002C762A">
        <w:t>In addi</w:t>
      </w:r>
      <w:r w:rsidR="00AE4D51">
        <w:t>tion, we were able to</w:t>
      </w:r>
      <w:r w:rsidR="000918D8">
        <w:t xml:space="preserve"> study</w:t>
      </w:r>
      <w:r w:rsidR="008A2076">
        <w:t xml:space="preserve"> </w:t>
      </w:r>
      <w:r w:rsidR="00AE4D51">
        <w:t>p</w:t>
      </w:r>
      <w:r w:rsidR="008A2076">
        <w:t>hysical functioning in older age</w:t>
      </w:r>
      <w:r w:rsidR="001F300A">
        <w:t xml:space="preserve"> </w:t>
      </w:r>
      <w:r w:rsidR="008B182D">
        <w:t>at</w:t>
      </w:r>
      <w:r w:rsidR="000918D8">
        <w:t xml:space="preserve"> two different time points in </w:t>
      </w:r>
      <w:r w:rsidR="005769BD">
        <w:t>10-</w:t>
      </w:r>
      <w:r w:rsidR="008A2076">
        <w:t>year follow-</w:t>
      </w:r>
      <w:r w:rsidR="00AE4D51">
        <w:t>up</w:t>
      </w:r>
      <w:r w:rsidR="00EF1CE0">
        <w:t>. We</w:t>
      </w:r>
      <w:r w:rsidR="001F300A">
        <w:t xml:space="preserve"> were able to use</w:t>
      </w:r>
      <w:r w:rsidR="00EF1CE0">
        <w:t xml:space="preserve"> data on s</w:t>
      </w:r>
      <w:r w:rsidR="001F300A">
        <w:t>ocioeconomic status from</w:t>
      </w:r>
      <w:r w:rsidR="004E4477">
        <w:t xml:space="preserve"> childhood</w:t>
      </w:r>
      <w:r w:rsidR="00EF1CE0">
        <w:t>.</w:t>
      </w:r>
      <w:r w:rsidR="002C762A">
        <w:t xml:space="preserve"> </w:t>
      </w:r>
      <w:r w:rsidR="00A6036D">
        <w:t>There are</w:t>
      </w:r>
      <w:r w:rsidR="005769BD">
        <w:t xml:space="preserve"> ho</w:t>
      </w:r>
      <w:r w:rsidR="00EA4593">
        <w:t>wev</w:t>
      </w:r>
      <w:r w:rsidR="005769BD">
        <w:t>er</w:t>
      </w:r>
      <w:r w:rsidR="00A6036D">
        <w:t xml:space="preserve"> some limitations in our study.</w:t>
      </w:r>
      <w:r w:rsidR="001A421B">
        <w:t xml:space="preserve"> First,</w:t>
      </w:r>
      <w:r w:rsidR="001F300A">
        <w:t xml:space="preserve"> </w:t>
      </w:r>
      <w:r w:rsidR="002512F6">
        <w:t xml:space="preserve">our results </w:t>
      </w:r>
      <w:r w:rsidR="001F300A">
        <w:t>might not</w:t>
      </w:r>
      <w:r w:rsidR="002512F6">
        <w:t xml:space="preserve"> be genera</w:t>
      </w:r>
      <w:r w:rsidR="00A77D28">
        <w:t xml:space="preserve">lized to other cohorts </w:t>
      </w:r>
      <w:proofErr w:type="gramStart"/>
      <w:r w:rsidR="00A73160">
        <w:t>n</w:t>
      </w:r>
      <w:r w:rsidR="001F300A">
        <w:t>or</w:t>
      </w:r>
      <w:proofErr w:type="gramEnd"/>
      <w:r w:rsidR="001F300A">
        <w:t xml:space="preserve"> to women. </w:t>
      </w:r>
      <w:r w:rsidR="00B55AFD">
        <w:t>Further, p</w:t>
      </w:r>
      <w:r w:rsidR="008B182D">
        <w:t>eople who</w:t>
      </w:r>
      <w:r w:rsidR="00FB4290">
        <w:t xml:space="preserve"> participate</w:t>
      </w:r>
      <w:r w:rsidR="008B182D">
        <w:t>d</w:t>
      </w:r>
      <w:r w:rsidR="00FB4290">
        <w:t xml:space="preserve"> </w:t>
      </w:r>
      <w:r w:rsidR="000634B8">
        <w:t xml:space="preserve">in </w:t>
      </w:r>
      <w:r w:rsidR="00FB4290">
        <w:t xml:space="preserve">the </w:t>
      </w:r>
      <w:r w:rsidR="00B55AFD">
        <w:t xml:space="preserve">follow-up examinations in 2013 </w:t>
      </w:r>
      <w:r w:rsidR="002512F6">
        <w:t xml:space="preserve">were </w:t>
      </w:r>
      <w:r w:rsidR="00B55AFD">
        <w:t>younger, had higher childhood socio-economic status, and had better physical functioning scores</w:t>
      </w:r>
      <w:r w:rsidR="000446AF">
        <w:t xml:space="preserve"> at the first examina</w:t>
      </w:r>
      <w:r w:rsidR="00B55AFD">
        <w:t>tion</w:t>
      </w:r>
      <w:r w:rsidR="000446AF">
        <w:t xml:space="preserve"> compared to those who did not participate in the follow-up. </w:t>
      </w:r>
      <w:r w:rsidR="009201DC">
        <w:t xml:space="preserve">The fact that the study population was rather homogeneous may result in an underestimation of the associations found between intellectual ability in early adulthood and physical functioning in old age. </w:t>
      </w:r>
      <w:r w:rsidR="008F0B60">
        <w:t>We used self-reported data on physical functio</w:t>
      </w:r>
      <w:r w:rsidR="00E72079">
        <w:t xml:space="preserve">ning, which </w:t>
      </w:r>
      <w:r w:rsidR="00E72079">
        <w:lastRenderedPageBreak/>
        <w:t>may</w:t>
      </w:r>
      <w:r w:rsidR="005769BD">
        <w:t xml:space="preserve"> cause</w:t>
      </w:r>
      <w:r w:rsidR="008F0B60">
        <w:t xml:space="preserve"> reporting bias. However, high correlations between self-reported and objectively measured physical performance have been </w:t>
      </w:r>
      <w:proofErr w:type="gramStart"/>
      <w:r w:rsidR="008F0B60">
        <w:t>reported</w:t>
      </w:r>
      <w:proofErr w:type="gramEnd"/>
      <w:r w:rsidR="000335E9">
        <w:fldChar w:fldCharType="begin"/>
      </w:r>
      <w:r w:rsidR="00502887">
        <w:instrText>ADDIN RW.CITE{{78 Syddall,H.E. 2009}}</w:instrText>
      </w:r>
      <w:r w:rsidR="000335E9">
        <w:fldChar w:fldCharType="separate"/>
      </w:r>
      <w:r w:rsidR="00D62272" w:rsidRPr="00D62272">
        <w:t>[29]</w:t>
      </w:r>
      <w:r w:rsidR="000335E9">
        <w:fldChar w:fldCharType="end"/>
      </w:r>
      <w:r w:rsidR="008B3565">
        <w:t xml:space="preserve">. </w:t>
      </w:r>
      <w:r w:rsidR="000623BE">
        <w:t>Finally</w:t>
      </w:r>
      <w:r w:rsidR="001A421B">
        <w:t>, t</w:t>
      </w:r>
      <w:r w:rsidR="00E72079">
        <w:t>here may</w:t>
      </w:r>
      <w:r w:rsidR="00EA43E8">
        <w:t xml:space="preserve"> have been </w:t>
      </w:r>
      <w:r w:rsidR="00FF3E91">
        <w:t xml:space="preserve">other possible factors </w:t>
      </w:r>
      <w:r w:rsidR="008F0B60">
        <w:t>during the life cour</w:t>
      </w:r>
      <w:r w:rsidR="00486027">
        <w:t xml:space="preserve">se </w:t>
      </w:r>
      <w:r w:rsidR="00A6036D">
        <w:t>that</w:t>
      </w:r>
      <w:r w:rsidR="000634B8">
        <w:t xml:space="preserve"> may</w:t>
      </w:r>
      <w:r w:rsidR="00EA43E8">
        <w:t xml:space="preserve"> have </w:t>
      </w:r>
      <w:r w:rsidR="00A91259">
        <w:t>a</w:t>
      </w:r>
      <w:r w:rsidR="00A6036D">
        <w:t>ffect</w:t>
      </w:r>
      <w:r w:rsidR="00EA43E8">
        <w:t>ed</w:t>
      </w:r>
      <w:r w:rsidR="00486027">
        <w:t xml:space="preserve"> the association between</w:t>
      </w:r>
      <w:r w:rsidR="007C0532">
        <w:t xml:space="preserve"> </w:t>
      </w:r>
      <w:r w:rsidR="00716EB5">
        <w:t xml:space="preserve">intellectual ability </w:t>
      </w:r>
      <w:r w:rsidR="008561AE">
        <w:t xml:space="preserve">in early adulthood and physical functioning </w:t>
      </w:r>
      <w:r w:rsidR="00716EB5">
        <w:t>in</w:t>
      </w:r>
      <w:r w:rsidR="007C0532">
        <w:t xml:space="preserve"> old age</w:t>
      </w:r>
      <w:r w:rsidR="00A03887">
        <w:t xml:space="preserve"> which we have not</w:t>
      </w:r>
      <w:r w:rsidR="00A6036D" w:rsidRPr="00A6036D">
        <w:t xml:space="preserve"> </w:t>
      </w:r>
      <w:r w:rsidR="00A03887">
        <w:t xml:space="preserve">been able to </w:t>
      </w:r>
      <w:r w:rsidR="000634B8">
        <w:t>control</w:t>
      </w:r>
      <w:r w:rsidR="001A421B">
        <w:t xml:space="preserve"> </w:t>
      </w:r>
      <w:r w:rsidR="00A03887">
        <w:t xml:space="preserve">for </w:t>
      </w:r>
      <w:r w:rsidR="001A421B">
        <w:t xml:space="preserve">in this </w:t>
      </w:r>
      <w:r w:rsidR="001A421B" w:rsidRPr="008B182D">
        <w:t>study</w:t>
      </w:r>
      <w:r w:rsidR="00A6036D" w:rsidRPr="008B182D">
        <w:t>.</w:t>
      </w:r>
      <w:r w:rsidR="00503E25" w:rsidRPr="008B182D">
        <w:t xml:space="preserve"> </w:t>
      </w:r>
      <w:r w:rsidR="00E82E69" w:rsidRPr="002572C9">
        <w:t xml:space="preserve">The associations could be explained </w:t>
      </w:r>
      <w:r w:rsidR="00406D83" w:rsidRPr="002572C9">
        <w:t>by</w:t>
      </w:r>
      <w:r w:rsidR="00E82E69" w:rsidRPr="002572C9">
        <w:t xml:space="preserve"> cumulative effect </w:t>
      </w:r>
      <w:r w:rsidR="00256F80" w:rsidRPr="002572C9">
        <w:t>of intelligent</w:t>
      </w:r>
      <w:r w:rsidR="00E82E69" w:rsidRPr="002572C9">
        <w:t xml:space="preserve"> people </w:t>
      </w:r>
      <w:r w:rsidR="00256F80" w:rsidRPr="002572C9">
        <w:t>being mor</w:t>
      </w:r>
      <w:r w:rsidR="00741EA4" w:rsidRPr="002572C9">
        <w:t xml:space="preserve">e educated, having higher occupational status </w:t>
      </w:r>
      <w:r w:rsidR="00256F80" w:rsidRPr="002572C9">
        <w:t xml:space="preserve">and </w:t>
      </w:r>
      <w:r w:rsidR="0040052B" w:rsidRPr="002572C9">
        <w:t>le</w:t>
      </w:r>
      <w:r w:rsidR="00BC02C2" w:rsidRPr="002572C9">
        <w:t>ading</w:t>
      </w:r>
      <w:r w:rsidR="00256F80" w:rsidRPr="002572C9">
        <w:t xml:space="preserve"> healthier</w:t>
      </w:r>
      <w:r w:rsidR="00A607FB" w:rsidRPr="002572C9">
        <w:t xml:space="preserve"> life-</w:t>
      </w:r>
      <w:proofErr w:type="gramStart"/>
      <w:r w:rsidR="00A607FB" w:rsidRPr="002572C9">
        <w:t>styles</w:t>
      </w:r>
      <w:proofErr w:type="gramEnd"/>
      <w:r w:rsidR="00256F80" w:rsidRPr="002572C9">
        <w:fldChar w:fldCharType="begin"/>
      </w:r>
      <w:r w:rsidR="00502887" w:rsidRPr="002572C9">
        <w:instrText>ADDIN RW.CITE{{189 Deary,Ian 2008}}</w:instrText>
      </w:r>
      <w:r w:rsidR="00256F80" w:rsidRPr="002572C9">
        <w:fldChar w:fldCharType="separate"/>
      </w:r>
      <w:r w:rsidR="00D62272" w:rsidRPr="00D62272">
        <w:t>[30]</w:t>
      </w:r>
      <w:r w:rsidR="00256F80" w:rsidRPr="002572C9">
        <w:fldChar w:fldCharType="end"/>
      </w:r>
      <w:r w:rsidR="00256F80" w:rsidRPr="002572C9">
        <w:t xml:space="preserve">. </w:t>
      </w:r>
      <w:r w:rsidR="00D476B6">
        <w:rPr>
          <w:color w:val="FF0000"/>
        </w:rPr>
        <w:t xml:space="preserve"> </w:t>
      </w:r>
      <w:r w:rsidR="004E1887" w:rsidRPr="008B182D">
        <w:t xml:space="preserve">However, </w:t>
      </w:r>
      <w:r w:rsidR="008B182D">
        <w:t xml:space="preserve">adjustment for main chronic diseases </w:t>
      </w:r>
      <w:r w:rsidR="00E82E69">
        <w:t xml:space="preserve">or adult BMI </w:t>
      </w:r>
      <w:r w:rsidR="008B182D">
        <w:t>did not change the results.</w:t>
      </w:r>
      <w:r w:rsidR="00E82E69">
        <w:t xml:space="preserve"> </w:t>
      </w:r>
    </w:p>
    <w:p w:rsidR="008B182D" w:rsidRDefault="008B182D" w:rsidP="009B458A">
      <w:pPr>
        <w:spacing w:line="480" w:lineRule="auto"/>
        <w:rPr>
          <w:b/>
        </w:rPr>
      </w:pPr>
    </w:p>
    <w:p w:rsidR="0047737D" w:rsidRPr="00C06C66" w:rsidRDefault="0047737D" w:rsidP="00F0335B">
      <w:pPr>
        <w:spacing w:line="480" w:lineRule="auto"/>
        <w:rPr>
          <w:b/>
        </w:rPr>
      </w:pPr>
      <w:r w:rsidRPr="00C06C66">
        <w:rPr>
          <w:b/>
        </w:rPr>
        <w:t>Conclusion</w:t>
      </w:r>
    </w:p>
    <w:p w:rsidR="00F0249B" w:rsidRPr="00F65BB2" w:rsidRDefault="002572C9" w:rsidP="00F0335B">
      <w:pPr>
        <w:spacing w:line="480" w:lineRule="auto"/>
      </w:pPr>
      <w:r>
        <w:t>To conclude, w</w:t>
      </w:r>
      <w:r w:rsidR="008A2076">
        <w:t xml:space="preserve">e found </w:t>
      </w:r>
      <w:r w:rsidR="00D03906">
        <w:t>that p</w:t>
      </w:r>
      <w:r w:rsidR="00AE733F">
        <w:t>er</w:t>
      </w:r>
      <w:r w:rsidR="001C116E">
        <w:t>sons who</w:t>
      </w:r>
      <w:r w:rsidR="00AE733F">
        <w:t xml:space="preserve"> had better </w:t>
      </w:r>
      <w:r w:rsidR="001C116E">
        <w:t>intellec</w:t>
      </w:r>
      <w:r w:rsidR="008A2076">
        <w:t>tual ability in early adulthood</w:t>
      </w:r>
      <w:r w:rsidR="005769BD">
        <w:t xml:space="preserve"> </w:t>
      </w:r>
      <w:r w:rsidR="001C116E">
        <w:t>had better physical functi</w:t>
      </w:r>
      <w:r w:rsidR="004B5579">
        <w:t>oning in old</w:t>
      </w:r>
      <w:r w:rsidR="00206CFD">
        <w:t>er</w:t>
      </w:r>
      <w:r w:rsidR="004B5579">
        <w:t xml:space="preserve"> age</w:t>
      </w:r>
      <w:r w:rsidR="003239D5">
        <w:t>.</w:t>
      </w:r>
      <w:r w:rsidR="00F0249B" w:rsidRPr="00F0249B">
        <w:t xml:space="preserve"> </w:t>
      </w:r>
      <w:r w:rsidR="00F0249B">
        <w:t>Better e</w:t>
      </w:r>
      <w:r w:rsidR="00F0249B" w:rsidRPr="00F65BB2">
        <w:t>a</w:t>
      </w:r>
      <w:r w:rsidR="00F0249B">
        <w:t xml:space="preserve">rly life intellectual ability helps in maintaining </w:t>
      </w:r>
      <w:r w:rsidR="00F0249B" w:rsidRPr="00F65BB2">
        <w:t>better p</w:t>
      </w:r>
      <w:r w:rsidR="00F0249B">
        <w:t>hysical functioning in older age</w:t>
      </w:r>
      <w:r w:rsidR="00F0249B" w:rsidRPr="00F65BB2">
        <w:t>.</w:t>
      </w:r>
    </w:p>
    <w:p w:rsidR="001E62E9" w:rsidRPr="00A2789E" w:rsidRDefault="001E62E9" w:rsidP="00F0335B">
      <w:pPr>
        <w:spacing w:line="480" w:lineRule="auto"/>
      </w:pPr>
    </w:p>
    <w:p w:rsidR="001A287B" w:rsidRDefault="001A287B" w:rsidP="00B16586">
      <w:pPr>
        <w:jc w:val="both"/>
        <w:rPr>
          <w:b/>
        </w:rPr>
      </w:pPr>
    </w:p>
    <w:p w:rsidR="00A2789E" w:rsidRDefault="00A2789E" w:rsidP="00B16586">
      <w:pPr>
        <w:jc w:val="both"/>
        <w:rPr>
          <w:b/>
        </w:rPr>
      </w:pPr>
    </w:p>
    <w:p w:rsidR="00B16586" w:rsidRDefault="003F48DE" w:rsidP="00B16586">
      <w:pPr>
        <w:jc w:val="both"/>
        <w:rPr>
          <w:b/>
        </w:rPr>
      </w:pPr>
      <w:r>
        <w:rPr>
          <w:b/>
        </w:rPr>
        <w:t>This work was supported by</w:t>
      </w:r>
    </w:p>
    <w:p w:rsidR="00B16586" w:rsidRPr="00A1650F" w:rsidRDefault="00B16586" w:rsidP="00B16586">
      <w:pPr>
        <w:jc w:val="both"/>
      </w:pPr>
      <w:r w:rsidRPr="00A1650F">
        <w:t xml:space="preserve">HBCS was supported by Emil </w:t>
      </w:r>
      <w:proofErr w:type="spellStart"/>
      <w:r w:rsidRPr="00A1650F">
        <w:t>Aaltonen</w:t>
      </w:r>
      <w:proofErr w:type="spellEnd"/>
      <w:r w:rsidRPr="00A1650F">
        <w:t xml:space="preserve"> Foundation, Finnish Foundation for Diabetes Research, Novo Nordisk Foundation, Signe and </w:t>
      </w:r>
      <w:proofErr w:type="spellStart"/>
      <w:r w:rsidRPr="00A1650F">
        <w:t>Ane</w:t>
      </w:r>
      <w:proofErr w:type="spellEnd"/>
      <w:r w:rsidRPr="00A1650F">
        <w:t xml:space="preserve"> </w:t>
      </w:r>
      <w:proofErr w:type="spellStart"/>
      <w:r w:rsidRPr="00A1650F">
        <w:t>Gyllenberg</w:t>
      </w:r>
      <w:proofErr w:type="spellEnd"/>
      <w:r w:rsidRPr="00A1650F">
        <w:t xml:space="preserve"> Foundation, </w:t>
      </w:r>
      <w:proofErr w:type="spellStart"/>
      <w:r w:rsidRPr="00A1650F">
        <w:t>Samfundet</w:t>
      </w:r>
      <w:proofErr w:type="spellEnd"/>
      <w:r w:rsidRPr="00A1650F">
        <w:t xml:space="preserve"> </w:t>
      </w:r>
      <w:proofErr w:type="spellStart"/>
      <w:r w:rsidRPr="00A1650F">
        <w:t>Folkhälsan</w:t>
      </w:r>
      <w:proofErr w:type="spellEnd"/>
      <w:r w:rsidRPr="00A1650F">
        <w:t xml:space="preserve">, </w:t>
      </w:r>
      <w:proofErr w:type="spellStart"/>
      <w:r w:rsidRPr="00A1650F">
        <w:t>Finska</w:t>
      </w:r>
      <w:proofErr w:type="spellEnd"/>
      <w:r w:rsidRPr="00A1650F">
        <w:t xml:space="preserve"> </w:t>
      </w:r>
      <w:proofErr w:type="spellStart"/>
      <w:r w:rsidRPr="00A1650F">
        <w:t>Läkaresällskapet</w:t>
      </w:r>
      <w:proofErr w:type="spellEnd"/>
      <w:r w:rsidRPr="00A1650F">
        <w:t xml:space="preserve">, Liv </w:t>
      </w:r>
      <w:proofErr w:type="spellStart"/>
      <w:r w:rsidRPr="00A1650F">
        <w:t>och</w:t>
      </w:r>
      <w:proofErr w:type="spellEnd"/>
      <w:r w:rsidRPr="00A1650F">
        <w:t xml:space="preserve"> </w:t>
      </w:r>
      <w:proofErr w:type="spellStart"/>
      <w:r w:rsidRPr="00A1650F">
        <w:t>Hälsa</w:t>
      </w:r>
      <w:proofErr w:type="spellEnd"/>
      <w:r w:rsidRPr="00A1650F">
        <w:t xml:space="preserve">, </w:t>
      </w:r>
      <w:proofErr w:type="gramStart"/>
      <w:r w:rsidRPr="00A1650F">
        <w:t>Finnish</w:t>
      </w:r>
      <w:proofErr w:type="gramEnd"/>
      <w:r w:rsidRPr="00A1650F">
        <w:t xml:space="preserve"> Foundation for Cardiovascular Research. </w:t>
      </w:r>
      <w:r>
        <w:t xml:space="preserve">TP-C was supported by </w:t>
      </w:r>
      <w:proofErr w:type="spellStart"/>
      <w:r>
        <w:t>Yrjö</w:t>
      </w:r>
      <w:proofErr w:type="spellEnd"/>
      <w:r>
        <w:t xml:space="preserve"> </w:t>
      </w:r>
      <w:proofErr w:type="spellStart"/>
      <w:r>
        <w:t>Ja</w:t>
      </w:r>
      <w:r w:rsidR="00576C7C">
        <w:t>hnsson</w:t>
      </w:r>
      <w:proofErr w:type="spellEnd"/>
      <w:r w:rsidR="00576C7C">
        <w:t xml:space="preserve"> Foundation and </w:t>
      </w:r>
      <w:proofErr w:type="spellStart"/>
      <w:r w:rsidR="00576C7C">
        <w:t>Juho</w:t>
      </w:r>
      <w:proofErr w:type="spellEnd"/>
      <w:r w:rsidR="00576C7C">
        <w:t xml:space="preserve"> </w:t>
      </w:r>
      <w:proofErr w:type="spellStart"/>
      <w:r w:rsidR="00576C7C">
        <w:t>Vainio</w:t>
      </w:r>
      <w:proofErr w:type="spellEnd"/>
      <w:r w:rsidR="00576C7C">
        <w:t xml:space="preserve"> Foundation</w:t>
      </w:r>
      <w:r w:rsidR="003F48DE">
        <w:t xml:space="preserve">, </w:t>
      </w:r>
      <w:proofErr w:type="spellStart"/>
      <w:r w:rsidR="003F48DE">
        <w:t>Finnsh</w:t>
      </w:r>
      <w:proofErr w:type="spellEnd"/>
      <w:r w:rsidR="003F48DE">
        <w:t xml:space="preserve"> </w:t>
      </w:r>
      <w:proofErr w:type="spellStart"/>
      <w:r w:rsidR="003F48DE">
        <w:t>Konkordia</w:t>
      </w:r>
      <w:proofErr w:type="spellEnd"/>
      <w:r w:rsidR="003F48DE">
        <w:t xml:space="preserve"> Foundation</w:t>
      </w:r>
      <w:r>
        <w:t>. T</w:t>
      </w:r>
      <w:r w:rsidRPr="00A1650F">
        <w:t xml:space="preserve">he Academy of Finland supported </w:t>
      </w:r>
      <w:proofErr w:type="spellStart"/>
      <w:r w:rsidRPr="00A1650F">
        <w:t>MBvB</w:t>
      </w:r>
      <w:proofErr w:type="spellEnd"/>
      <w:r w:rsidRPr="00A1650F">
        <w:t xml:space="preserve"> (grant no. 257239)</w:t>
      </w:r>
      <w:r>
        <w:t>;</w:t>
      </w:r>
      <w:r w:rsidRPr="00A1650F">
        <w:t xml:space="preserve"> </w:t>
      </w:r>
      <w:r w:rsidR="00427E58">
        <w:t xml:space="preserve">TR (grant no. 255403); </w:t>
      </w:r>
      <w:r w:rsidRPr="00A1650F">
        <w:t>EK (grant no. 127437, 129306, 130326, 134791 and 2639249</w:t>
      </w:r>
      <w:r>
        <w:t>);</w:t>
      </w:r>
      <w:r w:rsidRPr="00A1650F">
        <w:t xml:space="preserve"> JGE (grant no. 129369, 129907, 135072, 129255 and 126775). The research leading to these results has received funding from the European Commission within the 7</w:t>
      </w:r>
      <w:r w:rsidRPr="00A1650F">
        <w:rPr>
          <w:vertAlign w:val="superscript"/>
        </w:rPr>
        <w:t>th</w:t>
      </w:r>
      <w:r w:rsidRPr="00A1650F">
        <w:t xml:space="preserve"> Framework </w:t>
      </w:r>
      <w:proofErr w:type="spellStart"/>
      <w:r w:rsidRPr="00A1650F">
        <w:t>Programme</w:t>
      </w:r>
      <w:proofErr w:type="spellEnd"/>
      <w:r w:rsidRPr="00A1650F">
        <w:t xml:space="preserve"> (DORIAN, grant agreement no 278603). </w:t>
      </w:r>
    </w:p>
    <w:p w:rsidR="00B16586" w:rsidRDefault="00B16586" w:rsidP="00B16586">
      <w:pPr>
        <w:spacing w:line="360" w:lineRule="auto"/>
      </w:pPr>
    </w:p>
    <w:p w:rsidR="00B16586" w:rsidRPr="00D57996" w:rsidRDefault="00B16586" w:rsidP="00B16586">
      <w:pPr>
        <w:spacing w:line="360" w:lineRule="auto"/>
        <w:rPr>
          <w:b/>
        </w:rPr>
      </w:pPr>
      <w:r w:rsidRPr="00D57996">
        <w:rPr>
          <w:b/>
        </w:rPr>
        <w:t>Conflict of interest</w:t>
      </w:r>
    </w:p>
    <w:p w:rsidR="00B16586" w:rsidRPr="00A1650F" w:rsidRDefault="00B16586" w:rsidP="00B16586">
      <w:pPr>
        <w:spacing w:line="360" w:lineRule="auto"/>
      </w:pPr>
      <w:r>
        <w:t>No declared.</w:t>
      </w:r>
    </w:p>
    <w:p w:rsidR="00827A5A" w:rsidRDefault="00827A5A" w:rsidP="00776548"/>
    <w:p w:rsidR="00637744" w:rsidRDefault="00637744" w:rsidP="00637744">
      <w:r>
        <w:t xml:space="preserve">PLEASE NOTE: See the supplementary data on the journals website </w:t>
      </w:r>
      <w:hyperlink r:id="rId11" w:history="1">
        <w:r w:rsidRPr="00E606ED">
          <w:rPr>
            <w:rStyle w:val="Hyperlink"/>
          </w:rPr>
          <w:t>http://www.ageing.oxfordjournals.org/</w:t>
        </w:r>
      </w:hyperlink>
      <w:r w:rsidR="000F3DD8">
        <w:t xml:space="preserve"> as A</w:t>
      </w:r>
      <w:r>
        <w:t>ppendix 1</w:t>
      </w:r>
    </w:p>
    <w:p w:rsidR="00637744" w:rsidRDefault="00637744" w:rsidP="00637744"/>
    <w:p w:rsidR="00637744" w:rsidRDefault="00637744" w:rsidP="00637744">
      <w:pPr>
        <w:rPr>
          <w:b/>
        </w:rPr>
        <w:sectPr w:rsidR="00637744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52294" w:rsidRDefault="00350795" w:rsidP="00BF11D8">
      <w:pPr>
        <w:pStyle w:val="NormalWeb"/>
        <w:spacing w:line="480" w:lineRule="auto"/>
        <w:rPr>
          <w:b/>
          <w:lang w:val="en-US"/>
        </w:rPr>
      </w:pPr>
      <w:r w:rsidRPr="00EE75F3">
        <w:rPr>
          <w:b/>
          <w:lang w:val="en-US"/>
        </w:rPr>
        <w:lastRenderedPageBreak/>
        <w:t>REFERENCES</w:t>
      </w:r>
    </w:p>
    <w:p w:rsidR="00D62272" w:rsidRPr="00D62272" w:rsidRDefault="00C61C78" w:rsidP="00D62272">
      <w:pPr>
        <w:pStyle w:val="NormalWeb"/>
        <w:rPr>
          <w:lang w:val="en-US"/>
        </w:rPr>
      </w:pPr>
      <w:r w:rsidRPr="00775539">
        <w:rPr>
          <w:rFonts w:eastAsiaTheme="minorHAnsi"/>
          <w:b/>
          <w:lang w:eastAsia="en-US"/>
        </w:rPr>
        <w:fldChar w:fldCharType="begin"/>
      </w:r>
      <w:r w:rsidR="00D62272" w:rsidRPr="00D62272">
        <w:rPr>
          <w:rFonts w:eastAsiaTheme="minorHAnsi"/>
          <w:b/>
          <w:lang w:val="en-US" w:eastAsia="en-US"/>
        </w:rPr>
        <w:instrText>ADDIN RW.BIB</w:instrText>
      </w:r>
      <w:r w:rsidRPr="00775539">
        <w:rPr>
          <w:rFonts w:eastAsiaTheme="minorHAnsi"/>
          <w:b/>
          <w:lang w:eastAsia="en-US"/>
        </w:rPr>
        <w:fldChar w:fldCharType="separate"/>
      </w:r>
      <w:r w:rsidR="00D62272" w:rsidRPr="00D62272">
        <w:rPr>
          <w:lang w:val="en-US"/>
        </w:rPr>
        <w:t xml:space="preserve">1. Batty GD, Deary IJ, Gottfredson LS: </w:t>
      </w:r>
      <w:r w:rsidR="00D62272" w:rsidRPr="00372E4F">
        <w:rPr>
          <w:bCs/>
          <w:lang w:val="en-US"/>
        </w:rPr>
        <w:t>Premorbid (early life) IQ and later mortality risk: systematic review.</w:t>
      </w:r>
      <w:r w:rsidR="00D62272" w:rsidRPr="00D62272">
        <w:rPr>
          <w:b/>
          <w:bCs/>
          <w:lang w:val="en-US"/>
        </w:rPr>
        <w:t xml:space="preserve"> </w:t>
      </w:r>
      <w:r w:rsidR="00D62272" w:rsidRPr="00D62272">
        <w:rPr>
          <w:i/>
          <w:iCs/>
          <w:lang w:val="en-US"/>
        </w:rPr>
        <w:t xml:space="preserve">Ann Epidemiol </w:t>
      </w:r>
      <w:r w:rsidR="00D62272" w:rsidRPr="00D62272">
        <w:rPr>
          <w:lang w:val="en-US"/>
        </w:rPr>
        <w:t xml:space="preserve">2007, </w:t>
      </w:r>
      <w:r w:rsidR="00D62272" w:rsidRPr="00907CA2">
        <w:rPr>
          <w:bCs/>
          <w:lang w:val="en-US"/>
        </w:rPr>
        <w:t>17</w:t>
      </w:r>
      <w:r w:rsidR="00D62272" w:rsidRPr="00D62272">
        <w:rPr>
          <w:lang w:val="en-US"/>
        </w:rPr>
        <w:t>(4):278-288.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2. Salthouse TA: </w:t>
      </w:r>
      <w:r w:rsidRPr="00372E4F">
        <w:rPr>
          <w:bCs/>
          <w:lang w:val="en-US"/>
        </w:rPr>
        <w:t>When does age-related cognitive decline begin?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Neurobiol Aging </w:t>
      </w:r>
      <w:r w:rsidRPr="00D62272">
        <w:rPr>
          <w:lang w:val="en-US"/>
        </w:rPr>
        <w:t xml:space="preserve">2009, </w:t>
      </w:r>
      <w:r w:rsidRPr="009A040A">
        <w:rPr>
          <w:bCs/>
          <w:lang w:val="en-US"/>
        </w:rPr>
        <w:t>30</w:t>
      </w:r>
      <w:r w:rsidRPr="00D62272">
        <w:rPr>
          <w:lang w:val="en-US"/>
        </w:rPr>
        <w:t>(4):507-514.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3. Richards M, Shipley B, Fuhrer R, Wadsworth ME: </w:t>
      </w:r>
      <w:r w:rsidRPr="00372E4F">
        <w:rPr>
          <w:bCs/>
          <w:lang w:val="en-US"/>
        </w:rPr>
        <w:t>Cognitive ability in childhood and cognitive decline in mid-life: longitudinal birth cohort study.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BMJ </w:t>
      </w:r>
      <w:r w:rsidRPr="00D62272">
        <w:rPr>
          <w:lang w:val="en-US"/>
        </w:rPr>
        <w:t xml:space="preserve">2004, </w:t>
      </w:r>
      <w:r w:rsidRPr="00372E4F">
        <w:rPr>
          <w:bCs/>
          <w:lang w:val="en-US"/>
        </w:rPr>
        <w:t>328</w:t>
      </w:r>
      <w:r w:rsidRPr="00D62272">
        <w:rPr>
          <w:lang w:val="en-US"/>
        </w:rPr>
        <w:t>(7439):552.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4. Auyeung TW, Kwok T, Lee J, Leung PC, Leung J, Woo J: </w:t>
      </w:r>
      <w:r w:rsidRPr="00372E4F">
        <w:rPr>
          <w:bCs/>
          <w:lang w:val="en-US"/>
        </w:rPr>
        <w:t xml:space="preserve">Functional decline in cognitive impairment--the relationship between physical and cognitive function. </w:t>
      </w:r>
      <w:r w:rsidRPr="00D62272">
        <w:rPr>
          <w:i/>
          <w:iCs/>
          <w:lang w:val="en-US"/>
        </w:rPr>
        <w:t xml:space="preserve">Neuroepidemiology </w:t>
      </w:r>
      <w:r w:rsidRPr="00D62272">
        <w:rPr>
          <w:lang w:val="en-US"/>
        </w:rPr>
        <w:t xml:space="preserve">2008, </w:t>
      </w:r>
      <w:r w:rsidRPr="004D55DC">
        <w:rPr>
          <w:bCs/>
          <w:lang w:val="en-US"/>
        </w:rPr>
        <w:t>31</w:t>
      </w:r>
      <w:r w:rsidRPr="00D62272">
        <w:rPr>
          <w:lang w:val="en-US"/>
        </w:rPr>
        <w:t>(3):167-173.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5. Ren J, Wu YD, Chan JS, Yan JH: </w:t>
      </w:r>
      <w:r w:rsidRPr="00372E4F">
        <w:rPr>
          <w:bCs/>
          <w:lang w:val="en-US"/>
        </w:rPr>
        <w:t xml:space="preserve">Cognitive aging affects motor performance and learning. </w:t>
      </w:r>
      <w:r w:rsidRPr="00D62272">
        <w:rPr>
          <w:i/>
          <w:iCs/>
          <w:lang w:val="en-US"/>
        </w:rPr>
        <w:t xml:space="preserve">Geriatr Gerontol Int </w:t>
      </w:r>
      <w:r w:rsidRPr="00D62272">
        <w:rPr>
          <w:lang w:val="en-US"/>
        </w:rPr>
        <w:t xml:space="preserve">2013, </w:t>
      </w:r>
      <w:r w:rsidRPr="00907CA2">
        <w:rPr>
          <w:bCs/>
          <w:lang w:val="en-US"/>
        </w:rPr>
        <w:t>13</w:t>
      </w:r>
      <w:r w:rsidRPr="00D62272">
        <w:rPr>
          <w:lang w:val="en-US"/>
        </w:rPr>
        <w:t>(1):19-27.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6. Diamond A: </w:t>
      </w:r>
      <w:r w:rsidRPr="00372E4F">
        <w:rPr>
          <w:bCs/>
          <w:lang w:val="en-US"/>
        </w:rPr>
        <w:t>Close interrelation of motor development and cognitive development and of the cerebellum and prefrontal cortex.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Child Dev </w:t>
      </w:r>
      <w:r w:rsidRPr="00D62272">
        <w:rPr>
          <w:lang w:val="en-US"/>
        </w:rPr>
        <w:t>2000,</w:t>
      </w:r>
      <w:r w:rsidRPr="00907CA2">
        <w:rPr>
          <w:lang w:val="en-US"/>
        </w:rPr>
        <w:t xml:space="preserve"> </w:t>
      </w:r>
      <w:r w:rsidRPr="00907CA2">
        <w:rPr>
          <w:bCs/>
          <w:lang w:val="en-US"/>
        </w:rPr>
        <w:t>71</w:t>
      </w:r>
      <w:r w:rsidRPr="00D62272">
        <w:rPr>
          <w:lang w:val="en-US"/>
        </w:rPr>
        <w:t>(1):44-56.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7. Kuh D, Cooper R, Hardy R, Guralnik J, Richards M, Musculoskeletal Study Team: </w:t>
      </w:r>
      <w:r w:rsidRPr="00372E4F">
        <w:rPr>
          <w:bCs/>
          <w:lang w:val="en-US"/>
        </w:rPr>
        <w:t>Lifetime cognitive performance is associated with midlife physical performance in a prospective national birth cohort study.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Psychosom Med </w:t>
      </w:r>
      <w:r w:rsidRPr="00D62272">
        <w:rPr>
          <w:lang w:val="en-US"/>
        </w:rPr>
        <w:t xml:space="preserve">2009, </w:t>
      </w:r>
      <w:r w:rsidRPr="00907CA2">
        <w:rPr>
          <w:bCs/>
          <w:lang w:val="en-US"/>
        </w:rPr>
        <w:t>71</w:t>
      </w:r>
      <w:r w:rsidRPr="00D62272">
        <w:rPr>
          <w:lang w:val="en-US"/>
        </w:rPr>
        <w:t>(1):38-48.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8. Starr JM, Deary IJ, Lemmon H, Whalley LJ: </w:t>
      </w:r>
      <w:r w:rsidRPr="00372E4F">
        <w:rPr>
          <w:bCs/>
          <w:lang w:val="en-US"/>
        </w:rPr>
        <w:t xml:space="preserve">Mental ability age 11 years and health status age 77 years. </w:t>
      </w:r>
      <w:r w:rsidRPr="00D62272">
        <w:rPr>
          <w:i/>
          <w:iCs/>
          <w:lang w:val="en-US"/>
        </w:rPr>
        <w:t xml:space="preserve">Age Ageing </w:t>
      </w:r>
      <w:r w:rsidRPr="00D62272">
        <w:rPr>
          <w:lang w:val="en-US"/>
        </w:rPr>
        <w:t>2000,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>29</w:t>
      </w:r>
      <w:r w:rsidRPr="00D62272">
        <w:rPr>
          <w:lang w:val="en-US"/>
        </w:rPr>
        <w:t>(6):523-528.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>9. Barker DJ, Osmond C, Forsen TJ, Kajantie E, Eriksson JG: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>Trajectories of growth among children who have coronary events as adults.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N Engl J Med </w:t>
      </w:r>
      <w:r w:rsidRPr="00D62272">
        <w:rPr>
          <w:lang w:val="en-US"/>
        </w:rPr>
        <w:t xml:space="preserve">2005, </w:t>
      </w:r>
      <w:r w:rsidRPr="00372E4F">
        <w:rPr>
          <w:bCs/>
          <w:lang w:val="en-US"/>
        </w:rPr>
        <w:t>353</w:t>
      </w:r>
      <w:r w:rsidRPr="00D62272">
        <w:rPr>
          <w:lang w:val="en-US"/>
        </w:rPr>
        <w:t>(17):1802-1809.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>10. Eriksson JG, Forsen T, Tuomilehto J, Osmond C, Barker DJ: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>Early growth and coronary heart disease in later life: longitudinal study.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BMJ </w:t>
      </w:r>
      <w:r w:rsidRPr="00D62272">
        <w:rPr>
          <w:lang w:val="en-US"/>
        </w:rPr>
        <w:t xml:space="preserve">2001, </w:t>
      </w:r>
      <w:r w:rsidRPr="00372E4F">
        <w:rPr>
          <w:bCs/>
          <w:lang w:val="en-US"/>
        </w:rPr>
        <w:t>322</w:t>
      </w:r>
      <w:r w:rsidRPr="00D62272">
        <w:rPr>
          <w:lang w:val="en-US"/>
        </w:rPr>
        <w:t>(7292):949-953.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>11. Räikkonen K, Forsen T, Henriksson M, Kajantie E, Heinonen K, Pesonen AK, Leskinen JT, Laaksonen I, Osmond C, Barker DJ, Eriksson JG: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 xml:space="preserve">Growth trajectories and intellectual abilities in young adulthood: The Helsinki Birth Cohort study. </w:t>
      </w:r>
      <w:r w:rsidRPr="00D62272">
        <w:rPr>
          <w:i/>
          <w:iCs/>
          <w:lang w:val="en-US"/>
        </w:rPr>
        <w:t xml:space="preserve">Am J Epidemiol </w:t>
      </w:r>
      <w:r w:rsidRPr="00D62272">
        <w:rPr>
          <w:lang w:val="en-US"/>
        </w:rPr>
        <w:t xml:space="preserve">2009, </w:t>
      </w:r>
      <w:r w:rsidRPr="00623F8E">
        <w:rPr>
          <w:bCs/>
          <w:lang w:val="en-US"/>
        </w:rPr>
        <w:t>170</w:t>
      </w:r>
      <w:r w:rsidRPr="00D62272">
        <w:rPr>
          <w:lang w:val="en-US"/>
        </w:rPr>
        <w:t>(4):447-455.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12. Kajantie E, Raikkonen K, Henriksson M, Forsen T, Heinonen K, Pesonen AK, Leskinen JT, Laaksonen I, Paile-Hyvarinen M, Osmond C, Barker DJ, Eriksson JG: </w:t>
      </w:r>
      <w:r w:rsidRPr="00372E4F">
        <w:rPr>
          <w:bCs/>
          <w:lang w:val="en-US"/>
        </w:rPr>
        <w:t xml:space="preserve">Childhood socioeconomic status modifies the association between intellectual abilities at age 20 and mortality in later life. </w:t>
      </w:r>
      <w:r w:rsidRPr="00D62272">
        <w:rPr>
          <w:i/>
          <w:iCs/>
          <w:lang w:val="en-US"/>
        </w:rPr>
        <w:t xml:space="preserve">J Epidemiol Community Health </w:t>
      </w:r>
      <w:r w:rsidRPr="00D62272">
        <w:rPr>
          <w:lang w:val="en-US"/>
        </w:rPr>
        <w:t xml:space="preserve">2010, </w:t>
      </w:r>
      <w:r w:rsidRPr="00372E4F">
        <w:rPr>
          <w:bCs/>
          <w:lang w:val="en-US"/>
        </w:rPr>
        <w:t>64</w:t>
      </w:r>
      <w:r w:rsidRPr="00D62272">
        <w:rPr>
          <w:lang w:val="en-US"/>
        </w:rPr>
        <w:t>(11):963-969.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13. Eriksson JG, Osmond C, Perala MM, Salonen MK, Simonen M, Pohjolainen P, Kajantie E, Rantanen T, von Bonsdorff MB: </w:t>
      </w:r>
      <w:r w:rsidRPr="00372E4F">
        <w:rPr>
          <w:bCs/>
          <w:lang w:val="en-US"/>
        </w:rPr>
        <w:t xml:space="preserve">Prenatal and childhood growth and physical performance </w:t>
      </w:r>
      <w:r w:rsidRPr="00372E4F">
        <w:rPr>
          <w:bCs/>
          <w:lang w:val="en-US"/>
        </w:rPr>
        <w:lastRenderedPageBreak/>
        <w:t>in old age--findings from the Helsinki Birth Cohort Study 1934-1944.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Age (Dordr) </w:t>
      </w:r>
      <w:r w:rsidRPr="00D62272">
        <w:rPr>
          <w:lang w:val="en-US"/>
        </w:rPr>
        <w:t xml:space="preserve">2015, </w:t>
      </w:r>
      <w:r w:rsidRPr="00E2771F">
        <w:rPr>
          <w:bCs/>
          <w:lang w:val="en-US"/>
        </w:rPr>
        <w:t>37</w:t>
      </w:r>
      <w:r w:rsidRPr="00D62272">
        <w:rPr>
          <w:lang w:val="en-US"/>
        </w:rPr>
        <w:t>(6):108-015-9846-1. Epub 2015 Oct 24.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14. Räikkonen K, Kajantie E, Pesonen AK, Heinonen K, Alastalo H, Leskinen JT, Nyman K, Henriksson M, Lahti J, Lahti M, Pyhala R, Tuovinen S, Osmond C, Barker DJ, Eriksson JG: </w:t>
      </w:r>
      <w:r w:rsidRPr="00372E4F">
        <w:rPr>
          <w:bCs/>
          <w:lang w:val="en-US"/>
        </w:rPr>
        <w:t xml:space="preserve">Early life origins cognitive decline: findings in elderly men in the Helsinki Birth Cohort Study. </w:t>
      </w:r>
      <w:r w:rsidRPr="00D62272">
        <w:rPr>
          <w:i/>
          <w:iCs/>
          <w:lang w:val="en-US"/>
        </w:rPr>
        <w:t xml:space="preserve">PLoS One </w:t>
      </w:r>
      <w:r w:rsidRPr="00D62272">
        <w:rPr>
          <w:lang w:val="en-US"/>
        </w:rPr>
        <w:t xml:space="preserve">2013, </w:t>
      </w:r>
      <w:r w:rsidRPr="00E2771F">
        <w:rPr>
          <w:bCs/>
          <w:lang w:val="en-US"/>
        </w:rPr>
        <w:t>8</w:t>
      </w:r>
      <w:r w:rsidRPr="00D62272">
        <w:rPr>
          <w:lang w:val="en-US"/>
        </w:rPr>
        <w:t>(1):e54707.</w:t>
      </w:r>
    </w:p>
    <w:p w:rsidR="00D62272" w:rsidRPr="00D62272" w:rsidRDefault="00D62272" w:rsidP="00D62272">
      <w:pPr>
        <w:pStyle w:val="NormalWeb"/>
      </w:pPr>
      <w:r w:rsidRPr="00D62272">
        <w:rPr>
          <w:lang w:val="en-US"/>
        </w:rPr>
        <w:t xml:space="preserve">15. Tiihonen J, Haukka J, Henriksson M, Cannon M, Kieseppä T, Laaksonen I, Sinivuo J, Lönnqvist J: </w:t>
      </w:r>
      <w:r w:rsidRPr="00372E4F">
        <w:rPr>
          <w:bCs/>
          <w:lang w:val="en-US"/>
        </w:rPr>
        <w:t>Premorbid intellectual functioning in bipolar disorder and schizophrenia: results from a cohort study of male conscripts.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</w:rPr>
        <w:t xml:space="preserve">Am J Psychiatry </w:t>
      </w:r>
      <w:r w:rsidRPr="00D62272">
        <w:t>2005,</w:t>
      </w:r>
      <w:r w:rsidRPr="00372E4F">
        <w:t xml:space="preserve"> </w:t>
      </w:r>
      <w:r w:rsidRPr="00372E4F">
        <w:rPr>
          <w:bCs/>
        </w:rPr>
        <w:t>162</w:t>
      </w:r>
      <w:r w:rsidRPr="00D62272">
        <w:t>(10):1904-1910.</w:t>
      </w:r>
    </w:p>
    <w:p w:rsidR="00D62272" w:rsidRPr="00D62272" w:rsidRDefault="00D62272" w:rsidP="00D62272">
      <w:pPr>
        <w:pStyle w:val="NormalWeb"/>
      </w:pPr>
      <w:r w:rsidRPr="00D62272">
        <w:t xml:space="preserve">16. Aalto A, Aro AR, Teperi J: </w:t>
      </w:r>
      <w:r w:rsidRPr="00D62272">
        <w:rPr>
          <w:i/>
          <w:iCs/>
        </w:rPr>
        <w:t xml:space="preserve">RAND-36 terveyteen liittyvän elämänlaadun mittarina: Mittarin luotettavuus ja suomalaiset väestöarvot: </w:t>
      </w:r>
      <w:r w:rsidRPr="00D62272">
        <w:t>Stakes Helsinki; 1999.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17. Bohannon RW, DePasquale L: </w:t>
      </w:r>
      <w:r w:rsidRPr="00372E4F">
        <w:rPr>
          <w:bCs/>
          <w:lang w:val="en-US"/>
        </w:rPr>
        <w:t>Physical Functioning Scale of the Short-Form (SF) 36: internal consistency and validity with older adults.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J Geriatr Phys Ther </w:t>
      </w:r>
      <w:r w:rsidRPr="00D62272">
        <w:rPr>
          <w:lang w:val="en-US"/>
        </w:rPr>
        <w:t xml:space="preserve">2010, </w:t>
      </w:r>
      <w:r w:rsidRPr="00372E4F">
        <w:rPr>
          <w:bCs/>
          <w:lang w:val="en-US"/>
        </w:rPr>
        <w:t>33</w:t>
      </w:r>
      <w:r w:rsidRPr="00D62272">
        <w:rPr>
          <w:lang w:val="en-US"/>
        </w:rPr>
        <w:t>(1):16-18.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18. von Bonsdorff MB, Rantanen T, Sipila S, Salonen MK, Kajantie E, Osmond C, Barker DJ, Eriksson JG: </w:t>
      </w:r>
      <w:r w:rsidRPr="00372E4F">
        <w:rPr>
          <w:bCs/>
          <w:lang w:val="en-US"/>
        </w:rPr>
        <w:t>Birth size and childhood growth as determinants of physical functioning in older age: the Helsinki Birth Cohort Study.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Am J Epidemiol </w:t>
      </w:r>
      <w:r w:rsidRPr="00D62272">
        <w:rPr>
          <w:lang w:val="en-US"/>
        </w:rPr>
        <w:t xml:space="preserve">2011, </w:t>
      </w:r>
      <w:r w:rsidRPr="00372E4F">
        <w:rPr>
          <w:bCs/>
          <w:lang w:val="en-US"/>
        </w:rPr>
        <w:t>174</w:t>
      </w:r>
      <w:r w:rsidRPr="00D62272">
        <w:rPr>
          <w:lang w:val="en-US"/>
        </w:rPr>
        <w:t>(12):1336-1344.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19. Hurst L, Stafford M, Cooper R, Hardy R, Richards M, Kuh D: </w:t>
      </w:r>
      <w:r w:rsidRPr="00372E4F">
        <w:rPr>
          <w:bCs/>
          <w:lang w:val="en-US"/>
        </w:rPr>
        <w:t xml:space="preserve">Lifetime socioeconomic inequalities in physical and cognitive aging. </w:t>
      </w:r>
      <w:r w:rsidRPr="00D62272">
        <w:rPr>
          <w:i/>
          <w:iCs/>
          <w:lang w:val="en-US"/>
        </w:rPr>
        <w:t xml:space="preserve">Am J Public Health </w:t>
      </w:r>
      <w:r w:rsidRPr="00D62272">
        <w:rPr>
          <w:lang w:val="en-US"/>
        </w:rPr>
        <w:t xml:space="preserve">2013, </w:t>
      </w:r>
      <w:r w:rsidRPr="00372E4F">
        <w:rPr>
          <w:bCs/>
          <w:lang w:val="en-US"/>
        </w:rPr>
        <w:t>103</w:t>
      </w:r>
      <w:r w:rsidRPr="00D62272">
        <w:rPr>
          <w:lang w:val="en-US"/>
        </w:rPr>
        <w:t>(9):1641-1648.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20. Craik FI, Bialystok E: </w:t>
      </w:r>
      <w:r w:rsidRPr="00372E4F">
        <w:rPr>
          <w:bCs/>
          <w:lang w:val="en-US"/>
        </w:rPr>
        <w:t>Cognition through the lifespan: mechanisms of change.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Trends Cogn Sci </w:t>
      </w:r>
      <w:r w:rsidRPr="00D62272">
        <w:rPr>
          <w:lang w:val="en-US"/>
        </w:rPr>
        <w:t>2006,</w:t>
      </w:r>
      <w:r w:rsidRPr="00E2771F">
        <w:rPr>
          <w:lang w:val="en-US"/>
        </w:rPr>
        <w:t xml:space="preserve"> </w:t>
      </w:r>
      <w:r w:rsidRPr="00E2771F">
        <w:rPr>
          <w:bCs/>
          <w:lang w:val="en-US"/>
        </w:rPr>
        <w:t>10</w:t>
      </w:r>
      <w:r w:rsidRPr="00D62272">
        <w:rPr>
          <w:lang w:val="en-US"/>
        </w:rPr>
        <w:t>(3):131-138.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>21. Johansson MM, Marcusson J, Wressle E: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>Cognition, daily living, and health-related quality of life in 85-year-olds in Sweden.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Aging, Neuropsychology, and Cognition </w:t>
      </w:r>
      <w:r w:rsidRPr="00D62272">
        <w:rPr>
          <w:lang w:val="en-US"/>
        </w:rPr>
        <w:t xml:space="preserve">2012, </w:t>
      </w:r>
      <w:r w:rsidRPr="00E2771F">
        <w:rPr>
          <w:bCs/>
          <w:lang w:val="en-US"/>
        </w:rPr>
        <w:t>19</w:t>
      </w:r>
      <w:r w:rsidRPr="00D62272">
        <w:rPr>
          <w:lang w:val="en-US"/>
        </w:rPr>
        <w:t>(3):421-432.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>22. Clouston SA, Brewster P, Kuh D, Richards M, Cooper R, Hardy R, Rubin MS, Hofer SM: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 xml:space="preserve">The Dynamic Relationship Between Physical Function and Cognition in Longitudinal Aging Cohorts. </w:t>
      </w:r>
      <w:r w:rsidRPr="00D62272">
        <w:rPr>
          <w:i/>
          <w:iCs/>
          <w:lang w:val="en-US"/>
        </w:rPr>
        <w:t xml:space="preserve">Epidemiol Rev </w:t>
      </w:r>
      <w:r w:rsidRPr="00D62272">
        <w:rPr>
          <w:lang w:val="en-US"/>
        </w:rPr>
        <w:t>2013, .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23. Banich MT: </w:t>
      </w:r>
      <w:r w:rsidRPr="00372E4F">
        <w:rPr>
          <w:bCs/>
          <w:lang w:val="en-US"/>
        </w:rPr>
        <w:t>Executive function the search for an integrated accoun</w:t>
      </w:r>
      <w:r w:rsidRPr="00D62272">
        <w:rPr>
          <w:b/>
          <w:bCs/>
          <w:lang w:val="en-US"/>
        </w:rPr>
        <w:t xml:space="preserve">t. </w:t>
      </w:r>
      <w:r w:rsidRPr="00D62272">
        <w:rPr>
          <w:i/>
          <w:iCs/>
          <w:lang w:val="en-US"/>
        </w:rPr>
        <w:t xml:space="preserve">Current Directions in Psychological Science </w:t>
      </w:r>
      <w:r w:rsidRPr="00D62272">
        <w:rPr>
          <w:lang w:val="en-US"/>
        </w:rPr>
        <w:t xml:space="preserve">2009, </w:t>
      </w:r>
      <w:r w:rsidRPr="00E2771F">
        <w:rPr>
          <w:bCs/>
          <w:lang w:val="en-US"/>
        </w:rPr>
        <w:t>18</w:t>
      </w:r>
      <w:r w:rsidRPr="00D62272">
        <w:rPr>
          <w:lang w:val="en-US"/>
        </w:rPr>
        <w:t>(2):89-94.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24. Gale CR, Allerhand M, Sayer AA, Cooper C, Deary IJ: </w:t>
      </w:r>
      <w:r w:rsidRPr="00372E4F">
        <w:rPr>
          <w:bCs/>
          <w:lang w:val="en-US"/>
        </w:rPr>
        <w:t>The dynamic relationship between cognitive function and walking speed: the English Longitudinal Study of Ageing.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Age (Dordr) </w:t>
      </w:r>
      <w:r w:rsidRPr="00D62272">
        <w:rPr>
          <w:lang w:val="en-US"/>
        </w:rPr>
        <w:t xml:space="preserve">2014, </w:t>
      </w:r>
      <w:r w:rsidRPr="00372E4F">
        <w:rPr>
          <w:bCs/>
          <w:lang w:val="en-US"/>
        </w:rPr>
        <w:t>36</w:t>
      </w:r>
      <w:r w:rsidRPr="00D62272">
        <w:rPr>
          <w:lang w:val="en-US"/>
        </w:rPr>
        <w:t>(4):9682-014-9682-8. Epub 2014 Jul 5.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25. Miller EK, Cohen JD: </w:t>
      </w:r>
      <w:r w:rsidRPr="00372E4F">
        <w:rPr>
          <w:bCs/>
          <w:lang w:val="en-US"/>
        </w:rPr>
        <w:t xml:space="preserve">An integrative theory of prefrontal cortex function. </w:t>
      </w:r>
      <w:r w:rsidRPr="00D62272">
        <w:rPr>
          <w:i/>
          <w:iCs/>
          <w:lang w:val="en-US"/>
        </w:rPr>
        <w:t xml:space="preserve">Annu Rev Neurosci </w:t>
      </w:r>
      <w:r w:rsidRPr="00D62272">
        <w:rPr>
          <w:lang w:val="en-US"/>
        </w:rPr>
        <w:t>2001,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>24</w:t>
      </w:r>
      <w:r w:rsidRPr="00D62272">
        <w:rPr>
          <w:lang w:val="en-US"/>
        </w:rPr>
        <w:t>(1):167-202.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26. Stern Y: </w:t>
      </w:r>
      <w:r w:rsidRPr="00372E4F">
        <w:rPr>
          <w:bCs/>
          <w:lang w:val="en-US"/>
        </w:rPr>
        <w:t xml:space="preserve">Cognitive reserve. </w:t>
      </w:r>
      <w:r w:rsidRPr="00D62272">
        <w:rPr>
          <w:i/>
          <w:iCs/>
          <w:lang w:val="en-US"/>
        </w:rPr>
        <w:t xml:space="preserve">Neuropsychologia </w:t>
      </w:r>
      <w:r w:rsidRPr="00D62272">
        <w:rPr>
          <w:lang w:val="en-US"/>
        </w:rPr>
        <w:t>2009,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>47</w:t>
      </w:r>
      <w:r w:rsidRPr="00D62272">
        <w:rPr>
          <w:lang w:val="en-US"/>
        </w:rPr>
        <w:t>(10):2015-2028.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lastRenderedPageBreak/>
        <w:t xml:space="preserve">27. Giedd JN, Blumenthal J, Jeffries NO, Castellanos FX, Liu H, Zijdenbos A, Paus T, Evans AC, Rapoport JL: </w:t>
      </w:r>
      <w:r w:rsidRPr="00372E4F">
        <w:rPr>
          <w:bCs/>
          <w:lang w:val="en-US"/>
        </w:rPr>
        <w:t xml:space="preserve">Brain development during childhood and adolescence: a longitudinal MRI study. </w:t>
      </w:r>
      <w:r w:rsidRPr="00D62272">
        <w:rPr>
          <w:i/>
          <w:iCs/>
          <w:lang w:val="en-US"/>
        </w:rPr>
        <w:t xml:space="preserve">Nat Neurosci </w:t>
      </w:r>
      <w:r w:rsidRPr="00D62272">
        <w:rPr>
          <w:lang w:val="en-US"/>
        </w:rPr>
        <w:t xml:space="preserve">1999, </w:t>
      </w:r>
      <w:r w:rsidRPr="00E2771F">
        <w:rPr>
          <w:bCs/>
          <w:lang w:val="en-US"/>
        </w:rPr>
        <w:t>2</w:t>
      </w:r>
      <w:r w:rsidRPr="00D62272">
        <w:rPr>
          <w:lang w:val="en-US"/>
        </w:rPr>
        <w:t>(10):861-863.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>28. Hedden T, Gabrieli JD: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 xml:space="preserve">Insights into the ageing mind: a view from cognitive neuroscience. </w:t>
      </w:r>
      <w:r w:rsidRPr="00D62272">
        <w:rPr>
          <w:i/>
          <w:iCs/>
          <w:lang w:val="en-US"/>
        </w:rPr>
        <w:t xml:space="preserve">Nat Rev Neurosci </w:t>
      </w:r>
      <w:r w:rsidRPr="00D62272">
        <w:rPr>
          <w:lang w:val="en-US"/>
        </w:rPr>
        <w:t xml:space="preserve">2004, </w:t>
      </w:r>
      <w:r w:rsidRPr="00D62272">
        <w:rPr>
          <w:b/>
          <w:bCs/>
          <w:lang w:val="en-US"/>
        </w:rPr>
        <w:t>5</w:t>
      </w:r>
      <w:r w:rsidRPr="00D62272">
        <w:rPr>
          <w:lang w:val="en-US"/>
        </w:rPr>
        <w:t>(2):87-96.</w:t>
      </w:r>
    </w:p>
    <w:p w:rsidR="00D62272" w:rsidRPr="00D62272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29. Syddall HE, Martin HJ, Harwood RH, Cooper C, Aihie Sayer A: </w:t>
      </w:r>
      <w:r w:rsidRPr="00372E4F">
        <w:rPr>
          <w:bCs/>
          <w:lang w:val="en-US"/>
        </w:rPr>
        <w:t>The SF-36: a simple, effective measure of mobility-disability for epidemiological studies.</w:t>
      </w:r>
      <w:r w:rsidRPr="00D62272">
        <w:rPr>
          <w:b/>
          <w:bCs/>
          <w:lang w:val="en-US"/>
        </w:rPr>
        <w:t xml:space="preserve"> </w:t>
      </w:r>
      <w:r w:rsidRPr="00D62272">
        <w:rPr>
          <w:i/>
          <w:iCs/>
          <w:lang w:val="en-US"/>
        </w:rPr>
        <w:t xml:space="preserve">J Nutr Health Aging </w:t>
      </w:r>
      <w:r w:rsidRPr="00D62272">
        <w:rPr>
          <w:lang w:val="en-US"/>
        </w:rPr>
        <w:t>2009,</w:t>
      </w:r>
      <w:r w:rsidRPr="00372E4F">
        <w:rPr>
          <w:lang w:val="en-US"/>
        </w:rPr>
        <w:t xml:space="preserve"> </w:t>
      </w:r>
      <w:r w:rsidRPr="00372E4F">
        <w:rPr>
          <w:bCs/>
          <w:lang w:val="en-US"/>
        </w:rPr>
        <w:t>13</w:t>
      </w:r>
      <w:r w:rsidRPr="00D62272">
        <w:rPr>
          <w:lang w:val="en-US"/>
        </w:rPr>
        <w:t>(1):57-62.</w:t>
      </w:r>
    </w:p>
    <w:p w:rsidR="00D62272" w:rsidRPr="00E228DE" w:rsidRDefault="00D62272" w:rsidP="00D62272">
      <w:pPr>
        <w:pStyle w:val="NormalWeb"/>
        <w:rPr>
          <w:lang w:val="en-US"/>
        </w:rPr>
      </w:pPr>
      <w:r w:rsidRPr="00D62272">
        <w:rPr>
          <w:lang w:val="en-US"/>
        </w:rPr>
        <w:t xml:space="preserve">30. Deary I: </w:t>
      </w:r>
      <w:r w:rsidRPr="00372E4F">
        <w:rPr>
          <w:bCs/>
          <w:lang w:val="en-US"/>
        </w:rPr>
        <w:t>Why do intelligent people live longer?</w:t>
      </w:r>
      <w:r w:rsidRPr="00D62272">
        <w:rPr>
          <w:b/>
          <w:bCs/>
          <w:lang w:val="en-US"/>
        </w:rPr>
        <w:t xml:space="preserve"> </w:t>
      </w:r>
      <w:r w:rsidRPr="00E228DE">
        <w:rPr>
          <w:i/>
          <w:iCs/>
          <w:lang w:val="en-US"/>
        </w:rPr>
        <w:t xml:space="preserve">Nature </w:t>
      </w:r>
      <w:r w:rsidRPr="00E228DE">
        <w:rPr>
          <w:lang w:val="en-US"/>
        </w:rPr>
        <w:t xml:space="preserve">2008, </w:t>
      </w:r>
      <w:r w:rsidRPr="00E228DE">
        <w:rPr>
          <w:bCs/>
          <w:lang w:val="en-US"/>
        </w:rPr>
        <w:t>456</w:t>
      </w:r>
      <w:r w:rsidRPr="00E228DE">
        <w:rPr>
          <w:lang w:val="en-US"/>
        </w:rPr>
        <w:t>(7219):175-176.</w:t>
      </w:r>
    </w:p>
    <w:p w:rsidR="00EB465C" w:rsidRPr="008914EE" w:rsidRDefault="00D62272" w:rsidP="00D62272">
      <w:pPr>
        <w:rPr>
          <w:rFonts w:eastAsiaTheme="minorHAnsi"/>
          <w:lang w:eastAsia="en-US"/>
        </w:rPr>
        <w:sectPr w:rsidR="00EB465C" w:rsidRPr="008914EE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62272">
        <w:rPr>
          <w:rFonts w:eastAsia="Times New Roman"/>
        </w:rPr>
        <w:t> </w:t>
      </w:r>
      <w:r w:rsidR="00C61C78" w:rsidRPr="00775539">
        <w:rPr>
          <w:rFonts w:eastAsiaTheme="minorHAnsi"/>
          <w:lang w:eastAsia="en-US"/>
        </w:rPr>
        <w:fldChar w:fldCharType="end"/>
      </w:r>
    </w:p>
    <w:p w:rsidR="00B95794" w:rsidRPr="00B771EB" w:rsidRDefault="00A161E3" w:rsidP="00B95794">
      <w:pPr>
        <w:ind w:left="-567"/>
        <w:rPr>
          <w:rFonts w:eastAsiaTheme="minorHAnsi"/>
          <w:lang w:eastAsia="en-US"/>
        </w:rPr>
      </w:pPr>
      <w:r w:rsidRPr="00B771EB">
        <w:rPr>
          <w:rFonts w:eastAsiaTheme="minorHAnsi"/>
          <w:b/>
          <w:lang w:eastAsia="en-US"/>
        </w:rPr>
        <w:lastRenderedPageBreak/>
        <w:t>Table 1</w:t>
      </w:r>
      <w:r w:rsidR="001E62E9" w:rsidRPr="00B771EB">
        <w:rPr>
          <w:rFonts w:eastAsiaTheme="minorHAnsi"/>
          <w:lang w:eastAsia="en-US"/>
        </w:rPr>
        <w:t xml:space="preserve"> </w:t>
      </w:r>
      <w:r w:rsidR="00F57037" w:rsidRPr="00B771EB">
        <w:rPr>
          <w:rFonts w:eastAsiaTheme="minorHAnsi"/>
          <w:lang w:eastAsia="en-US"/>
        </w:rPr>
        <w:t>Characteristics</w:t>
      </w:r>
      <w:r w:rsidR="00B95794" w:rsidRPr="00B771EB">
        <w:rPr>
          <w:rFonts w:eastAsiaTheme="minorHAnsi"/>
          <w:lang w:eastAsia="en-US"/>
        </w:rPr>
        <w:t xml:space="preserve"> of the participants </w:t>
      </w:r>
      <w:r w:rsidR="00D821EA" w:rsidRPr="00B771EB">
        <w:rPr>
          <w:rFonts w:eastAsiaTheme="minorHAnsi"/>
          <w:lang w:eastAsia="en-US"/>
        </w:rPr>
        <w:t>(n=360).</w:t>
      </w:r>
    </w:p>
    <w:tbl>
      <w:tblPr>
        <w:tblpPr w:leftFromText="141" w:rightFromText="141" w:vertAnchor="text" w:horzAnchor="page" w:tblpX="2419" w:tblpY="327"/>
        <w:tblW w:w="7600" w:type="dxa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2268"/>
      </w:tblGrid>
      <w:tr w:rsidR="00C50F4C" w:rsidRPr="00B771EB" w:rsidTr="00774D56">
        <w:trPr>
          <w:trHeight w:val="296"/>
        </w:trPr>
        <w:tc>
          <w:tcPr>
            <w:tcW w:w="53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D821EA" w:rsidP="002529BC">
            <w:pPr>
              <w:rPr>
                <w:rFonts w:eastAsia="Times New Roman"/>
                <w:b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b/>
                <w:sz w:val="20"/>
                <w:szCs w:val="20"/>
                <w:lang w:eastAsia="fi-FI"/>
              </w:rPr>
              <w:t>Characteristics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0F4C" w:rsidRPr="00B771EB" w:rsidRDefault="00D821EA" w:rsidP="00C50F4C">
            <w:pPr>
              <w:jc w:val="center"/>
              <w:rPr>
                <w:rFonts w:eastAsia="Times New Roman"/>
                <w:b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b/>
                <w:sz w:val="20"/>
                <w:szCs w:val="20"/>
                <w:lang w:eastAsia="fi-FI"/>
              </w:rPr>
              <w:t>Mean (SD)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6204C7">
            <w:pPr>
              <w:spacing w:line="296" w:lineRule="atLeast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Age at military service</w:t>
            </w:r>
            <w:r w:rsidR="00774D56"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195</w:t>
            </w:r>
            <w:r w:rsidR="006204C7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2</w:t>
            </w:r>
            <w:r w:rsidR="00774D56"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-72</w:t>
            </w: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(years)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20.3 (1.6)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Age at clinical testing in 2001-04 (years)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60.9 (2.3)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Age at clinical testing in 2013 (years)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71.4 (2.2)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BMI at clinical testing in 2001-04 (kg/m</w:t>
            </w: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vertAlign w:val="superscript"/>
                <w:lang w:eastAsia="fi-FI"/>
              </w:rPr>
              <w:t>2</w:t>
            </w: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27.1 (3.5)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Father’s occupational status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</w:t>
            </w:r>
            <w:proofErr w:type="gramStart"/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>upper</w:t>
            </w:r>
            <w:proofErr w:type="gramEnd"/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middle (%)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sz w:val="20"/>
                <w:szCs w:val="20"/>
                <w:lang w:eastAsia="fi-FI"/>
              </w:rPr>
              <w:t>23.7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</w:t>
            </w:r>
            <w:proofErr w:type="gramStart"/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>lower</w:t>
            </w:r>
            <w:proofErr w:type="gramEnd"/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middle (%)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sz w:val="20"/>
                <w:szCs w:val="20"/>
                <w:lang w:eastAsia="fi-FI"/>
              </w:rPr>
              <w:t>24.8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</w:t>
            </w:r>
            <w:proofErr w:type="gramStart"/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>manual</w:t>
            </w:r>
            <w:proofErr w:type="gramEnd"/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worker (%)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>51.5</w:t>
            </w:r>
          </w:p>
        </w:tc>
      </w:tr>
      <w:tr w:rsidR="00133524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133524" w:rsidRPr="00B771EB" w:rsidRDefault="00133524" w:rsidP="00C50F4C">
            <w:pPr>
              <w:spacing w:line="296" w:lineRule="atLeast"/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Intellectual ability </w:t>
            </w:r>
            <w:r w:rsidR="00E22CB1" w:rsidRPr="00B771EB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total </w:t>
            </w:r>
            <w:r w:rsidRPr="00B771EB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  <w:t>score at military service</w:t>
            </w:r>
            <w:r w:rsidR="00774D56" w:rsidRPr="00B771EB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1952-72</w:t>
            </w:r>
          </w:p>
        </w:tc>
        <w:tc>
          <w:tcPr>
            <w:tcW w:w="2268" w:type="dxa"/>
            <w:shd w:val="clear" w:color="auto" w:fill="auto"/>
          </w:tcPr>
          <w:p w:rsidR="00133524" w:rsidRPr="00B771EB" w:rsidRDefault="00F22FB2" w:rsidP="00C50F4C">
            <w:pPr>
              <w:spacing w:line="296" w:lineRule="atLeast"/>
              <w:jc w:val="center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sz w:val="20"/>
                <w:szCs w:val="20"/>
                <w:lang w:eastAsia="fi-FI"/>
              </w:rPr>
              <w:t>27.6 (6.9)</w:t>
            </w:r>
          </w:p>
        </w:tc>
      </w:tr>
      <w:tr w:rsidR="004812DF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4812DF" w:rsidRPr="00B771EB" w:rsidRDefault="004812DF" w:rsidP="00C50F4C">
            <w:pPr>
              <w:spacing w:line="296" w:lineRule="atLeast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</w:t>
            </w:r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>Verbal reasoning subtest</w:t>
            </w:r>
            <w:r w:rsidR="001F0046"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score</w:t>
            </w:r>
          </w:p>
        </w:tc>
        <w:tc>
          <w:tcPr>
            <w:tcW w:w="2268" w:type="dxa"/>
            <w:shd w:val="clear" w:color="auto" w:fill="auto"/>
          </w:tcPr>
          <w:p w:rsidR="004812DF" w:rsidRPr="00B771EB" w:rsidRDefault="004812DF" w:rsidP="00C50F4C">
            <w:pPr>
              <w:spacing w:line="296" w:lineRule="atLeast"/>
              <w:jc w:val="center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sz w:val="20"/>
                <w:szCs w:val="20"/>
                <w:lang w:eastAsia="fi-FI"/>
              </w:rPr>
              <w:t>28.5 (8.1)</w:t>
            </w:r>
          </w:p>
        </w:tc>
      </w:tr>
      <w:tr w:rsidR="004812DF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4812DF" w:rsidRPr="00B771EB" w:rsidRDefault="004812DF" w:rsidP="00C50F4C">
            <w:pPr>
              <w:spacing w:line="296" w:lineRule="atLeast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</w:t>
            </w:r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>Visuospatial reasoning subtest</w:t>
            </w:r>
            <w:r w:rsidR="001F0046"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score</w:t>
            </w:r>
          </w:p>
        </w:tc>
        <w:tc>
          <w:tcPr>
            <w:tcW w:w="2268" w:type="dxa"/>
            <w:shd w:val="clear" w:color="auto" w:fill="auto"/>
          </w:tcPr>
          <w:p w:rsidR="004812DF" w:rsidRPr="00B771EB" w:rsidRDefault="004812DF" w:rsidP="00C50F4C">
            <w:pPr>
              <w:spacing w:line="296" w:lineRule="atLeast"/>
              <w:jc w:val="center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sz w:val="20"/>
                <w:szCs w:val="20"/>
                <w:lang w:eastAsia="fi-FI"/>
              </w:rPr>
              <w:t>25.7 (5.9)</w:t>
            </w:r>
          </w:p>
        </w:tc>
      </w:tr>
      <w:tr w:rsidR="004812DF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4812DF" w:rsidRPr="00B771EB" w:rsidRDefault="004812DF" w:rsidP="00C50F4C">
            <w:pPr>
              <w:spacing w:line="296" w:lineRule="atLeast"/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</w:t>
            </w:r>
            <w:r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>Arithmetic reasoning subtest</w:t>
            </w:r>
            <w:r w:rsidR="001F0046" w:rsidRPr="00B771EB">
              <w:rPr>
                <w:rFonts w:eastAsia="Calibri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score</w:t>
            </w:r>
          </w:p>
        </w:tc>
        <w:tc>
          <w:tcPr>
            <w:tcW w:w="2268" w:type="dxa"/>
            <w:shd w:val="clear" w:color="auto" w:fill="auto"/>
          </w:tcPr>
          <w:p w:rsidR="004812DF" w:rsidRPr="00B771EB" w:rsidRDefault="004812DF" w:rsidP="00C50F4C">
            <w:pPr>
              <w:spacing w:line="296" w:lineRule="atLeast"/>
              <w:jc w:val="center"/>
              <w:rPr>
                <w:rFonts w:eastAsia="Times New Roman"/>
                <w:sz w:val="20"/>
                <w:szCs w:val="20"/>
                <w:lang w:eastAsia="fi-FI"/>
              </w:rPr>
            </w:pPr>
            <w:r w:rsidRPr="00B771EB">
              <w:rPr>
                <w:rFonts w:eastAsia="Times New Roman"/>
                <w:sz w:val="20"/>
                <w:szCs w:val="20"/>
                <w:lang w:eastAsia="fi-FI"/>
              </w:rPr>
              <w:t>28.4 (9.1)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C50F4C" w:rsidRPr="00B771EB" w:rsidRDefault="00C50F4C" w:rsidP="00C50F4C">
            <w:pPr>
              <w:spacing w:line="296" w:lineRule="atLeast"/>
              <w:rPr>
                <w:rFonts w:eastAsia="Times New Roman"/>
                <w:sz w:val="20"/>
                <w:szCs w:val="20"/>
                <w:lang w:val="fi-FI" w:eastAsia="fi-FI"/>
              </w:rPr>
            </w:pP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Physical functioning score in 2001-04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Times New Roman"/>
                <w:sz w:val="20"/>
                <w:szCs w:val="20"/>
                <w:lang w:val="fi-FI" w:eastAsia="fi-FI"/>
              </w:rPr>
            </w:pPr>
            <w:r w:rsidRPr="00B771EB">
              <w:rPr>
                <w:rFonts w:eastAsia="Times New Roman"/>
                <w:sz w:val="20"/>
                <w:szCs w:val="20"/>
                <w:lang w:val="fi-FI" w:eastAsia="fi-FI"/>
              </w:rPr>
              <w:t>91.0 (11.4)</w:t>
            </w:r>
          </w:p>
        </w:tc>
      </w:tr>
      <w:tr w:rsidR="00C50F4C" w:rsidRPr="00B771EB" w:rsidTr="00774D56">
        <w:trPr>
          <w:trHeight w:val="296"/>
        </w:trPr>
        <w:tc>
          <w:tcPr>
            <w:tcW w:w="5332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</w:tcPr>
          <w:p w:rsidR="00C50F4C" w:rsidRPr="00B771EB" w:rsidRDefault="00C50F4C" w:rsidP="00C50F4C">
            <w:pPr>
              <w:spacing w:line="296" w:lineRule="atLeast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Physical functioning score in 2013 </w:t>
            </w:r>
          </w:p>
        </w:tc>
        <w:tc>
          <w:tcPr>
            <w:tcW w:w="2268" w:type="dxa"/>
            <w:shd w:val="clear" w:color="auto" w:fill="auto"/>
          </w:tcPr>
          <w:p w:rsidR="00C50F4C" w:rsidRPr="00B771EB" w:rsidRDefault="00C50F4C" w:rsidP="00C50F4C">
            <w:pPr>
              <w:spacing w:line="296" w:lineRule="atLeast"/>
              <w:jc w:val="center"/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B771EB">
              <w:rPr>
                <w:rFonts w:eastAsia="Calibri"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86.1 (17.9)</w:t>
            </w:r>
          </w:p>
        </w:tc>
      </w:tr>
    </w:tbl>
    <w:p w:rsidR="005D6A34" w:rsidRPr="00B771EB" w:rsidRDefault="005D6A34" w:rsidP="005D6A34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95794" w:rsidRPr="00B771EB" w:rsidRDefault="00B95794" w:rsidP="00B95794">
      <w:pPr>
        <w:spacing w:line="276" w:lineRule="auto"/>
        <w:ind w:left="709" w:hanging="709"/>
        <w:rPr>
          <w:rFonts w:eastAsiaTheme="minorHAnsi"/>
          <w:sz w:val="20"/>
          <w:szCs w:val="20"/>
          <w:lang w:eastAsia="en-US"/>
        </w:rPr>
      </w:pPr>
    </w:p>
    <w:p w:rsidR="005D6A34" w:rsidRPr="00B771EB" w:rsidRDefault="005D6A34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5D6A34" w:rsidRPr="00B771EB" w:rsidRDefault="005D6A34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5D6A34" w:rsidRPr="00B771EB" w:rsidRDefault="005D6A34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5D6A34" w:rsidRPr="00B771EB" w:rsidRDefault="005D6A34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3779EB" w:rsidRPr="00B771EB" w:rsidRDefault="003779EB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3779EB" w:rsidRPr="00B771EB" w:rsidRDefault="003779EB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3779EB" w:rsidRPr="00B771EB" w:rsidRDefault="003779EB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3779EB" w:rsidRPr="00B771EB" w:rsidRDefault="003779EB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3779EB" w:rsidRPr="00B771EB" w:rsidRDefault="003779EB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3779EB" w:rsidRPr="00B771EB" w:rsidRDefault="003779EB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5D6A34" w:rsidRPr="00B771EB" w:rsidRDefault="005D6A34" w:rsidP="005D6A34">
      <w:pPr>
        <w:spacing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9339A4" w:rsidRPr="00B771EB" w:rsidRDefault="009339A4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Pr="00B771EB" w:rsidRDefault="00BB2546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BB2546" w:rsidRDefault="00BB254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B2546" w:rsidRDefault="00BB2546">
      <w:pPr>
        <w:spacing w:after="200" w:line="276" w:lineRule="auto"/>
      </w:pPr>
    </w:p>
    <w:p w:rsidR="009339A4" w:rsidRDefault="009339A4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2E3207" w:rsidRDefault="002E3207" w:rsidP="009339A4">
      <w:pPr>
        <w:rPr>
          <w:rFonts w:eastAsiaTheme="minorHAnsi"/>
          <w:lang w:eastAsia="en-US"/>
        </w:rPr>
      </w:pPr>
    </w:p>
    <w:p w:rsidR="00B771EB" w:rsidRDefault="00B771EB" w:rsidP="009339A4">
      <w:pPr>
        <w:rPr>
          <w:rFonts w:eastAsiaTheme="minorHAnsi"/>
          <w:lang w:eastAsia="en-US"/>
        </w:rPr>
      </w:pPr>
    </w:p>
    <w:p w:rsidR="00B771EB" w:rsidRDefault="00B771EB" w:rsidP="009339A4">
      <w:pPr>
        <w:rPr>
          <w:rFonts w:eastAsiaTheme="minorHAnsi"/>
          <w:lang w:eastAsia="en-US"/>
        </w:rPr>
      </w:pPr>
    </w:p>
    <w:p w:rsidR="00B771EB" w:rsidRDefault="00B771EB" w:rsidP="009339A4">
      <w:pPr>
        <w:rPr>
          <w:rFonts w:eastAsiaTheme="minorHAnsi"/>
          <w:lang w:eastAsia="en-US"/>
        </w:rPr>
      </w:pPr>
    </w:p>
    <w:p w:rsidR="00B771EB" w:rsidRDefault="00B771EB" w:rsidP="009339A4">
      <w:pPr>
        <w:rPr>
          <w:rFonts w:eastAsiaTheme="minorHAnsi"/>
          <w:lang w:eastAsia="en-US"/>
        </w:rPr>
      </w:pPr>
    </w:p>
    <w:p w:rsidR="002E3207" w:rsidRPr="009339A4" w:rsidRDefault="002E3207" w:rsidP="009339A4">
      <w:pPr>
        <w:rPr>
          <w:rFonts w:eastAsiaTheme="minorHAnsi"/>
          <w:lang w:eastAsia="en-US"/>
        </w:rPr>
      </w:pPr>
    </w:p>
    <w:p w:rsidR="001F6F78" w:rsidRDefault="001F6F78" w:rsidP="009339A4">
      <w:pPr>
        <w:rPr>
          <w:rFonts w:eastAsiaTheme="minorHAnsi"/>
          <w:b/>
          <w:lang w:eastAsia="en-US"/>
        </w:rPr>
      </w:pPr>
    </w:p>
    <w:p w:rsidR="001F6F78" w:rsidRDefault="001F6F78" w:rsidP="009339A4">
      <w:pPr>
        <w:rPr>
          <w:rFonts w:eastAsiaTheme="minorHAnsi"/>
          <w:b/>
          <w:lang w:eastAsia="en-US"/>
        </w:rPr>
      </w:pPr>
    </w:p>
    <w:p w:rsidR="001F6F78" w:rsidRPr="00182DE0" w:rsidRDefault="001F6F78" w:rsidP="001F6F78">
      <w:proofErr w:type="gramStart"/>
      <w:r>
        <w:rPr>
          <w:b/>
        </w:rPr>
        <w:t>Table 2</w:t>
      </w:r>
      <w:r>
        <w:t>.</w:t>
      </w:r>
      <w:proofErr w:type="gramEnd"/>
      <w:r>
        <w:t xml:space="preserve"> </w:t>
      </w:r>
      <w:r w:rsidR="00696D9C">
        <w:t>Associations between intellectual ability in young adulthood and physical functioning at age 61 and 71 years</w:t>
      </w:r>
      <w:r w:rsidR="00E642AF">
        <w:t xml:space="preserve"> </w:t>
      </w:r>
      <w:r w:rsidR="00E642AF" w:rsidRPr="00DD0E2C">
        <w:t>(n=360).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30"/>
        <w:gridCol w:w="962"/>
        <w:gridCol w:w="1134"/>
        <w:gridCol w:w="850"/>
      </w:tblGrid>
      <w:tr w:rsidR="001F6F78" w:rsidRPr="00C336C4" w:rsidTr="008179B4"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</w:tr>
      <w:tr w:rsidR="00696D9C" w:rsidRPr="00F10DDE" w:rsidTr="007E3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6D9C" w:rsidRPr="00810803" w:rsidRDefault="00696D9C" w:rsidP="008179B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6D9C" w:rsidRPr="00810803" w:rsidRDefault="00696D9C" w:rsidP="008179B4">
            <w:pPr>
              <w:jc w:val="center"/>
              <w:rPr>
                <w:b/>
                <w:sz w:val="22"/>
                <w:szCs w:val="22"/>
              </w:rPr>
            </w:pPr>
            <w:r w:rsidRPr="00810803">
              <w:rPr>
                <w:b/>
                <w:sz w:val="22"/>
                <w:szCs w:val="22"/>
              </w:rPr>
              <w:t>Physical functioning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D9C" w:rsidRPr="00F10DDE" w:rsidRDefault="00696D9C" w:rsidP="008179B4">
            <w:pPr>
              <w:jc w:val="center"/>
              <w:rPr>
                <w:b/>
                <w:sz w:val="20"/>
                <w:szCs w:val="20"/>
              </w:rPr>
            </w:pPr>
            <w:r w:rsidRPr="00F10DDE">
              <w:rPr>
                <w:b/>
                <w:sz w:val="20"/>
                <w:szCs w:val="20"/>
              </w:rPr>
              <w:t>Model fit</w:t>
            </w: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F10DDE" w:rsidRDefault="001F6F78" w:rsidP="008179B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F10DDE" w:rsidRDefault="001F6F78" w:rsidP="008179B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F78" w:rsidRPr="00F10DDE" w:rsidRDefault="001F6F78" w:rsidP="008179B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F78" w:rsidRPr="00F10DDE" w:rsidRDefault="001F6F78" w:rsidP="008179B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A3772F" w:rsidRDefault="002924F2" w:rsidP="008179B4">
            <w:pPr>
              <w:rPr>
                <w:b/>
                <w:sz w:val="22"/>
                <w:szCs w:val="22"/>
                <w:highlight w:val="yellow"/>
              </w:rPr>
            </w:pPr>
            <w:r w:rsidRPr="009A6BF5">
              <w:rPr>
                <w:b/>
                <w:sz w:val="22"/>
                <w:szCs w:val="22"/>
              </w:rPr>
              <w:t>Path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A3772F" w:rsidRDefault="00773A17" w:rsidP="008179B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A6BF5">
              <w:rPr>
                <w:b/>
                <w:sz w:val="22"/>
                <w:szCs w:val="22"/>
              </w:rPr>
              <w:t>P</w:t>
            </w:r>
            <w:r w:rsidR="002924F2" w:rsidRPr="009A6BF5">
              <w:rPr>
                <w:b/>
                <w:sz w:val="22"/>
                <w:szCs w:val="22"/>
              </w:rPr>
              <w:t>ath coefficients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  <w:r w:rsidRPr="00810803">
              <w:rPr>
                <w:b/>
                <w:sz w:val="22"/>
                <w:szCs w:val="22"/>
              </w:rPr>
              <w:t>Std. Err.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810803" w:rsidRDefault="001F6F78" w:rsidP="008179B4">
            <w:pPr>
              <w:jc w:val="center"/>
              <w:rPr>
                <w:b/>
                <w:sz w:val="22"/>
                <w:szCs w:val="22"/>
              </w:rPr>
            </w:pPr>
            <w:r w:rsidRPr="00810803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F10DDE" w:rsidRDefault="001F6F78" w:rsidP="008179B4">
            <w:pPr>
              <w:jc w:val="center"/>
              <w:rPr>
                <w:b/>
              </w:rPr>
            </w:pPr>
            <w:r w:rsidRPr="00F10DDE">
              <w:rPr>
                <w:b/>
                <w:sz w:val="20"/>
                <w:szCs w:val="20"/>
              </w:rPr>
              <w:t>χ</w:t>
            </w:r>
            <w:r w:rsidRPr="00F10DDE">
              <w:rPr>
                <w:b/>
                <w:sz w:val="20"/>
                <w:szCs w:val="20"/>
                <w:vertAlign w:val="superscript"/>
              </w:rPr>
              <w:t>2</w:t>
            </w:r>
            <w:r w:rsidRPr="00F10DDE">
              <w:rPr>
                <w:b/>
                <w:sz w:val="20"/>
                <w:szCs w:val="20"/>
              </w:rPr>
              <w:t>(</w:t>
            </w:r>
            <w:proofErr w:type="spellStart"/>
            <w:r w:rsidRPr="00F10DDE">
              <w:rPr>
                <w:b/>
                <w:sz w:val="20"/>
                <w:szCs w:val="20"/>
              </w:rPr>
              <w:t>df</w:t>
            </w:r>
            <w:proofErr w:type="spellEnd"/>
            <w:r w:rsidRPr="00F10DDE">
              <w:rPr>
                <w:b/>
                <w:sz w:val="20"/>
                <w:szCs w:val="20"/>
              </w:rPr>
              <w:t>=14)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F10DDE" w:rsidRDefault="001F6F78" w:rsidP="008179B4">
            <w:pPr>
              <w:jc w:val="center"/>
              <w:rPr>
                <w:b/>
                <w:sz w:val="20"/>
                <w:szCs w:val="20"/>
              </w:rPr>
            </w:pPr>
            <w:r w:rsidRPr="00F10DDE">
              <w:rPr>
                <w:b/>
                <w:sz w:val="20"/>
                <w:szCs w:val="20"/>
              </w:rPr>
              <w:t>p-value</w:t>
            </w: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</w:tr>
      <w:tr w:rsidR="001F6F78" w:rsidRPr="00F10DDE" w:rsidTr="008179B4"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6" w:type="dxa"/>
            <w:gridSpan w:val="2"/>
            <w:tcBorders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jc w:val="center"/>
              <w:rPr>
                <w:sz w:val="8"/>
                <w:szCs w:val="8"/>
              </w:rPr>
            </w:pP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Total score</w:t>
            </w:r>
            <w:r w:rsidR="00C03FF1">
              <w:rPr>
                <w:sz w:val="20"/>
                <w:szCs w:val="20"/>
              </w:rPr>
              <w:t xml:space="preserve"> (IA)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IA→PF1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6F78" w:rsidRPr="000E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RPr="00F10DDE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IA→PF2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-0.0</w:t>
            </w:r>
            <w:r w:rsidR="00E228DE">
              <w:rPr>
                <w:sz w:val="20"/>
                <w:szCs w:val="20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 w:rsidR="00E228DE">
              <w:rPr>
                <w:sz w:val="20"/>
                <w:szCs w:val="20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PF1→</w:t>
            </w:r>
            <w:r w:rsidR="004744E1">
              <w:rPr>
                <w:sz w:val="20"/>
                <w:szCs w:val="20"/>
              </w:rPr>
              <w:t>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E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Indirect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IA→PF1→PF2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Total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IA→PF2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 w:rsidR="00E228DE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RPr="00D5778A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</w:tr>
      <w:tr w:rsidR="001F6F78" w:rsidTr="008179B4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Arithmetic reasoning (AR)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0.986</w:t>
            </w: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AR→PF1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AR→PF2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-0.0</w:t>
            </w:r>
            <w:r w:rsidR="00E228D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 w:rsidR="00E228DE">
              <w:rPr>
                <w:sz w:val="20"/>
                <w:szCs w:val="2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PF1→</w:t>
            </w:r>
            <w:r w:rsidR="004744E1">
              <w:rPr>
                <w:sz w:val="20"/>
                <w:szCs w:val="20"/>
              </w:rPr>
              <w:t>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E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Indirect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AR→PF1→PF2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Total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AR→PF2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0.1</w:t>
            </w:r>
            <w:r w:rsidR="00E228DE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RPr="00D5778A" w:rsidTr="008179B4"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</w:tr>
      <w:tr w:rsidR="001F6F78" w:rsidTr="008179B4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Verbal reasoning (VR)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VR→PF1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 w:rsidR="00E228DE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VR→PF2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 w:rsidR="00E228DE">
              <w:rPr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PF1→</w:t>
            </w:r>
            <w:r w:rsidR="004744E1">
              <w:rPr>
                <w:sz w:val="20"/>
                <w:szCs w:val="20"/>
              </w:rPr>
              <w:t>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E21FC">
              <w:rPr>
                <w:sz w:val="20"/>
                <w:szCs w:val="20"/>
              </w:rPr>
              <w:t>.</w:t>
            </w:r>
            <w:r w:rsidR="00E228DE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Indirect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VR→PF1→PF2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 w:rsidR="00E228DE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 w:rsidR="00E228D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Total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VR→PF2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="00E228DE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RPr="00D5778A" w:rsidTr="008179B4"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</w:tr>
      <w:tr w:rsidR="001F6F78" w:rsidTr="008179B4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Visuospatial reasoning (VSR)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0.999</w:t>
            </w: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VSR→PF1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VSR→PF2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8</w:t>
            </w:r>
            <w:r w:rsidR="00E228DE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 PF1→</w:t>
            </w:r>
            <w:r w:rsidR="004744E1">
              <w:rPr>
                <w:sz w:val="20"/>
                <w:szCs w:val="20"/>
              </w:rPr>
              <w:t>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E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Indirect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VSR→PF1→PF2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 w:rsidR="00E228DE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Total effects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Tr="008179B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 xml:space="preserve">     VSR→PF2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E228DE" w:rsidP="0081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  <w:r w:rsidRPr="000E21F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</w:t>
            </w:r>
            <w:r w:rsidRPr="000E21FC">
              <w:rPr>
                <w:sz w:val="20"/>
                <w:szCs w:val="20"/>
              </w:rPr>
              <w:t>5</w:t>
            </w:r>
            <w:r w:rsidR="00E228D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6F78" w:rsidRPr="000E21FC" w:rsidRDefault="001F6F78" w:rsidP="008179B4">
            <w:pPr>
              <w:jc w:val="center"/>
              <w:rPr>
                <w:sz w:val="20"/>
                <w:szCs w:val="20"/>
              </w:rPr>
            </w:pPr>
          </w:p>
        </w:tc>
      </w:tr>
      <w:tr w:rsidR="001F6F78" w:rsidRPr="00D5778A" w:rsidTr="008179B4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6F78" w:rsidRPr="00D5778A" w:rsidRDefault="001F6F78" w:rsidP="008179B4">
            <w:pPr>
              <w:rPr>
                <w:sz w:val="8"/>
                <w:szCs w:val="8"/>
              </w:rPr>
            </w:pPr>
          </w:p>
        </w:tc>
      </w:tr>
    </w:tbl>
    <w:p w:rsidR="001F6F78" w:rsidRPr="00182DE0" w:rsidRDefault="001F6F78" w:rsidP="001F6F78">
      <w:r w:rsidRPr="00114007">
        <w:t xml:space="preserve">Note. </w:t>
      </w:r>
      <w:r w:rsidR="0037664E">
        <w:t>Intellectual ability /</w:t>
      </w:r>
      <w:r>
        <w:t xml:space="preserve"> subtests and physical functioning adjusted for age at measurement, childhood SES and BMI. For all models CFI (Comparative Fit Index) = 1, TLI (Tucker Lewis Index) = 1 and RMSEA = 0 (90 % confidence interval: 0, 0).</w:t>
      </w:r>
    </w:p>
    <w:p w:rsidR="001F6F78" w:rsidRPr="00B20933" w:rsidRDefault="0013033C" w:rsidP="009339A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IA= Standardized I</w:t>
      </w:r>
      <w:r w:rsidR="009D2F64">
        <w:rPr>
          <w:rFonts w:eastAsiaTheme="minorHAnsi"/>
          <w:lang w:eastAsia="en-US"/>
        </w:rPr>
        <w:t>ntellectual ability t</w:t>
      </w:r>
      <w:r w:rsidR="00B20933">
        <w:rPr>
          <w:rFonts w:eastAsiaTheme="minorHAnsi"/>
          <w:lang w:eastAsia="en-US"/>
        </w:rPr>
        <w:t>est total score</w:t>
      </w:r>
      <w:r w:rsidR="00EA1BD8">
        <w:rPr>
          <w:rFonts w:eastAsiaTheme="minorHAnsi"/>
          <w:lang w:eastAsia="en-US"/>
        </w:rPr>
        <w:t xml:space="preserve"> in 1952-72</w:t>
      </w:r>
      <w:r w:rsidR="00B20933">
        <w:rPr>
          <w:rFonts w:eastAsiaTheme="minorHAnsi"/>
          <w:lang w:eastAsia="en-US"/>
        </w:rPr>
        <w:t xml:space="preserve">, PF1= Physical functioning in 2001-2004, </w:t>
      </w:r>
      <w:r w:rsidR="004A6C13">
        <w:rPr>
          <w:rFonts w:eastAsiaTheme="minorHAnsi"/>
          <w:lang w:eastAsia="en-US"/>
        </w:rPr>
        <w:t xml:space="preserve">PF2=Physical functioning in 2013, AR= </w:t>
      </w:r>
      <w:r>
        <w:rPr>
          <w:rFonts w:eastAsiaTheme="minorHAnsi"/>
          <w:lang w:eastAsia="en-US"/>
        </w:rPr>
        <w:t xml:space="preserve">Standardized </w:t>
      </w:r>
      <w:r w:rsidR="004A6C13">
        <w:rPr>
          <w:rFonts w:eastAsiaTheme="minorHAnsi"/>
          <w:lang w:eastAsia="en-US"/>
        </w:rPr>
        <w:t>Arithmetic reasoning</w:t>
      </w:r>
      <w:r w:rsidR="009D2F64">
        <w:rPr>
          <w:rFonts w:eastAsiaTheme="minorHAnsi"/>
          <w:lang w:eastAsia="en-US"/>
        </w:rPr>
        <w:t xml:space="preserve"> test score</w:t>
      </w:r>
      <w:r w:rsidR="00EA1BD8">
        <w:rPr>
          <w:rFonts w:eastAsiaTheme="minorHAnsi"/>
          <w:lang w:eastAsia="en-US"/>
        </w:rPr>
        <w:t xml:space="preserve"> in 1952-72</w:t>
      </w:r>
      <w:r w:rsidR="004A6C13">
        <w:rPr>
          <w:rFonts w:eastAsiaTheme="minorHAnsi"/>
          <w:lang w:eastAsia="en-US"/>
        </w:rPr>
        <w:t xml:space="preserve">, VR= </w:t>
      </w:r>
      <w:r>
        <w:rPr>
          <w:rFonts w:eastAsiaTheme="minorHAnsi"/>
          <w:lang w:eastAsia="en-US"/>
        </w:rPr>
        <w:t xml:space="preserve">Standardized </w:t>
      </w:r>
      <w:r w:rsidR="004A6C13">
        <w:rPr>
          <w:rFonts w:eastAsiaTheme="minorHAnsi"/>
          <w:lang w:eastAsia="en-US"/>
        </w:rPr>
        <w:t>Verbal reasoning</w:t>
      </w:r>
      <w:r w:rsidR="009D2F64">
        <w:rPr>
          <w:rFonts w:eastAsiaTheme="minorHAnsi"/>
          <w:lang w:eastAsia="en-US"/>
        </w:rPr>
        <w:t xml:space="preserve"> test score</w:t>
      </w:r>
      <w:r w:rsidR="00EA1BD8">
        <w:rPr>
          <w:rFonts w:eastAsiaTheme="minorHAnsi"/>
          <w:lang w:eastAsia="en-US"/>
        </w:rPr>
        <w:t xml:space="preserve"> in 1952-72</w:t>
      </w:r>
      <w:r w:rsidR="004A6C13">
        <w:rPr>
          <w:rFonts w:eastAsiaTheme="minorHAnsi"/>
          <w:lang w:eastAsia="en-US"/>
        </w:rPr>
        <w:t xml:space="preserve">, VSR= </w:t>
      </w:r>
      <w:r>
        <w:rPr>
          <w:rFonts w:eastAsiaTheme="minorHAnsi"/>
          <w:lang w:eastAsia="en-US"/>
        </w:rPr>
        <w:t xml:space="preserve">Standardized </w:t>
      </w:r>
      <w:r w:rsidR="004A6C13">
        <w:rPr>
          <w:rFonts w:eastAsiaTheme="minorHAnsi"/>
          <w:lang w:eastAsia="en-US"/>
        </w:rPr>
        <w:t>Visuospatial reasoning</w:t>
      </w:r>
      <w:r w:rsidR="009D2F64">
        <w:rPr>
          <w:rFonts w:eastAsiaTheme="minorHAnsi"/>
          <w:lang w:eastAsia="en-US"/>
        </w:rPr>
        <w:t xml:space="preserve"> test score</w:t>
      </w:r>
      <w:r w:rsidR="00EA1BD8">
        <w:rPr>
          <w:rFonts w:eastAsiaTheme="minorHAnsi"/>
          <w:lang w:eastAsia="en-US"/>
        </w:rPr>
        <w:t xml:space="preserve"> in 1952-72</w:t>
      </w:r>
    </w:p>
    <w:p w:rsidR="001F6F78" w:rsidRDefault="001F6F78" w:rsidP="009339A4">
      <w:pPr>
        <w:rPr>
          <w:rFonts w:eastAsiaTheme="minorHAnsi"/>
          <w:b/>
          <w:lang w:eastAsia="en-US"/>
        </w:rPr>
      </w:pPr>
    </w:p>
    <w:p w:rsidR="001F6F78" w:rsidRDefault="001F6F78" w:rsidP="009339A4">
      <w:pPr>
        <w:rPr>
          <w:rFonts w:eastAsiaTheme="minorHAnsi"/>
          <w:b/>
          <w:lang w:eastAsia="en-US"/>
        </w:rPr>
      </w:pPr>
    </w:p>
    <w:sectPr w:rsidR="001F6F78" w:rsidSect="0093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BE" w:rsidRDefault="00345FBE">
      <w:r>
        <w:separator/>
      </w:r>
    </w:p>
  </w:endnote>
  <w:endnote w:type="continuationSeparator" w:id="0">
    <w:p w:rsidR="00345FBE" w:rsidRDefault="0034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44" w:rsidRDefault="00637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47" w:rsidRDefault="00753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BE" w:rsidRDefault="00345FBE">
      <w:r>
        <w:separator/>
      </w:r>
    </w:p>
  </w:footnote>
  <w:footnote w:type="continuationSeparator" w:id="0">
    <w:p w:rsidR="00345FBE" w:rsidRDefault="0034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90" w:rsidRDefault="00B15390" w:rsidP="008914E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F6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BAB"/>
    <w:multiLevelType w:val="hybridMultilevel"/>
    <w:tmpl w:val="958A4AB8"/>
    <w:lvl w:ilvl="0" w:tplc="65365372">
      <w:start w:val="2"/>
      <w:numFmt w:val="bullet"/>
      <w:lvlText w:val="-"/>
      <w:lvlJc w:val="left"/>
      <w:pPr>
        <w:ind w:left="63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AF73787"/>
    <w:multiLevelType w:val="hybridMultilevel"/>
    <w:tmpl w:val="044ACC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D40"/>
    <w:multiLevelType w:val="hybridMultilevel"/>
    <w:tmpl w:val="2D20A568"/>
    <w:lvl w:ilvl="0" w:tplc="19E49A4E">
      <w:start w:val="2"/>
      <w:numFmt w:val="bullet"/>
      <w:lvlText w:val="-"/>
      <w:lvlJc w:val="left"/>
      <w:pPr>
        <w:ind w:left="66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576688D"/>
    <w:multiLevelType w:val="hybridMultilevel"/>
    <w:tmpl w:val="58948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3B7"/>
    <w:multiLevelType w:val="hybridMultilevel"/>
    <w:tmpl w:val="7D140D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C7C41"/>
    <w:multiLevelType w:val="hybridMultilevel"/>
    <w:tmpl w:val="6BF06EAC"/>
    <w:lvl w:ilvl="0" w:tplc="97EE094E">
      <w:start w:val="2"/>
      <w:numFmt w:val="bullet"/>
      <w:lvlText w:val="-"/>
      <w:lvlJc w:val="left"/>
      <w:pPr>
        <w:ind w:left="63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10F44CA"/>
    <w:multiLevelType w:val="hybridMultilevel"/>
    <w:tmpl w:val="EEE2D3B6"/>
    <w:lvl w:ilvl="0" w:tplc="6DFE046C">
      <w:start w:val="2"/>
      <w:numFmt w:val="bullet"/>
      <w:lvlText w:val="-"/>
      <w:lvlJc w:val="left"/>
      <w:pPr>
        <w:ind w:left="63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64AC74B6"/>
    <w:multiLevelType w:val="hybridMultilevel"/>
    <w:tmpl w:val="DA7A2D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7D6"/>
    <w:multiLevelType w:val="hybridMultilevel"/>
    <w:tmpl w:val="4BBCF162"/>
    <w:lvl w:ilvl="0" w:tplc="050C0BFE">
      <w:start w:val="1"/>
      <w:numFmt w:val="bullet"/>
      <w:lvlText w:val="-"/>
      <w:lvlJc w:val="left"/>
      <w:pPr>
        <w:ind w:left="63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F"/>
    <w:rsid w:val="00000746"/>
    <w:rsid w:val="000018F7"/>
    <w:rsid w:val="00002CC7"/>
    <w:rsid w:val="00004DED"/>
    <w:rsid w:val="00004F5B"/>
    <w:rsid w:val="00005E44"/>
    <w:rsid w:val="000116F2"/>
    <w:rsid w:val="000168E2"/>
    <w:rsid w:val="0002219F"/>
    <w:rsid w:val="00022A94"/>
    <w:rsid w:val="00022BE8"/>
    <w:rsid w:val="0002386A"/>
    <w:rsid w:val="00023A75"/>
    <w:rsid w:val="0002555F"/>
    <w:rsid w:val="0002567C"/>
    <w:rsid w:val="0002648E"/>
    <w:rsid w:val="000311F4"/>
    <w:rsid w:val="00032CCE"/>
    <w:rsid w:val="000335E9"/>
    <w:rsid w:val="00036615"/>
    <w:rsid w:val="00036711"/>
    <w:rsid w:val="000402DC"/>
    <w:rsid w:val="00043A2C"/>
    <w:rsid w:val="000446AF"/>
    <w:rsid w:val="000460E9"/>
    <w:rsid w:val="00046601"/>
    <w:rsid w:val="0005283F"/>
    <w:rsid w:val="00054770"/>
    <w:rsid w:val="00054BDD"/>
    <w:rsid w:val="00054F56"/>
    <w:rsid w:val="000550DE"/>
    <w:rsid w:val="00055FD8"/>
    <w:rsid w:val="00057750"/>
    <w:rsid w:val="00057ADB"/>
    <w:rsid w:val="00060ADA"/>
    <w:rsid w:val="00060D6F"/>
    <w:rsid w:val="0006128F"/>
    <w:rsid w:val="000613CF"/>
    <w:rsid w:val="00061605"/>
    <w:rsid w:val="000617D4"/>
    <w:rsid w:val="00061B34"/>
    <w:rsid w:val="000623BE"/>
    <w:rsid w:val="00063170"/>
    <w:rsid w:val="00063435"/>
    <w:rsid w:val="000634B8"/>
    <w:rsid w:val="0006373A"/>
    <w:rsid w:val="0006457C"/>
    <w:rsid w:val="000649F4"/>
    <w:rsid w:val="00064ABD"/>
    <w:rsid w:val="00064C85"/>
    <w:rsid w:val="00070459"/>
    <w:rsid w:val="00070BCD"/>
    <w:rsid w:val="00071316"/>
    <w:rsid w:val="000716C9"/>
    <w:rsid w:val="0007172F"/>
    <w:rsid w:val="00072B10"/>
    <w:rsid w:val="0007331B"/>
    <w:rsid w:val="000744A8"/>
    <w:rsid w:val="00074680"/>
    <w:rsid w:val="0007492B"/>
    <w:rsid w:val="00075D3A"/>
    <w:rsid w:val="00077452"/>
    <w:rsid w:val="000816F2"/>
    <w:rsid w:val="000818E8"/>
    <w:rsid w:val="00082931"/>
    <w:rsid w:val="00083E1E"/>
    <w:rsid w:val="00090A84"/>
    <w:rsid w:val="00091302"/>
    <w:rsid w:val="000918D8"/>
    <w:rsid w:val="00091928"/>
    <w:rsid w:val="000921E9"/>
    <w:rsid w:val="000928E7"/>
    <w:rsid w:val="0009303D"/>
    <w:rsid w:val="00093CB1"/>
    <w:rsid w:val="000951BD"/>
    <w:rsid w:val="0009668A"/>
    <w:rsid w:val="000973B2"/>
    <w:rsid w:val="000A17CB"/>
    <w:rsid w:val="000A1C67"/>
    <w:rsid w:val="000A24C0"/>
    <w:rsid w:val="000A32D4"/>
    <w:rsid w:val="000A51DF"/>
    <w:rsid w:val="000A5D00"/>
    <w:rsid w:val="000A72A7"/>
    <w:rsid w:val="000B0CD7"/>
    <w:rsid w:val="000B0F4A"/>
    <w:rsid w:val="000B10EF"/>
    <w:rsid w:val="000B17AC"/>
    <w:rsid w:val="000B20B8"/>
    <w:rsid w:val="000B356C"/>
    <w:rsid w:val="000B3EDF"/>
    <w:rsid w:val="000B4EF1"/>
    <w:rsid w:val="000B4F6D"/>
    <w:rsid w:val="000B7E41"/>
    <w:rsid w:val="000C02A8"/>
    <w:rsid w:val="000C0675"/>
    <w:rsid w:val="000C086E"/>
    <w:rsid w:val="000C1299"/>
    <w:rsid w:val="000C2831"/>
    <w:rsid w:val="000C2953"/>
    <w:rsid w:val="000C37AE"/>
    <w:rsid w:val="000C4783"/>
    <w:rsid w:val="000C47E6"/>
    <w:rsid w:val="000C5AC2"/>
    <w:rsid w:val="000C5F08"/>
    <w:rsid w:val="000C66A4"/>
    <w:rsid w:val="000C6A64"/>
    <w:rsid w:val="000D03C2"/>
    <w:rsid w:val="000D1BDC"/>
    <w:rsid w:val="000D41BE"/>
    <w:rsid w:val="000D4942"/>
    <w:rsid w:val="000D4A73"/>
    <w:rsid w:val="000D65E9"/>
    <w:rsid w:val="000D670B"/>
    <w:rsid w:val="000E0065"/>
    <w:rsid w:val="000E039C"/>
    <w:rsid w:val="000E0A02"/>
    <w:rsid w:val="000E1041"/>
    <w:rsid w:val="000E1A84"/>
    <w:rsid w:val="000E20E2"/>
    <w:rsid w:val="000E22B8"/>
    <w:rsid w:val="000E2B55"/>
    <w:rsid w:val="000E4A57"/>
    <w:rsid w:val="000E52DF"/>
    <w:rsid w:val="000E56C8"/>
    <w:rsid w:val="000E6D43"/>
    <w:rsid w:val="000F058B"/>
    <w:rsid w:val="000F1506"/>
    <w:rsid w:val="000F3CC6"/>
    <w:rsid w:val="000F3DD8"/>
    <w:rsid w:val="000F52F7"/>
    <w:rsid w:val="000F54C5"/>
    <w:rsid w:val="000F67E5"/>
    <w:rsid w:val="00101842"/>
    <w:rsid w:val="001019DC"/>
    <w:rsid w:val="0010244D"/>
    <w:rsid w:val="001033E0"/>
    <w:rsid w:val="001040EB"/>
    <w:rsid w:val="001052E7"/>
    <w:rsid w:val="001053E0"/>
    <w:rsid w:val="00106D07"/>
    <w:rsid w:val="00106E4F"/>
    <w:rsid w:val="00107241"/>
    <w:rsid w:val="0010740C"/>
    <w:rsid w:val="001075EF"/>
    <w:rsid w:val="001110AD"/>
    <w:rsid w:val="00111641"/>
    <w:rsid w:val="00111DEF"/>
    <w:rsid w:val="0011263B"/>
    <w:rsid w:val="001168D9"/>
    <w:rsid w:val="00117397"/>
    <w:rsid w:val="00121C90"/>
    <w:rsid w:val="00122EF3"/>
    <w:rsid w:val="00123762"/>
    <w:rsid w:val="00126A98"/>
    <w:rsid w:val="00126C99"/>
    <w:rsid w:val="0013033C"/>
    <w:rsid w:val="00130816"/>
    <w:rsid w:val="00130E60"/>
    <w:rsid w:val="001318D1"/>
    <w:rsid w:val="00133524"/>
    <w:rsid w:val="00134C12"/>
    <w:rsid w:val="00135C19"/>
    <w:rsid w:val="00140C33"/>
    <w:rsid w:val="00141132"/>
    <w:rsid w:val="00142EC1"/>
    <w:rsid w:val="00145300"/>
    <w:rsid w:val="001454CD"/>
    <w:rsid w:val="00145A1D"/>
    <w:rsid w:val="00151A67"/>
    <w:rsid w:val="001521F5"/>
    <w:rsid w:val="00152C61"/>
    <w:rsid w:val="00153D31"/>
    <w:rsid w:val="0015599C"/>
    <w:rsid w:val="00155F30"/>
    <w:rsid w:val="0015674D"/>
    <w:rsid w:val="00156AD1"/>
    <w:rsid w:val="00156F04"/>
    <w:rsid w:val="00157D18"/>
    <w:rsid w:val="0016015B"/>
    <w:rsid w:val="00160A66"/>
    <w:rsid w:val="00162DA6"/>
    <w:rsid w:val="00162EBA"/>
    <w:rsid w:val="00163546"/>
    <w:rsid w:val="00165615"/>
    <w:rsid w:val="00165AA5"/>
    <w:rsid w:val="00165AA8"/>
    <w:rsid w:val="00165D6A"/>
    <w:rsid w:val="00167DF4"/>
    <w:rsid w:val="0017011C"/>
    <w:rsid w:val="00170234"/>
    <w:rsid w:val="001725F1"/>
    <w:rsid w:val="00172ACD"/>
    <w:rsid w:val="00173C93"/>
    <w:rsid w:val="00175DCD"/>
    <w:rsid w:val="00177209"/>
    <w:rsid w:val="0018176C"/>
    <w:rsid w:val="00182979"/>
    <w:rsid w:val="0018300A"/>
    <w:rsid w:val="00183E28"/>
    <w:rsid w:val="00185141"/>
    <w:rsid w:val="001854A0"/>
    <w:rsid w:val="0018644F"/>
    <w:rsid w:val="001916FA"/>
    <w:rsid w:val="00192B25"/>
    <w:rsid w:val="00193604"/>
    <w:rsid w:val="00193656"/>
    <w:rsid w:val="00194955"/>
    <w:rsid w:val="00195183"/>
    <w:rsid w:val="00196261"/>
    <w:rsid w:val="00196CE3"/>
    <w:rsid w:val="00197198"/>
    <w:rsid w:val="001972AF"/>
    <w:rsid w:val="00197710"/>
    <w:rsid w:val="001977AB"/>
    <w:rsid w:val="001A1D77"/>
    <w:rsid w:val="001A22A7"/>
    <w:rsid w:val="001A287B"/>
    <w:rsid w:val="001A38A6"/>
    <w:rsid w:val="001A421B"/>
    <w:rsid w:val="001A66CA"/>
    <w:rsid w:val="001A77F1"/>
    <w:rsid w:val="001A79CF"/>
    <w:rsid w:val="001B3285"/>
    <w:rsid w:val="001B6763"/>
    <w:rsid w:val="001B7C8C"/>
    <w:rsid w:val="001C116E"/>
    <w:rsid w:val="001C22E7"/>
    <w:rsid w:val="001C3834"/>
    <w:rsid w:val="001C4BE2"/>
    <w:rsid w:val="001C6C3F"/>
    <w:rsid w:val="001C70BB"/>
    <w:rsid w:val="001C75CF"/>
    <w:rsid w:val="001C7F4B"/>
    <w:rsid w:val="001D00A8"/>
    <w:rsid w:val="001D08EA"/>
    <w:rsid w:val="001D0E03"/>
    <w:rsid w:val="001D194C"/>
    <w:rsid w:val="001D2DF7"/>
    <w:rsid w:val="001D370E"/>
    <w:rsid w:val="001D396D"/>
    <w:rsid w:val="001D39B5"/>
    <w:rsid w:val="001D3FFB"/>
    <w:rsid w:val="001D430D"/>
    <w:rsid w:val="001D55F9"/>
    <w:rsid w:val="001D7BC0"/>
    <w:rsid w:val="001E04A6"/>
    <w:rsid w:val="001E168C"/>
    <w:rsid w:val="001E1FE2"/>
    <w:rsid w:val="001E27E0"/>
    <w:rsid w:val="001E2CE6"/>
    <w:rsid w:val="001E3348"/>
    <w:rsid w:val="001E47C2"/>
    <w:rsid w:val="001E53ED"/>
    <w:rsid w:val="001E62E9"/>
    <w:rsid w:val="001E7BFB"/>
    <w:rsid w:val="001F0046"/>
    <w:rsid w:val="001F08EC"/>
    <w:rsid w:val="001F2910"/>
    <w:rsid w:val="001F2B2C"/>
    <w:rsid w:val="001F2E08"/>
    <w:rsid w:val="001F300A"/>
    <w:rsid w:val="001F4F7D"/>
    <w:rsid w:val="001F6BD8"/>
    <w:rsid w:val="001F6F78"/>
    <w:rsid w:val="001F7C5B"/>
    <w:rsid w:val="0020042A"/>
    <w:rsid w:val="00200D31"/>
    <w:rsid w:val="00201377"/>
    <w:rsid w:val="0020188D"/>
    <w:rsid w:val="00201C23"/>
    <w:rsid w:val="00202CE8"/>
    <w:rsid w:val="002038D6"/>
    <w:rsid w:val="00204847"/>
    <w:rsid w:val="00206340"/>
    <w:rsid w:val="002064C4"/>
    <w:rsid w:val="002069AD"/>
    <w:rsid w:val="00206CFD"/>
    <w:rsid w:val="00210750"/>
    <w:rsid w:val="002112FF"/>
    <w:rsid w:val="002120AA"/>
    <w:rsid w:val="00212C74"/>
    <w:rsid w:val="00212CCB"/>
    <w:rsid w:val="00215696"/>
    <w:rsid w:val="002157C0"/>
    <w:rsid w:val="002161A0"/>
    <w:rsid w:val="00217857"/>
    <w:rsid w:val="00217F16"/>
    <w:rsid w:val="002200C4"/>
    <w:rsid w:val="00220ECB"/>
    <w:rsid w:val="002214CA"/>
    <w:rsid w:val="00223C20"/>
    <w:rsid w:val="00225400"/>
    <w:rsid w:val="00226688"/>
    <w:rsid w:val="00226E8D"/>
    <w:rsid w:val="002302FD"/>
    <w:rsid w:val="00231C2F"/>
    <w:rsid w:val="00235004"/>
    <w:rsid w:val="00235352"/>
    <w:rsid w:val="00236784"/>
    <w:rsid w:val="00240FF7"/>
    <w:rsid w:val="00241294"/>
    <w:rsid w:val="002422E1"/>
    <w:rsid w:val="002426D9"/>
    <w:rsid w:val="00242A97"/>
    <w:rsid w:val="00245011"/>
    <w:rsid w:val="00245EEA"/>
    <w:rsid w:val="00246A88"/>
    <w:rsid w:val="00247C94"/>
    <w:rsid w:val="00247E2C"/>
    <w:rsid w:val="002512F6"/>
    <w:rsid w:val="002517BA"/>
    <w:rsid w:val="002529BC"/>
    <w:rsid w:val="00252D2D"/>
    <w:rsid w:val="00252F25"/>
    <w:rsid w:val="00253D6F"/>
    <w:rsid w:val="00254048"/>
    <w:rsid w:val="00256F80"/>
    <w:rsid w:val="00256FFC"/>
    <w:rsid w:val="002572C9"/>
    <w:rsid w:val="0025731A"/>
    <w:rsid w:val="0025789C"/>
    <w:rsid w:val="00260B97"/>
    <w:rsid w:val="00261DB3"/>
    <w:rsid w:val="0026274E"/>
    <w:rsid w:val="00262FFC"/>
    <w:rsid w:val="00263524"/>
    <w:rsid w:val="0026530F"/>
    <w:rsid w:val="00265777"/>
    <w:rsid w:val="00265BAA"/>
    <w:rsid w:val="00266D81"/>
    <w:rsid w:val="0027605C"/>
    <w:rsid w:val="00276C9F"/>
    <w:rsid w:val="0027777B"/>
    <w:rsid w:val="00280AEB"/>
    <w:rsid w:val="00282BCB"/>
    <w:rsid w:val="00283272"/>
    <w:rsid w:val="00290FE7"/>
    <w:rsid w:val="00291C45"/>
    <w:rsid w:val="002920FF"/>
    <w:rsid w:val="002924F2"/>
    <w:rsid w:val="00293560"/>
    <w:rsid w:val="00293624"/>
    <w:rsid w:val="0029380A"/>
    <w:rsid w:val="00294AE2"/>
    <w:rsid w:val="00297779"/>
    <w:rsid w:val="00297D3A"/>
    <w:rsid w:val="002A0A91"/>
    <w:rsid w:val="002A1076"/>
    <w:rsid w:val="002A49CF"/>
    <w:rsid w:val="002A6101"/>
    <w:rsid w:val="002A6B6F"/>
    <w:rsid w:val="002A6FA4"/>
    <w:rsid w:val="002B03D6"/>
    <w:rsid w:val="002B0873"/>
    <w:rsid w:val="002B0958"/>
    <w:rsid w:val="002B4F38"/>
    <w:rsid w:val="002B5331"/>
    <w:rsid w:val="002B6897"/>
    <w:rsid w:val="002B7EB2"/>
    <w:rsid w:val="002C083D"/>
    <w:rsid w:val="002C1814"/>
    <w:rsid w:val="002C22D7"/>
    <w:rsid w:val="002C3CC8"/>
    <w:rsid w:val="002C577C"/>
    <w:rsid w:val="002C5967"/>
    <w:rsid w:val="002C66FD"/>
    <w:rsid w:val="002C7251"/>
    <w:rsid w:val="002C762A"/>
    <w:rsid w:val="002C78CA"/>
    <w:rsid w:val="002C7D25"/>
    <w:rsid w:val="002D2043"/>
    <w:rsid w:val="002D31EC"/>
    <w:rsid w:val="002D44B5"/>
    <w:rsid w:val="002D4D3C"/>
    <w:rsid w:val="002D55FA"/>
    <w:rsid w:val="002D5692"/>
    <w:rsid w:val="002D625F"/>
    <w:rsid w:val="002D6F96"/>
    <w:rsid w:val="002D7666"/>
    <w:rsid w:val="002E14AD"/>
    <w:rsid w:val="002E2BAB"/>
    <w:rsid w:val="002E3207"/>
    <w:rsid w:val="002E3C22"/>
    <w:rsid w:val="002E4A11"/>
    <w:rsid w:val="002E5BD7"/>
    <w:rsid w:val="002E5D5A"/>
    <w:rsid w:val="002E7225"/>
    <w:rsid w:val="002E7E91"/>
    <w:rsid w:val="002F075C"/>
    <w:rsid w:val="002F085A"/>
    <w:rsid w:val="002F0DC4"/>
    <w:rsid w:val="002F27B5"/>
    <w:rsid w:val="002F575E"/>
    <w:rsid w:val="002F5888"/>
    <w:rsid w:val="002F5A59"/>
    <w:rsid w:val="002F6A70"/>
    <w:rsid w:val="002F7150"/>
    <w:rsid w:val="00300BF9"/>
    <w:rsid w:val="003019B3"/>
    <w:rsid w:val="00301E5B"/>
    <w:rsid w:val="00303055"/>
    <w:rsid w:val="00304963"/>
    <w:rsid w:val="00304D6A"/>
    <w:rsid w:val="00305A0C"/>
    <w:rsid w:val="0030722E"/>
    <w:rsid w:val="00307CE3"/>
    <w:rsid w:val="003103CE"/>
    <w:rsid w:val="00310F19"/>
    <w:rsid w:val="003138E0"/>
    <w:rsid w:val="003155A2"/>
    <w:rsid w:val="00316E00"/>
    <w:rsid w:val="00317ACD"/>
    <w:rsid w:val="00320F4D"/>
    <w:rsid w:val="00322553"/>
    <w:rsid w:val="003239D5"/>
    <w:rsid w:val="00325515"/>
    <w:rsid w:val="00325BA8"/>
    <w:rsid w:val="00326F5A"/>
    <w:rsid w:val="003310EF"/>
    <w:rsid w:val="003325F1"/>
    <w:rsid w:val="00332C9D"/>
    <w:rsid w:val="00332F48"/>
    <w:rsid w:val="00333640"/>
    <w:rsid w:val="003347A3"/>
    <w:rsid w:val="0033735A"/>
    <w:rsid w:val="003374EC"/>
    <w:rsid w:val="0033780B"/>
    <w:rsid w:val="00337D1E"/>
    <w:rsid w:val="00342C99"/>
    <w:rsid w:val="00343C0A"/>
    <w:rsid w:val="0034436E"/>
    <w:rsid w:val="003453E9"/>
    <w:rsid w:val="00345436"/>
    <w:rsid w:val="00345C0A"/>
    <w:rsid w:val="00345FBE"/>
    <w:rsid w:val="0034642F"/>
    <w:rsid w:val="0034667D"/>
    <w:rsid w:val="003466C9"/>
    <w:rsid w:val="003469C1"/>
    <w:rsid w:val="00350795"/>
    <w:rsid w:val="00351103"/>
    <w:rsid w:val="003512F2"/>
    <w:rsid w:val="0035219E"/>
    <w:rsid w:val="003533E9"/>
    <w:rsid w:val="0035347B"/>
    <w:rsid w:val="003539BF"/>
    <w:rsid w:val="00361020"/>
    <w:rsid w:val="00363529"/>
    <w:rsid w:val="00364B66"/>
    <w:rsid w:val="00365BA0"/>
    <w:rsid w:val="0037048C"/>
    <w:rsid w:val="00372524"/>
    <w:rsid w:val="0037275E"/>
    <w:rsid w:val="00372E4F"/>
    <w:rsid w:val="00373E11"/>
    <w:rsid w:val="00375C5B"/>
    <w:rsid w:val="0037664E"/>
    <w:rsid w:val="00376720"/>
    <w:rsid w:val="003779EB"/>
    <w:rsid w:val="00377B5E"/>
    <w:rsid w:val="00377F1C"/>
    <w:rsid w:val="003815D4"/>
    <w:rsid w:val="0038378F"/>
    <w:rsid w:val="00383F8A"/>
    <w:rsid w:val="00384A7E"/>
    <w:rsid w:val="00385CDD"/>
    <w:rsid w:val="00387AA5"/>
    <w:rsid w:val="00390D68"/>
    <w:rsid w:val="003913DE"/>
    <w:rsid w:val="00391AD3"/>
    <w:rsid w:val="00392AA8"/>
    <w:rsid w:val="00392B6C"/>
    <w:rsid w:val="00393849"/>
    <w:rsid w:val="003941B3"/>
    <w:rsid w:val="00396A50"/>
    <w:rsid w:val="00396C50"/>
    <w:rsid w:val="003977DA"/>
    <w:rsid w:val="00397B59"/>
    <w:rsid w:val="003A02C6"/>
    <w:rsid w:val="003A03E1"/>
    <w:rsid w:val="003A0CF4"/>
    <w:rsid w:val="003A1C9D"/>
    <w:rsid w:val="003A4D01"/>
    <w:rsid w:val="003A4DE1"/>
    <w:rsid w:val="003A5AF1"/>
    <w:rsid w:val="003A7893"/>
    <w:rsid w:val="003B01F2"/>
    <w:rsid w:val="003B0CD8"/>
    <w:rsid w:val="003B17F1"/>
    <w:rsid w:val="003B18A3"/>
    <w:rsid w:val="003B1C88"/>
    <w:rsid w:val="003B1DA8"/>
    <w:rsid w:val="003B309B"/>
    <w:rsid w:val="003B3641"/>
    <w:rsid w:val="003B3AD0"/>
    <w:rsid w:val="003B5813"/>
    <w:rsid w:val="003B6898"/>
    <w:rsid w:val="003C17A6"/>
    <w:rsid w:val="003C1C97"/>
    <w:rsid w:val="003C23C5"/>
    <w:rsid w:val="003C2C49"/>
    <w:rsid w:val="003C2F01"/>
    <w:rsid w:val="003C422A"/>
    <w:rsid w:val="003C54BA"/>
    <w:rsid w:val="003C5E2B"/>
    <w:rsid w:val="003D0119"/>
    <w:rsid w:val="003D0F7E"/>
    <w:rsid w:val="003D3D8F"/>
    <w:rsid w:val="003D4F3B"/>
    <w:rsid w:val="003D5718"/>
    <w:rsid w:val="003D6E97"/>
    <w:rsid w:val="003D753A"/>
    <w:rsid w:val="003D7ADD"/>
    <w:rsid w:val="003E0657"/>
    <w:rsid w:val="003E0A1C"/>
    <w:rsid w:val="003E12A7"/>
    <w:rsid w:val="003E207A"/>
    <w:rsid w:val="003E257F"/>
    <w:rsid w:val="003E2889"/>
    <w:rsid w:val="003E42ED"/>
    <w:rsid w:val="003E4DF8"/>
    <w:rsid w:val="003F0DE1"/>
    <w:rsid w:val="003F168B"/>
    <w:rsid w:val="003F1E49"/>
    <w:rsid w:val="003F21B0"/>
    <w:rsid w:val="003F4147"/>
    <w:rsid w:val="003F4775"/>
    <w:rsid w:val="003F48DE"/>
    <w:rsid w:val="003F4A5C"/>
    <w:rsid w:val="003F67AF"/>
    <w:rsid w:val="003F69C7"/>
    <w:rsid w:val="0040035E"/>
    <w:rsid w:val="0040052B"/>
    <w:rsid w:val="00404061"/>
    <w:rsid w:val="00405BB6"/>
    <w:rsid w:val="00406484"/>
    <w:rsid w:val="00406D1B"/>
    <w:rsid w:val="00406D83"/>
    <w:rsid w:val="00407B85"/>
    <w:rsid w:val="0041042A"/>
    <w:rsid w:val="00413B8E"/>
    <w:rsid w:val="004168E1"/>
    <w:rsid w:val="00417BD9"/>
    <w:rsid w:val="004200FB"/>
    <w:rsid w:val="00420CB2"/>
    <w:rsid w:val="00420E2F"/>
    <w:rsid w:val="00421E56"/>
    <w:rsid w:val="00422985"/>
    <w:rsid w:val="0042307F"/>
    <w:rsid w:val="004249EF"/>
    <w:rsid w:val="00427E58"/>
    <w:rsid w:val="00431561"/>
    <w:rsid w:val="004317C9"/>
    <w:rsid w:val="00431D74"/>
    <w:rsid w:val="00431DA4"/>
    <w:rsid w:val="004321EF"/>
    <w:rsid w:val="00432A37"/>
    <w:rsid w:val="00432BA8"/>
    <w:rsid w:val="00434E96"/>
    <w:rsid w:val="004369DA"/>
    <w:rsid w:val="00440A58"/>
    <w:rsid w:val="00440AD4"/>
    <w:rsid w:val="00441B10"/>
    <w:rsid w:val="00441EAC"/>
    <w:rsid w:val="00442069"/>
    <w:rsid w:val="00442736"/>
    <w:rsid w:val="0044372B"/>
    <w:rsid w:val="00444D15"/>
    <w:rsid w:val="004461D8"/>
    <w:rsid w:val="0044688A"/>
    <w:rsid w:val="00451A5B"/>
    <w:rsid w:val="00452682"/>
    <w:rsid w:val="00453C38"/>
    <w:rsid w:val="004554AE"/>
    <w:rsid w:val="004558DB"/>
    <w:rsid w:val="004562CD"/>
    <w:rsid w:val="00456D08"/>
    <w:rsid w:val="00457A2F"/>
    <w:rsid w:val="00461765"/>
    <w:rsid w:val="00463017"/>
    <w:rsid w:val="004645B1"/>
    <w:rsid w:val="00464AEB"/>
    <w:rsid w:val="0046584F"/>
    <w:rsid w:val="00465E2E"/>
    <w:rsid w:val="00467196"/>
    <w:rsid w:val="0047033A"/>
    <w:rsid w:val="00470A6F"/>
    <w:rsid w:val="00472A68"/>
    <w:rsid w:val="00473D3A"/>
    <w:rsid w:val="004744E1"/>
    <w:rsid w:val="00474D18"/>
    <w:rsid w:val="00475269"/>
    <w:rsid w:val="004757EB"/>
    <w:rsid w:val="00476131"/>
    <w:rsid w:val="0047737D"/>
    <w:rsid w:val="00480920"/>
    <w:rsid w:val="004812DF"/>
    <w:rsid w:val="00481F89"/>
    <w:rsid w:val="00485262"/>
    <w:rsid w:val="00486027"/>
    <w:rsid w:val="004865A3"/>
    <w:rsid w:val="0048752A"/>
    <w:rsid w:val="00491729"/>
    <w:rsid w:val="004918DB"/>
    <w:rsid w:val="00492054"/>
    <w:rsid w:val="0049236D"/>
    <w:rsid w:val="00492FBA"/>
    <w:rsid w:val="0049310A"/>
    <w:rsid w:val="00497CCA"/>
    <w:rsid w:val="004A08E2"/>
    <w:rsid w:val="004A1E70"/>
    <w:rsid w:val="004A4273"/>
    <w:rsid w:val="004A49B6"/>
    <w:rsid w:val="004A5406"/>
    <w:rsid w:val="004A6C13"/>
    <w:rsid w:val="004A74A0"/>
    <w:rsid w:val="004A7AB7"/>
    <w:rsid w:val="004A7AC1"/>
    <w:rsid w:val="004B12EE"/>
    <w:rsid w:val="004B1942"/>
    <w:rsid w:val="004B1E88"/>
    <w:rsid w:val="004B3B2D"/>
    <w:rsid w:val="004B3BE9"/>
    <w:rsid w:val="004B540F"/>
    <w:rsid w:val="004B5579"/>
    <w:rsid w:val="004B6224"/>
    <w:rsid w:val="004B6496"/>
    <w:rsid w:val="004C3063"/>
    <w:rsid w:val="004C4167"/>
    <w:rsid w:val="004C4175"/>
    <w:rsid w:val="004C5A0E"/>
    <w:rsid w:val="004C5C52"/>
    <w:rsid w:val="004C684C"/>
    <w:rsid w:val="004D05E2"/>
    <w:rsid w:val="004D2E91"/>
    <w:rsid w:val="004D42F8"/>
    <w:rsid w:val="004D55DC"/>
    <w:rsid w:val="004D752B"/>
    <w:rsid w:val="004E0314"/>
    <w:rsid w:val="004E1887"/>
    <w:rsid w:val="004E32E3"/>
    <w:rsid w:val="004E35F6"/>
    <w:rsid w:val="004E4105"/>
    <w:rsid w:val="004E4477"/>
    <w:rsid w:val="004E7487"/>
    <w:rsid w:val="004E7D26"/>
    <w:rsid w:val="004F01C6"/>
    <w:rsid w:val="004F06C2"/>
    <w:rsid w:val="004F144F"/>
    <w:rsid w:val="004F18A0"/>
    <w:rsid w:val="004F5743"/>
    <w:rsid w:val="004F57F3"/>
    <w:rsid w:val="004F674F"/>
    <w:rsid w:val="004F741B"/>
    <w:rsid w:val="0050012B"/>
    <w:rsid w:val="00502887"/>
    <w:rsid w:val="00503E25"/>
    <w:rsid w:val="0050413C"/>
    <w:rsid w:val="0050601E"/>
    <w:rsid w:val="005077C6"/>
    <w:rsid w:val="0050793B"/>
    <w:rsid w:val="005079EC"/>
    <w:rsid w:val="00510002"/>
    <w:rsid w:val="00510F14"/>
    <w:rsid w:val="00511068"/>
    <w:rsid w:val="00512FBF"/>
    <w:rsid w:val="00514321"/>
    <w:rsid w:val="00515F36"/>
    <w:rsid w:val="00516B9A"/>
    <w:rsid w:val="00517026"/>
    <w:rsid w:val="00517E08"/>
    <w:rsid w:val="00520F40"/>
    <w:rsid w:val="0052103D"/>
    <w:rsid w:val="00521F67"/>
    <w:rsid w:val="00522450"/>
    <w:rsid w:val="005230E5"/>
    <w:rsid w:val="00523624"/>
    <w:rsid w:val="00523F50"/>
    <w:rsid w:val="005243EC"/>
    <w:rsid w:val="00524F82"/>
    <w:rsid w:val="00525F94"/>
    <w:rsid w:val="00526978"/>
    <w:rsid w:val="00527122"/>
    <w:rsid w:val="00531722"/>
    <w:rsid w:val="005331CA"/>
    <w:rsid w:val="00533465"/>
    <w:rsid w:val="0053483A"/>
    <w:rsid w:val="00535EE4"/>
    <w:rsid w:val="00542123"/>
    <w:rsid w:val="005426AD"/>
    <w:rsid w:val="00543B6D"/>
    <w:rsid w:val="005442BC"/>
    <w:rsid w:val="00544EBF"/>
    <w:rsid w:val="005459D5"/>
    <w:rsid w:val="0054608F"/>
    <w:rsid w:val="005477B7"/>
    <w:rsid w:val="00547D97"/>
    <w:rsid w:val="00550060"/>
    <w:rsid w:val="00551029"/>
    <w:rsid w:val="00551835"/>
    <w:rsid w:val="0055311A"/>
    <w:rsid w:val="00553B6C"/>
    <w:rsid w:val="00553C71"/>
    <w:rsid w:val="00554877"/>
    <w:rsid w:val="005562F9"/>
    <w:rsid w:val="0056352A"/>
    <w:rsid w:val="00564F2B"/>
    <w:rsid w:val="005664BE"/>
    <w:rsid w:val="005669CB"/>
    <w:rsid w:val="00571ADF"/>
    <w:rsid w:val="00572AA9"/>
    <w:rsid w:val="00572E9E"/>
    <w:rsid w:val="005769BD"/>
    <w:rsid w:val="00576C7C"/>
    <w:rsid w:val="00581AE2"/>
    <w:rsid w:val="00581C8D"/>
    <w:rsid w:val="00582619"/>
    <w:rsid w:val="005827CE"/>
    <w:rsid w:val="00583086"/>
    <w:rsid w:val="00584016"/>
    <w:rsid w:val="00584673"/>
    <w:rsid w:val="00584FC2"/>
    <w:rsid w:val="0058510B"/>
    <w:rsid w:val="005858E2"/>
    <w:rsid w:val="00591092"/>
    <w:rsid w:val="00592656"/>
    <w:rsid w:val="00593737"/>
    <w:rsid w:val="00594FD0"/>
    <w:rsid w:val="005950D0"/>
    <w:rsid w:val="00595329"/>
    <w:rsid w:val="00595B95"/>
    <w:rsid w:val="00597775"/>
    <w:rsid w:val="00597EBD"/>
    <w:rsid w:val="005A0623"/>
    <w:rsid w:val="005A0F5D"/>
    <w:rsid w:val="005A1989"/>
    <w:rsid w:val="005A22D0"/>
    <w:rsid w:val="005A2499"/>
    <w:rsid w:val="005A597D"/>
    <w:rsid w:val="005A6001"/>
    <w:rsid w:val="005A722A"/>
    <w:rsid w:val="005A7426"/>
    <w:rsid w:val="005B0CAE"/>
    <w:rsid w:val="005B1D97"/>
    <w:rsid w:val="005B24B2"/>
    <w:rsid w:val="005B2B5A"/>
    <w:rsid w:val="005B30D7"/>
    <w:rsid w:val="005B3911"/>
    <w:rsid w:val="005B7906"/>
    <w:rsid w:val="005C12E3"/>
    <w:rsid w:val="005C1432"/>
    <w:rsid w:val="005C2541"/>
    <w:rsid w:val="005C41CA"/>
    <w:rsid w:val="005C4979"/>
    <w:rsid w:val="005C4A44"/>
    <w:rsid w:val="005C4F41"/>
    <w:rsid w:val="005C558D"/>
    <w:rsid w:val="005C5978"/>
    <w:rsid w:val="005C6C3C"/>
    <w:rsid w:val="005C7D70"/>
    <w:rsid w:val="005D08A8"/>
    <w:rsid w:val="005D08BC"/>
    <w:rsid w:val="005D0D87"/>
    <w:rsid w:val="005D0DF9"/>
    <w:rsid w:val="005D0F10"/>
    <w:rsid w:val="005D12E2"/>
    <w:rsid w:val="005D1E7F"/>
    <w:rsid w:val="005D5FD0"/>
    <w:rsid w:val="005D6A34"/>
    <w:rsid w:val="005E18D7"/>
    <w:rsid w:val="005E6B5D"/>
    <w:rsid w:val="005E79A0"/>
    <w:rsid w:val="005F0381"/>
    <w:rsid w:val="005F0650"/>
    <w:rsid w:val="005F1764"/>
    <w:rsid w:val="005F1A54"/>
    <w:rsid w:val="005F1B68"/>
    <w:rsid w:val="005F279A"/>
    <w:rsid w:val="005F288D"/>
    <w:rsid w:val="005F457A"/>
    <w:rsid w:val="005F589E"/>
    <w:rsid w:val="005F6066"/>
    <w:rsid w:val="005F614A"/>
    <w:rsid w:val="005F6656"/>
    <w:rsid w:val="005F7E2B"/>
    <w:rsid w:val="00600E07"/>
    <w:rsid w:val="00602EA8"/>
    <w:rsid w:val="00610BA3"/>
    <w:rsid w:val="0061343A"/>
    <w:rsid w:val="00614A00"/>
    <w:rsid w:val="00615B5B"/>
    <w:rsid w:val="00616DD9"/>
    <w:rsid w:val="0061759F"/>
    <w:rsid w:val="00617DAF"/>
    <w:rsid w:val="006204C7"/>
    <w:rsid w:val="00623397"/>
    <w:rsid w:val="00623A35"/>
    <w:rsid w:val="00623F8E"/>
    <w:rsid w:val="00624A75"/>
    <w:rsid w:val="00624D2B"/>
    <w:rsid w:val="00625D55"/>
    <w:rsid w:val="0062661B"/>
    <w:rsid w:val="00626C19"/>
    <w:rsid w:val="006312CE"/>
    <w:rsid w:val="00631F32"/>
    <w:rsid w:val="006322D6"/>
    <w:rsid w:val="0063332B"/>
    <w:rsid w:val="00633A6F"/>
    <w:rsid w:val="00635375"/>
    <w:rsid w:val="006361CA"/>
    <w:rsid w:val="00637744"/>
    <w:rsid w:val="00640931"/>
    <w:rsid w:val="00640E6D"/>
    <w:rsid w:val="00641A99"/>
    <w:rsid w:val="00644B0C"/>
    <w:rsid w:val="006504B6"/>
    <w:rsid w:val="00650F34"/>
    <w:rsid w:val="00651FEF"/>
    <w:rsid w:val="00653AEE"/>
    <w:rsid w:val="00653B6E"/>
    <w:rsid w:val="00653C17"/>
    <w:rsid w:val="006551AD"/>
    <w:rsid w:val="00655FC5"/>
    <w:rsid w:val="00657B04"/>
    <w:rsid w:val="00661F38"/>
    <w:rsid w:val="00673C0F"/>
    <w:rsid w:val="00675B20"/>
    <w:rsid w:val="00675FF0"/>
    <w:rsid w:val="00676DD9"/>
    <w:rsid w:val="006825CC"/>
    <w:rsid w:val="006828CE"/>
    <w:rsid w:val="00684300"/>
    <w:rsid w:val="00684B61"/>
    <w:rsid w:val="0068510C"/>
    <w:rsid w:val="00690476"/>
    <w:rsid w:val="006907AD"/>
    <w:rsid w:val="00693F90"/>
    <w:rsid w:val="00694896"/>
    <w:rsid w:val="0069608A"/>
    <w:rsid w:val="00696D9C"/>
    <w:rsid w:val="006977FA"/>
    <w:rsid w:val="00697F49"/>
    <w:rsid w:val="006A29A0"/>
    <w:rsid w:val="006A2EF0"/>
    <w:rsid w:val="006A360F"/>
    <w:rsid w:val="006A3CC1"/>
    <w:rsid w:val="006A62C2"/>
    <w:rsid w:val="006A7966"/>
    <w:rsid w:val="006B0679"/>
    <w:rsid w:val="006B33B7"/>
    <w:rsid w:val="006B40E1"/>
    <w:rsid w:val="006B4900"/>
    <w:rsid w:val="006B4FEF"/>
    <w:rsid w:val="006B53D8"/>
    <w:rsid w:val="006B6044"/>
    <w:rsid w:val="006B7AAE"/>
    <w:rsid w:val="006B7AEA"/>
    <w:rsid w:val="006C0D2E"/>
    <w:rsid w:val="006C2A64"/>
    <w:rsid w:val="006C2C02"/>
    <w:rsid w:val="006C488F"/>
    <w:rsid w:val="006C4CF5"/>
    <w:rsid w:val="006C573D"/>
    <w:rsid w:val="006C580C"/>
    <w:rsid w:val="006C5AE7"/>
    <w:rsid w:val="006C5F97"/>
    <w:rsid w:val="006C62C5"/>
    <w:rsid w:val="006C694A"/>
    <w:rsid w:val="006C7559"/>
    <w:rsid w:val="006D07EF"/>
    <w:rsid w:val="006D1DCF"/>
    <w:rsid w:val="006D5CB4"/>
    <w:rsid w:val="006D63B5"/>
    <w:rsid w:val="006D77AB"/>
    <w:rsid w:val="006E05A5"/>
    <w:rsid w:val="006E106A"/>
    <w:rsid w:val="006E1F85"/>
    <w:rsid w:val="006E4588"/>
    <w:rsid w:val="006E76D5"/>
    <w:rsid w:val="006E7B54"/>
    <w:rsid w:val="006F12ED"/>
    <w:rsid w:val="006F2164"/>
    <w:rsid w:val="006F4576"/>
    <w:rsid w:val="006F459F"/>
    <w:rsid w:val="006F7D51"/>
    <w:rsid w:val="00701F43"/>
    <w:rsid w:val="00701FFD"/>
    <w:rsid w:val="0070233F"/>
    <w:rsid w:val="00703B06"/>
    <w:rsid w:val="00703DFB"/>
    <w:rsid w:val="00707A99"/>
    <w:rsid w:val="007107EE"/>
    <w:rsid w:val="007111C2"/>
    <w:rsid w:val="00711662"/>
    <w:rsid w:val="007116A3"/>
    <w:rsid w:val="00711A1C"/>
    <w:rsid w:val="0071249B"/>
    <w:rsid w:val="007124BC"/>
    <w:rsid w:val="0071391A"/>
    <w:rsid w:val="00713CAF"/>
    <w:rsid w:val="00713E79"/>
    <w:rsid w:val="00714E6A"/>
    <w:rsid w:val="0071505D"/>
    <w:rsid w:val="00716ACB"/>
    <w:rsid w:val="00716EB5"/>
    <w:rsid w:val="00717F86"/>
    <w:rsid w:val="00720353"/>
    <w:rsid w:val="007206C4"/>
    <w:rsid w:val="00720F79"/>
    <w:rsid w:val="0072397E"/>
    <w:rsid w:val="00723C11"/>
    <w:rsid w:val="00724091"/>
    <w:rsid w:val="00724141"/>
    <w:rsid w:val="0072498C"/>
    <w:rsid w:val="00726F8A"/>
    <w:rsid w:val="00727A03"/>
    <w:rsid w:val="007304BD"/>
    <w:rsid w:val="00732241"/>
    <w:rsid w:val="00732BAB"/>
    <w:rsid w:val="0073327F"/>
    <w:rsid w:val="0073372D"/>
    <w:rsid w:val="00733A9A"/>
    <w:rsid w:val="007357AF"/>
    <w:rsid w:val="00735974"/>
    <w:rsid w:val="00735A77"/>
    <w:rsid w:val="00735E62"/>
    <w:rsid w:val="007374B7"/>
    <w:rsid w:val="00737618"/>
    <w:rsid w:val="00737D8F"/>
    <w:rsid w:val="00737FA5"/>
    <w:rsid w:val="00740938"/>
    <w:rsid w:val="00741EA4"/>
    <w:rsid w:val="0074252F"/>
    <w:rsid w:val="0074554C"/>
    <w:rsid w:val="0074559D"/>
    <w:rsid w:val="0074585C"/>
    <w:rsid w:val="007460C4"/>
    <w:rsid w:val="00750811"/>
    <w:rsid w:val="0075108B"/>
    <w:rsid w:val="007513ED"/>
    <w:rsid w:val="00751551"/>
    <w:rsid w:val="00753847"/>
    <w:rsid w:val="00760240"/>
    <w:rsid w:val="007611FA"/>
    <w:rsid w:val="0076272B"/>
    <w:rsid w:val="00764743"/>
    <w:rsid w:val="007665A5"/>
    <w:rsid w:val="00766F67"/>
    <w:rsid w:val="00770321"/>
    <w:rsid w:val="00770EC0"/>
    <w:rsid w:val="00772011"/>
    <w:rsid w:val="0077264D"/>
    <w:rsid w:val="00773541"/>
    <w:rsid w:val="007737EC"/>
    <w:rsid w:val="00773A17"/>
    <w:rsid w:val="00774398"/>
    <w:rsid w:val="00774914"/>
    <w:rsid w:val="00774D56"/>
    <w:rsid w:val="00775539"/>
    <w:rsid w:val="007762ED"/>
    <w:rsid w:val="007763C4"/>
    <w:rsid w:val="00776548"/>
    <w:rsid w:val="0077738A"/>
    <w:rsid w:val="00780C96"/>
    <w:rsid w:val="00780FDE"/>
    <w:rsid w:val="00783364"/>
    <w:rsid w:val="00783805"/>
    <w:rsid w:val="00783A98"/>
    <w:rsid w:val="00783D50"/>
    <w:rsid w:val="0078753C"/>
    <w:rsid w:val="00790EC8"/>
    <w:rsid w:val="00791B4A"/>
    <w:rsid w:val="00793366"/>
    <w:rsid w:val="0079429E"/>
    <w:rsid w:val="00795793"/>
    <w:rsid w:val="00795977"/>
    <w:rsid w:val="00796019"/>
    <w:rsid w:val="00796876"/>
    <w:rsid w:val="00796AF7"/>
    <w:rsid w:val="00796D76"/>
    <w:rsid w:val="0079746B"/>
    <w:rsid w:val="007A0DF0"/>
    <w:rsid w:val="007A2EDC"/>
    <w:rsid w:val="007A4ECF"/>
    <w:rsid w:val="007A6232"/>
    <w:rsid w:val="007A6C23"/>
    <w:rsid w:val="007B1489"/>
    <w:rsid w:val="007B1775"/>
    <w:rsid w:val="007B18A2"/>
    <w:rsid w:val="007B1B9B"/>
    <w:rsid w:val="007B300B"/>
    <w:rsid w:val="007B3AB2"/>
    <w:rsid w:val="007B5B79"/>
    <w:rsid w:val="007B666B"/>
    <w:rsid w:val="007B6B1F"/>
    <w:rsid w:val="007C0134"/>
    <w:rsid w:val="007C0532"/>
    <w:rsid w:val="007C1096"/>
    <w:rsid w:val="007C2C5E"/>
    <w:rsid w:val="007C42DE"/>
    <w:rsid w:val="007C4C4C"/>
    <w:rsid w:val="007C71DA"/>
    <w:rsid w:val="007C7C3E"/>
    <w:rsid w:val="007C7EA6"/>
    <w:rsid w:val="007D0EB6"/>
    <w:rsid w:val="007D1486"/>
    <w:rsid w:val="007D1A10"/>
    <w:rsid w:val="007D2ED5"/>
    <w:rsid w:val="007D4CEE"/>
    <w:rsid w:val="007D50BD"/>
    <w:rsid w:val="007D5734"/>
    <w:rsid w:val="007D622B"/>
    <w:rsid w:val="007D6AD2"/>
    <w:rsid w:val="007D76F9"/>
    <w:rsid w:val="007E02A0"/>
    <w:rsid w:val="007E0993"/>
    <w:rsid w:val="007E1433"/>
    <w:rsid w:val="007E1EBE"/>
    <w:rsid w:val="007E205D"/>
    <w:rsid w:val="007E22CA"/>
    <w:rsid w:val="007E2683"/>
    <w:rsid w:val="007E3031"/>
    <w:rsid w:val="007E33AD"/>
    <w:rsid w:val="007E58A8"/>
    <w:rsid w:val="007E59AD"/>
    <w:rsid w:val="007E66CA"/>
    <w:rsid w:val="007E6885"/>
    <w:rsid w:val="007F0235"/>
    <w:rsid w:val="007F09BF"/>
    <w:rsid w:val="007F19D7"/>
    <w:rsid w:val="007F20E1"/>
    <w:rsid w:val="007F2CDB"/>
    <w:rsid w:val="007F2E35"/>
    <w:rsid w:val="007F3C03"/>
    <w:rsid w:val="007F438D"/>
    <w:rsid w:val="007F59EB"/>
    <w:rsid w:val="007F6646"/>
    <w:rsid w:val="007F6798"/>
    <w:rsid w:val="007F6FE1"/>
    <w:rsid w:val="00802F2F"/>
    <w:rsid w:val="00803D7C"/>
    <w:rsid w:val="0080414F"/>
    <w:rsid w:val="008041EA"/>
    <w:rsid w:val="00804969"/>
    <w:rsid w:val="00805BCD"/>
    <w:rsid w:val="00806A3D"/>
    <w:rsid w:val="008073B1"/>
    <w:rsid w:val="00810280"/>
    <w:rsid w:val="00810803"/>
    <w:rsid w:val="0081299B"/>
    <w:rsid w:val="00813281"/>
    <w:rsid w:val="00814A25"/>
    <w:rsid w:val="0081565B"/>
    <w:rsid w:val="008157EB"/>
    <w:rsid w:val="00816786"/>
    <w:rsid w:val="008173C5"/>
    <w:rsid w:val="00817711"/>
    <w:rsid w:val="008179B4"/>
    <w:rsid w:val="0082043C"/>
    <w:rsid w:val="00820F49"/>
    <w:rsid w:val="0082178C"/>
    <w:rsid w:val="00822508"/>
    <w:rsid w:val="008228C4"/>
    <w:rsid w:val="00822FB3"/>
    <w:rsid w:val="00824A48"/>
    <w:rsid w:val="00825EE1"/>
    <w:rsid w:val="0082658C"/>
    <w:rsid w:val="00827A5A"/>
    <w:rsid w:val="008313AB"/>
    <w:rsid w:val="00832307"/>
    <w:rsid w:val="00832705"/>
    <w:rsid w:val="00833988"/>
    <w:rsid w:val="0083588F"/>
    <w:rsid w:val="0083594A"/>
    <w:rsid w:val="00835F9C"/>
    <w:rsid w:val="00840DB0"/>
    <w:rsid w:val="00841984"/>
    <w:rsid w:val="00841F3F"/>
    <w:rsid w:val="00842214"/>
    <w:rsid w:val="00842914"/>
    <w:rsid w:val="0084299F"/>
    <w:rsid w:val="00843D22"/>
    <w:rsid w:val="00844601"/>
    <w:rsid w:val="00851924"/>
    <w:rsid w:val="00851EEE"/>
    <w:rsid w:val="008522A3"/>
    <w:rsid w:val="00854E30"/>
    <w:rsid w:val="008560D0"/>
    <w:rsid w:val="008561AE"/>
    <w:rsid w:val="00856449"/>
    <w:rsid w:val="00856593"/>
    <w:rsid w:val="0085755B"/>
    <w:rsid w:val="00860A2A"/>
    <w:rsid w:val="00861443"/>
    <w:rsid w:val="00861824"/>
    <w:rsid w:val="008631AD"/>
    <w:rsid w:val="00863216"/>
    <w:rsid w:val="0086513C"/>
    <w:rsid w:val="00867356"/>
    <w:rsid w:val="008675D5"/>
    <w:rsid w:val="008710E0"/>
    <w:rsid w:val="008714AC"/>
    <w:rsid w:val="00871D5E"/>
    <w:rsid w:val="0087261A"/>
    <w:rsid w:val="008727BE"/>
    <w:rsid w:val="008743E5"/>
    <w:rsid w:val="00881574"/>
    <w:rsid w:val="008815B0"/>
    <w:rsid w:val="00882BB6"/>
    <w:rsid w:val="00883470"/>
    <w:rsid w:val="00883C53"/>
    <w:rsid w:val="00885CA0"/>
    <w:rsid w:val="008914EE"/>
    <w:rsid w:val="0089188F"/>
    <w:rsid w:val="00891C3E"/>
    <w:rsid w:val="00893C6E"/>
    <w:rsid w:val="00893FB0"/>
    <w:rsid w:val="008945C6"/>
    <w:rsid w:val="008962E2"/>
    <w:rsid w:val="00896ACF"/>
    <w:rsid w:val="008972D9"/>
    <w:rsid w:val="008978B7"/>
    <w:rsid w:val="00897E1E"/>
    <w:rsid w:val="008A1F60"/>
    <w:rsid w:val="008A2076"/>
    <w:rsid w:val="008B0214"/>
    <w:rsid w:val="008B06F3"/>
    <w:rsid w:val="008B086B"/>
    <w:rsid w:val="008B182D"/>
    <w:rsid w:val="008B1AC9"/>
    <w:rsid w:val="008B1DFC"/>
    <w:rsid w:val="008B1ECF"/>
    <w:rsid w:val="008B33E8"/>
    <w:rsid w:val="008B3565"/>
    <w:rsid w:val="008B53CA"/>
    <w:rsid w:val="008B62E8"/>
    <w:rsid w:val="008B6D03"/>
    <w:rsid w:val="008C0A90"/>
    <w:rsid w:val="008C1A3E"/>
    <w:rsid w:val="008C2A47"/>
    <w:rsid w:val="008C48D0"/>
    <w:rsid w:val="008C51C6"/>
    <w:rsid w:val="008C6D8C"/>
    <w:rsid w:val="008C7B21"/>
    <w:rsid w:val="008C7C31"/>
    <w:rsid w:val="008D0B0B"/>
    <w:rsid w:val="008D1415"/>
    <w:rsid w:val="008D54CF"/>
    <w:rsid w:val="008D58C9"/>
    <w:rsid w:val="008E2FD4"/>
    <w:rsid w:val="008E3697"/>
    <w:rsid w:val="008E5822"/>
    <w:rsid w:val="008E6BB5"/>
    <w:rsid w:val="008E7989"/>
    <w:rsid w:val="008F02BC"/>
    <w:rsid w:val="008F0B60"/>
    <w:rsid w:val="008F1912"/>
    <w:rsid w:val="008F2269"/>
    <w:rsid w:val="008F26FD"/>
    <w:rsid w:val="008F3698"/>
    <w:rsid w:val="008F396B"/>
    <w:rsid w:val="008F4606"/>
    <w:rsid w:val="008F4E43"/>
    <w:rsid w:val="008F7A9B"/>
    <w:rsid w:val="00900393"/>
    <w:rsid w:val="009039A4"/>
    <w:rsid w:val="009056E0"/>
    <w:rsid w:val="0090603D"/>
    <w:rsid w:val="0090618E"/>
    <w:rsid w:val="009071AB"/>
    <w:rsid w:val="00907CA2"/>
    <w:rsid w:val="009114A8"/>
    <w:rsid w:val="00911DC4"/>
    <w:rsid w:val="00912762"/>
    <w:rsid w:val="00913B95"/>
    <w:rsid w:val="00915A99"/>
    <w:rsid w:val="00916A2F"/>
    <w:rsid w:val="00917E03"/>
    <w:rsid w:val="009201DC"/>
    <w:rsid w:val="0092190E"/>
    <w:rsid w:val="009231EB"/>
    <w:rsid w:val="00924071"/>
    <w:rsid w:val="0092487B"/>
    <w:rsid w:val="00925298"/>
    <w:rsid w:val="00926D96"/>
    <w:rsid w:val="00927473"/>
    <w:rsid w:val="00927E5E"/>
    <w:rsid w:val="00930994"/>
    <w:rsid w:val="009323C1"/>
    <w:rsid w:val="00932E57"/>
    <w:rsid w:val="009339A4"/>
    <w:rsid w:val="00933EF5"/>
    <w:rsid w:val="0093496B"/>
    <w:rsid w:val="00935999"/>
    <w:rsid w:val="00935A90"/>
    <w:rsid w:val="0094054F"/>
    <w:rsid w:val="00940D39"/>
    <w:rsid w:val="00942444"/>
    <w:rsid w:val="009433EC"/>
    <w:rsid w:val="00945265"/>
    <w:rsid w:val="0094588B"/>
    <w:rsid w:val="00950BD7"/>
    <w:rsid w:val="0095118C"/>
    <w:rsid w:val="00953E7F"/>
    <w:rsid w:val="00954CA1"/>
    <w:rsid w:val="0095508E"/>
    <w:rsid w:val="0096060C"/>
    <w:rsid w:val="00960E0B"/>
    <w:rsid w:val="00960F9A"/>
    <w:rsid w:val="00961B82"/>
    <w:rsid w:val="00964552"/>
    <w:rsid w:val="00970509"/>
    <w:rsid w:val="00970899"/>
    <w:rsid w:val="00970C78"/>
    <w:rsid w:val="00972955"/>
    <w:rsid w:val="00973BEE"/>
    <w:rsid w:val="00975B4B"/>
    <w:rsid w:val="00976810"/>
    <w:rsid w:val="009804B6"/>
    <w:rsid w:val="00980985"/>
    <w:rsid w:val="00981C8B"/>
    <w:rsid w:val="00981F64"/>
    <w:rsid w:val="009855C4"/>
    <w:rsid w:val="00985974"/>
    <w:rsid w:val="009864F1"/>
    <w:rsid w:val="0098697A"/>
    <w:rsid w:val="009871FA"/>
    <w:rsid w:val="009900F0"/>
    <w:rsid w:val="009905B3"/>
    <w:rsid w:val="00991E5A"/>
    <w:rsid w:val="00992347"/>
    <w:rsid w:val="009927D7"/>
    <w:rsid w:val="00993F1A"/>
    <w:rsid w:val="009946A4"/>
    <w:rsid w:val="0099559B"/>
    <w:rsid w:val="009959ED"/>
    <w:rsid w:val="00995E1C"/>
    <w:rsid w:val="00996CBD"/>
    <w:rsid w:val="009A040A"/>
    <w:rsid w:val="009A177D"/>
    <w:rsid w:val="009A2851"/>
    <w:rsid w:val="009A2E6E"/>
    <w:rsid w:val="009A3903"/>
    <w:rsid w:val="009A3D1C"/>
    <w:rsid w:val="009A6309"/>
    <w:rsid w:val="009A6BF5"/>
    <w:rsid w:val="009A7E78"/>
    <w:rsid w:val="009B039F"/>
    <w:rsid w:val="009B1365"/>
    <w:rsid w:val="009B458A"/>
    <w:rsid w:val="009B5D55"/>
    <w:rsid w:val="009B7B64"/>
    <w:rsid w:val="009C00D5"/>
    <w:rsid w:val="009C025D"/>
    <w:rsid w:val="009C0AAB"/>
    <w:rsid w:val="009C0B9C"/>
    <w:rsid w:val="009C0FE0"/>
    <w:rsid w:val="009C2114"/>
    <w:rsid w:val="009C2308"/>
    <w:rsid w:val="009C2F1B"/>
    <w:rsid w:val="009C4DB2"/>
    <w:rsid w:val="009C6724"/>
    <w:rsid w:val="009C7E80"/>
    <w:rsid w:val="009D0842"/>
    <w:rsid w:val="009D111D"/>
    <w:rsid w:val="009D1687"/>
    <w:rsid w:val="009D22F7"/>
    <w:rsid w:val="009D2863"/>
    <w:rsid w:val="009D2F64"/>
    <w:rsid w:val="009D3268"/>
    <w:rsid w:val="009D3CF4"/>
    <w:rsid w:val="009D692D"/>
    <w:rsid w:val="009D6E4F"/>
    <w:rsid w:val="009E0F7C"/>
    <w:rsid w:val="009E16A1"/>
    <w:rsid w:val="009E20B0"/>
    <w:rsid w:val="009E42EB"/>
    <w:rsid w:val="009E5EF5"/>
    <w:rsid w:val="009E6058"/>
    <w:rsid w:val="009E73DC"/>
    <w:rsid w:val="009E7BC7"/>
    <w:rsid w:val="009F06CD"/>
    <w:rsid w:val="009F3DCF"/>
    <w:rsid w:val="009F3FA8"/>
    <w:rsid w:val="009F4950"/>
    <w:rsid w:val="009F648E"/>
    <w:rsid w:val="009F7F7A"/>
    <w:rsid w:val="00A0096B"/>
    <w:rsid w:val="00A01E89"/>
    <w:rsid w:val="00A02E04"/>
    <w:rsid w:val="00A03887"/>
    <w:rsid w:val="00A038C7"/>
    <w:rsid w:val="00A03AF3"/>
    <w:rsid w:val="00A065E6"/>
    <w:rsid w:val="00A06EB0"/>
    <w:rsid w:val="00A07149"/>
    <w:rsid w:val="00A11269"/>
    <w:rsid w:val="00A12627"/>
    <w:rsid w:val="00A12DDC"/>
    <w:rsid w:val="00A13100"/>
    <w:rsid w:val="00A142A2"/>
    <w:rsid w:val="00A161E3"/>
    <w:rsid w:val="00A20095"/>
    <w:rsid w:val="00A20C8F"/>
    <w:rsid w:val="00A21E92"/>
    <w:rsid w:val="00A244E7"/>
    <w:rsid w:val="00A2456A"/>
    <w:rsid w:val="00A24CAB"/>
    <w:rsid w:val="00A25E6C"/>
    <w:rsid w:val="00A2789E"/>
    <w:rsid w:val="00A3030E"/>
    <w:rsid w:val="00A30E4E"/>
    <w:rsid w:val="00A30F5D"/>
    <w:rsid w:val="00A31058"/>
    <w:rsid w:val="00A3184E"/>
    <w:rsid w:val="00A31BAD"/>
    <w:rsid w:val="00A371A7"/>
    <w:rsid w:val="00A3751B"/>
    <w:rsid w:val="00A3772F"/>
    <w:rsid w:val="00A4063E"/>
    <w:rsid w:val="00A40B7F"/>
    <w:rsid w:val="00A4122B"/>
    <w:rsid w:val="00A416D0"/>
    <w:rsid w:val="00A42167"/>
    <w:rsid w:val="00A42182"/>
    <w:rsid w:val="00A436BB"/>
    <w:rsid w:val="00A45A93"/>
    <w:rsid w:val="00A470B4"/>
    <w:rsid w:val="00A504C7"/>
    <w:rsid w:val="00A50CF4"/>
    <w:rsid w:val="00A5134F"/>
    <w:rsid w:val="00A516E5"/>
    <w:rsid w:val="00A51DE7"/>
    <w:rsid w:val="00A522C5"/>
    <w:rsid w:val="00A55602"/>
    <w:rsid w:val="00A568E5"/>
    <w:rsid w:val="00A56ADB"/>
    <w:rsid w:val="00A571CB"/>
    <w:rsid w:val="00A6036D"/>
    <w:rsid w:val="00A607FB"/>
    <w:rsid w:val="00A6177F"/>
    <w:rsid w:val="00A62036"/>
    <w:rsid w:val="00A625BC"/>
    <w:rsid w:val="00A62C5E"/>
    <w:rsid w:val="00A65BCC"/>
    <w:rsid w:val="00A6633D"/>
    <w:rsid w:val="00A67602"/>
    <w:rsid w:val="00A70C08"/>
    <w:rsid w:val="00A72BA4"/>
    <w:rsid w:val="00A73160"/>
    <w:rsid w:val="00A74054"/>
    <w:rsid w:val="00A74C1F"/>
    <w:rsid w:val="00A76CF8"/>
    <w:rsid w:val="00A770D1"/>
    <w:rsid w:val="00A77B1A"/>
    <w:rsid w:val="00A77D28"/>
    <w:rsid w:val="00A81F65"/>
    <w:rsid w:val="00A831C0"/>
    <w:rsid w:val="00A837F3"/>
    <w:rsid w:val="00A83CED"/>
    <w:rsid w:val="00A8406C"/>
    <w:rsid w:val="00A848F6"/>
    <w:rsid w:val="00A859FB"/>
    <w:rsid w:val="00A85AFF"/>
    <w:rsid w:val="00A87A1C"/>
    <w:rsid w:val="00A91259"/>
    <w:rsid w:val="00A91B4C"/>
    <w:rsid w:val="00A9424C"/>
    <w:rsid w:val="00A964B4"/>
    <w:rsid w:val="00A973AE"/>
    <w:rsid w:val="00A97410"/>
    <w:rsid w:val="00A97B0B"/>
    <w:rsid w:val="00AA008A"/>
    <w:rsid w:val="00AA101E"/>
    <w:rsid w:val="00AA1F1D"/>
    <w:rsid w:val="00AA35C7"/>
    <w:rsid w:val="00AA3EE4"/>
    <w:rsid w:val="00AA4606"/>
    <w:rsid w:val="00AA4CB4"/>
    <w:rsid w:val="00AA506E"/>
    <w:rsid w:val="00AA5712"/>
    <w:rsid w:val="00AA70EB"/>
    <w:rsid w:val="00AB26C1"/>
    <w:rsid w:val="00AB29CC"/>
    <w:rsid w:val="00AB2CD1"/>
    <w:rsid w:val="00AB3C53"/>
    <w:rsid w:val="00AB46D4"/>
    <w:rsid w:val="00AB4A79"/>
    <w:rsid w:val="00AB53F8"/>
    <w:rsid w:val="00AB6486"/>
    <w:rsid w:val="00AB7477"/>
    <w:rsid w:val="00AB778E"/>
    <w:rsid w:val="00AB7953"/>
    <w:rsid w:val="00AC1F94"/>
    <w:rsid w:val="00AC357E"/>
    <w:rsid w:val="00AC674B"/>
    <w:rsid w:val="00AD1CF2"/>
    <w:rsid w:val="00AD2789"/>
    <w:rsid w:val="00AD5692"/>
    <w:rsid w:val="00AD56FB"/>
    <w:rsid w:val="00AD66B0"/>
    <w:rsid w:val="00AE0586"/>
    <w:rsid w:val="00AE0B10"/>
    <w:rsid w:val="00AE10D8"/>
    <w:rsid w:val="00AE147C"/>
    <w:rsid w:val="00AE1507"/>
    <w:rsid w:val="00AE1982"/>
    <w:rsid w:val="00AE1FDE"/>
    <w:rsid w:val="00AE2D9B"/>
    <w:rsid w:val="00AE2EF9"/>
    <w:rsid w:val="00AE328C"/>
    <w:rsid w:val="00AE37B3"/>
    <w:rsid w:val="00AE4D51"/>
    <w:rsid w:val="00AE5B9E"/>
    <w:rsid w:val="00AE63B9"/>
    <w:rsid w:val="00AE6C0A"/>
    <w:rsid w:val="00AE733F"/>
    <w:rsid w:val="00AE76B3"/>
    <w:rsid w:val="00AF0ECE"/>
    <w:rsid w:val="00AF27EE"/>
    <w:rsid w:val="00AF2A5A"/>
    <w:rsid w:val="00AF3744"/>
    <w:rsid w:val="00AF4132"/>
    <w:rsid w:val="00AF4A24"/>
    <w:rsid w:val="00AF6544"/>
    <w:rsid w:val="00AF65D5"/>
    <w:rsid w:val="00AF7923"/>
    <w:rsid w:val="00B004B6"/>
    <w:rsid w:val="00B00BFB"/>
    <w:rsid w:val="00B0164A"/>
    <w:rsid w:val="00B01FDB"/>
    <w:rsid w:val="00B03490"/>
    <w:rsid w:val="00B06FDA"/>
    <w:rsid w:val="00B07377"/>
    <w:rsid w:val="00B07742"/>
    <w:rsid w:val="00B10AD9"/>
    <w:rsid w:val="00B129E7"/>
    <w:rsid w:val="00B13673"/>
    <w:rsid w:val="00B14FE6"/>
    <w:rsid w:val="00B151D6"/>
    <w:rsid w:val="00B1533D"/>
    <w:rsid w:val="00B15390"/>
    <w:rsid w:val="00B16304"/>
    <w:rsid w:val="00B16586"/>
    <w:rsid w:val="00B16843"/>
    <w:rsid w:val="00B16DD1"/>
    <w:rsid w:val="00B20933"/>
    <w:rsid w:val="00B21347"/>
    <w:rsid w:val="00B22FBF"/>
    <w:rsid w:val="00B2335D"/>
    <w:rsid w:val="00B249A6"/>
    <w:rsid w:val="00B24E6D"/>
    <w:rsid w:val="00B2504A"/>
    <w:rsid w:val="00B25404"/>
    <w:rsid w:val="00B25E9F"/>
    <w:rsid w:val="00B27173"/>
    <w:rsid w:val="00B27389"/>
    <w:rsid w:val="00B314C9"/>
    <w:rsid w:val="00B31E24"/>
    <w:rsid w:val="00B323F9"/>
    <w:rsid w:val="00B33682"/>
    <w:rsid w:val="00B34777"/>
    <w:rsid w:val="00B34EC9"/>
    <w:rsid w:val="00B3683A"/>
    <w:rsid w:val="00B37791"/>
    <w:rsid w:val="00B40151"/>
    <w:rsid w:val="00B410F9"/>
    <w:rsid w:val="00B419FB"/>
    <w:rsid w:val="00B421B0"/>
    <w:rsid w:val="00B42D26"/>
    <w:rsid w:val="00B43733"/>
    <w:rsid w:val="00B43790"/>
    <w:rsid w:val="00B437B5"/>
    <w:rsid w:val="00B43837"/>
    <w:rsid w:val="00B43C36"/>
    <w:rsid w:val="00B44040"/>
    <w:rsid w:val="00B44196"/>
    <w:rsid w:val="00B4429D"/>
    <w:rsid w:val="00B4530C"/>
    <w:rsid w:val="00B454D4"/>
    <w:rsid w:val="00B47772"/>
    <w:rsid w:val="00B47C17"/>
    <w:rsid w:val="00B50E85"/>
    <w:rsid w:val="00B52294"/>
    <w:rsid w:val="00B52BD1"/>
    <w:rsid w:val="00B5392C"/>
    <w:rsid w:val="00B53CB7"/>
    <w:rsid w:val="00B53D56"/>
    <w:rsid w:val="00B54D72"/>
    <w:rsid w:val="00B55AFD"/>
    <w:rsid w:val="00B56981"/>
    <w:rsid w:val="00B57F06"/>
    <w:rsid w:val="00B6013A"/>
    <w:rsid w:val="00B6102A"/>
    <w:rsid w:val="00B63B42"/>
    <w:rsid w:val="00B65D6D"/>
    <w:rsid w:val="00B66693"/>
    <w:rsid w:val="00B67F03"/>
    <w:rsid w:val="00B711C2"/>
    <w:rsid w:val="00B716B5"/>
    <w:rsid w:val="00B72D05"/>
    <w:rsid w:val="00B735E2"/>
    <w:rsid w:val="00B73AE5"/>
    <w:rsid w:val="00B7636B"/>
    <w:rsid w:val="00B76CC4"/>
    <w:rsid w:val="00B76D13"/>
    <w:rsid w:val="00B771EB"/>
    <w:rsid w:val="00B77C3A"/>
    <w:rsid w:val="00B77E78"/>
    <w:rsid w:val="00B80416"/>
    <w:rsid w:val="00B807D6"/>
    <w:rsid w:val="00B82867"/>
    <w:rsid w:val="00B85D61"/>
    <w:rsid w:val="00B85FFD"/>
    <w:rsid w:val="00B87E8A"/>
    <w:rsid w:val="00B908AF"/>
    <w:rsid w:val="00B90D78"/>
    <w:rsid w:val="00B90EC9"/>
    <w:rsid w:val="00B95794"/>
    <w:rsid w:val="00B95E31"/>
    <w:rsid w:val="00B96486"/>
    <w:rsid w:val="00B9675E"/>
    <w:rsid w:val="00B97C4C"/>
    <w:rsid w:val="00BA0D5C"/>
    <w:rsid w:val="00BA3276"/>
    <w:rsid w:val="00BA3533"/>
    <w:rsid w:val="00BA4DCA"/>
    <w:rsid w:val="00BA56BE"/>
    <w:rsid w:val="00BB2546"/>
    <w:rsid w:val="00BB40D5"/>
    <w:rsid w:val="00BB54E3"/>
    <w:rsid w:val="00BB5A3C"/>
    <w:rsid w:val="00BC02C2"/>
    <w:rsid w:val="00BC0313"/>
    <w:rsid w:val="00BC203A"/>
    <w:rsid w:val="00BC2FBA"/>
    <w:rsid w:val="00BC342F"/>
    <w:rsid w:val="00BC387B"/>
    <w:rsid w:val="00BC3C00"/>
    <w:rsid w:val="00BC5607"/>
    <w:rsid w:val="00BC683F"/>
    <w:rsid w:val="00BC7BC4"/>
    <w:rsid w:val="00BD004E"/>
    <w:rsid w:val="00BD06F8"/>
    <w:rsid w:val="00BD31EA"/>
    <w:rsid w:val="00BD5209"/>
    <w:rsid w:val="00BD623C"/>
    <w:rsid w:val="00BE15A2"/>
    <w:rsid w:val="00BE15FE"/>
    <w:rsid w:val="00BE3B75"/>
    <w:rsid w:val="00BE3F9E"/>
    <w:rsid w:val="00BE54E8"/>
    <w:rsid w:val="00BE5826"/>
    <w:rsid w:val="00BF0AD4"/>
    <w:rsid w:val="00BF11D8"/>
    <w:rsid w:val="00BF2A6A"/>
    <w:rsid w:val="00BF2B8C"/>
    <w:rsid w:val="00BF2CAA"/>
    <w:rsid w:val="00BF5196"/>
    <w:rsid w:val="00BF6517"/>
    <w:rsid w:val="00BF6C4E"/>
    <w:rsid w:val="00C003CD"/>
    <w:rsid w:val="00C008D4"/>
    <w:rsid w:val="00C016C0"/>
    <w:rsid w:val="00C01DC6"/>
    <w:rsid w:val="00C030D5"/>
    <w:rsid w:val="00C03518"/>
    <w:rsid w:val="00C03FF1"/>
    <w:rsid w:val="00C04953"/>
    <w:rsid w:val="00C04BCB"/>
    <w:rsid w:val="00C10D57"/>
    <w:rsid w:val="00C114EC"/>
    <w:rsid w:val="00C11CCF"/>
    <w:rsid w:val="00C12020"/>
    <w:rsid w:val="00C1274F"/>
    <w:rsid w:val="00C14294"/>
    <w:rsid w:val="00C14FC7"/>
    <w:rsid w:val="00C15318"/>
    <w:rsid w:val="00C16356"/>
    <w:rsid w:val="00C16A25"/>
    <w:rsid w:val="00C16EAA"/>
    <w:rsid w:val="00C20659"/>
    <w:rsid w:val="00C24155"/>
    <w:rsid w:val="00C2460E"/>
    <w:rsid w:val="00C24996"/>
    <w:rsid w:val="00C26115"/>
    <w:rsid w:val="00C3594E"/>
    <w:rsid w:val="00C35A2C"/>
    <w:rsid w:val="00C36167"/>
    <w:rsid w:val="00C362AC"/>
    <w:rsid w:val="00C36FBF"/>
    <w:rsid w:val="00C4035E"/>
    <w:rsid w:val="00C41390"/>
    <w:rsid w:val="00C41774"/>
    <w:rsid w:val="00C44D76"/>
    <w:rsid w:val="00C4570A"/>
    <w:rsid w:val="00C45AA6"/>
    <w:rsid w:val="00C45CB8"/>
    <w:rsid w:val="00C50A1D"/>
    <w:rsid w:val="00C50F4C"/>
    <w:rsid w:val="00C51729"/>
    <w:rsid w:val="00C5347A"/>
    <w:rsid w:val="00C54B92"/>
    <w:rsid w:val="00C554BC"/>
    <w:rsid w:val="00C600C1"/>
    <w:rsid w:val="00C61BA7"/>
    <w:rsid w:val="00C61C78"/>
    <w:rsid w:val="00C61FF8"/>
    <w:rsid w:val="00C627BE"/>
    <w:rsid w:val="00C63376"/>
    <w:rsid w:val="00C67382"/>
    <w:rsid w:val="00C67D69"/>
    <w:rsid w:val="00C7211F"/>
    <w:rsid w:val="00C7282B"/>
    <w:rsid w:val="00C74E11"/>
    <w:rsid w:val="00C750D4"/>
    <w:rsid w:val="00C7513A"/>
    <w:rsid w:val="00C75A7E"/>
    <w:rsid w:val="00C761BA"/>
    <w:rsid w:val="00C76AAF"/>
    <w:rsid w:val="00C77A2B"/>
    <w:rsid w:val="00C77D7C"/>
    <w:rsid w:val="00C813BA"/>
    <w:rsid w:val="00C8180B"/>
    <w:rsid w:val="00C82602"/>
    <w:rsid w:val="00C8386F"/>
    <w:rsid w:val="00C85AD2"/>
    <w:rsid w:val="00C85BAA"/>
    <w:rsid w:val="00C86839"/>
    <w:rsid w:val="00C87B9A"/>
    <w:rsid w:val="00C87C0F"/>
    <w:rsid w:val="00C90502"/>
    <w:rsid w:val="00C92DF3"/>
    <w:rsid w:val="00C932F3"/>
    <w:rsid w:val="00C949EA"/>
    <w:rsid w:val="00C969FE"/>
    <w:rsid w:val="00CA0A82"/>
    <w:rsid w:val="00CA16BA"/>
    <w:rsid w:val="00CA1CCC"/>
    <w:rsid w:val="00CA4724"/>
    <w:rsid w:val="00CA66CE"/>
    <w:rsid w:val="00CA6B7B"/>
    <w:rsid w:val="00CB0377"/>
    <w:rsid w:val="00CB3421"/>
    <w:rsid w:val="00CB53D0"/>
    <w:rsid w:val="00CB5E2B"/>
    <w:rsid w:val="00CB6542"/>
    <w:rsid w:val="00CB674D"/>
    <w:rsid w:val="00CC287C"/>
    <w:rsid w:val="00CC5319"/>
    <w:rsid w:val="00CC5A1E"/>
    <w:rsid w:val="00CC618C"/>
    <w:rsid w:val="00CC6349"/>
    <w:rsid w:val="00CC6995"/>
    <w:rsid w:val="00CC7DCE"/>
    <w:rsid w:val="00CD08AD"/>
    <w:rsid w:val="00CD0BB8"/>
    <w:rsid w:val="00CD2092"/>
    <w:rsid w:val="00CD3C19"/>
    <w:rsid w:val="00CD4170"/>
    <w:rsid w:val="00CD5A34"/>
    <w:rsid w:val="00CE01A7"/>
    <w:rsid w:val="00CE09E5"/>
    <w:rsid w:val="00CE2615"/>
    <w:rsid w:val="00CE3851"/>
    <w:rsid w:val="00CE38D0"/>
    <w:rsid w:val="00CE4C1C"/>
    <w:rsid w:val="00CE61CC"/>
    <w:rsid w:val="00CE6834"/>
    <w:rsid w:val="00CE794F"/>
    <w:rsid w:val="00CE7DB4"/>
    <w:rsid w:val="00CF54A3"/>
    <w:rsid w:val="00CF615B"/>
    <w:rsid w:val="00CF6382"/>
    <w:rsid w:val="00CF6816"/>
    <w:rsid w:val="00CF6F76"/>
    <w:rsid w:val="00D008EA"/>
    <w:rsid w:val="00D01A9F"/>
    <w:rsid w:val="00D02951"/>
    <w:rsid w:val="00D03906"/>
    <w:rsid w:val="00D03AD6"/>
    <w:rsid w:val="00D03CAC"/>
    <w:rsid w:val="00D03D90"/>
    <w:rsid w:val="00D043B5"/>
    <w:rsid w:val="00D04AAE"/>
    <w:rsid w:val="00D0645E"/>
    <w:rsid w:val="00D07CA8"/>
    <w:rsid w:val="00D106FF"/>
    <w:rsid w:val="00D117F3"/>
    <w:rsid w:val="00D11E7C"/>
    <w:rsid w:val="00D1264E"/>
    <w:rsid w:val="00D126AB"/>
    <w:rsid w:val="00D12DEC"/>
    <w:rsid w:val="00D13936"/>
    <w:rsid w:val="00D1430E"/>
    <w:rsid w:val="00D14787"/>
    <w:rsid w:val="00D149DD"/>
    <w:rsid w:val="00D1763A"/>
    <w:rsid w:val="00D17F18"/>
    <w:rsid w:val="00D203C3"/>
    <w:rsid w:val="00D20FA8"/>
    <w:rsid w:val="00D2103A"/>
    <w:rsid w:val="00D21694"/>
    <w:rsid w:val="00D21891"/>
    <w:rsid w:val="00D22696"/>
    <w:rsid w:val="00D250C0"/>
    <w:rsid w:val="00D25570"/>
    <w:rsid w:val="00D2565D"/>
    <w:rsid w:val="00D26A88"/>
    <w:rsid w:val="00D26EF7"/>
    <w:rsid w:val="00D272E9"/>
    <w:rsid w:val="00D27DC0"/>
    <w:rsid w:val="00D31821"/>
    <w:rsid w:val="00D319C5"/>
    <w:rsid w:val="00D31E1E"/>
    <w:rsid w:val="00D323EA"/>
    <w:rsid w:val="00D33221"/>
    <w:rsid w:val="00D3371F"/>
    <w:rsid w:val="00D346BE"/>
    <w:rsid w:val="00D35E55"/>
    <w:rsid w:val="00D36C84"/>
    <w:rsid w:val="00D36E66"/>
    <w:rsid w:val="00D37AFC"/>
    <w:rsid w:val="00D37BEA"/>
    <w:rsid w:val="00D37E85"/>
    <w:rsid w:val="00D40B22"/>
    <w:rsid w:val="00D40C92"/>
    <w:rsid w:val="00D40D59"/>
    <w:rsid w:val="00D410D4"/>
    <w:rsid w:val="00D42AF0"/>
    <w:rsid w:val="00D4338A"/>
    <w:rsid w:val="00D44442"/>
    <w:rsid w:val="00D444EC"/>
    <w:rsid w:val="00D46368"/>
    <w:rsid w:val="00D46678"/>
    <w:rsid w:val="00D476B6"/>
    <w:rsid w:val="00D5116D"/>
    <w:rsid w:val="00D5118A"/>
    <w:rsid w:val="00D5183D"/>
    <w:rsid w:val="00D51934"/>
    <w:rsid w:val="00D51BCD"/>
    <w:rsid w:val="00D51F18"/>
    <w:rsid w:val="00D52384"/>
    <w:rsid w:val="00D52638"/>
    <w:rsid w:val="00D53F1C"/>
    <w:rsid w:val="00D56AD6"/>
    <w:rsid w:val="00D62272"/>
    <w:rsid w:val="00D622A7"/>
    <w:rsid w:val="00D623EB"/>
    <w:rsid w:val="00D63AEB"/>
    <w:rsid w:val="00D64144"/>
    <w:rsid w:val="00D65934"/>
    <w:rsid w:val="00D65D0A"/>
    <w:rsid w:val="00D66A5E"/>
    <w:rsid w:val="00D711D6"/>
    <w:rsid w:val="00D728B0"/>
    <w:rsid w:val="00D72A12"/>
    <w:rsid w:val="00D7650C"/>
    <w:rsid w:val="00D7742E"/>
    <w:rsid w:val="00D81B73"/>
    <w:rsid w:val="00D821EA"/>
    <w:rsid w:val="00D843A1"/>
    <w:rsid w:val="00D86005"/>
    <w:rsid w:val="00D87591"/>
    <w:rsid w:val="00D94292"/>
    <w:rsid w:val="00D967EE"/>
    <w:rsid w:val="00D97515"/>
    <w:rsid w:val="00DA10B2"/>
    <w:rsid w:val="00DA16E4"/>
    <w:rsid w:val="00DA2087"/>
    <w:rsid w:val="00DA36F6"/>
    <w:rsid w:val="00DA409F"/>
    <w:rsid w:val="00DA457A"/>
    <w:rsid w:val="00DB0E51"/>
    <w:rsid w:val="00DB2FD6"/>
    <w:rsid w:val="00DB592C"/>
    <w:rsid w:val="00DB5D1E"/>
    <w:rsid w:val="00DB6F00"/>
    <w:rsid w:val="00DB7827"/>
    <w:rsid w:val="00DC13B1"/>
    <w:rsid w:val="00DC163F"/>
    <w:rsid w:val="00DC1F04"/>
    <w:rsid w:val="00DC3872"/>
    <w:rsid w:val="00DC77CF"/>
    <w:rsid w:val="00DD0E2C"/>
    <w:rsid w:val="00DD1395"/>
    <w:rsid w:val="00DD246D"/>
    <w:rsid w:val="00DD2F46"/>
    <w:rsid w:val="00DD4935"/>
    <w:rsid w:val="00DD586D"/>
    <w:rsid w:val="00DD6A83"/>
    <w:rsid w:val="00DE0083"/>
    <w:rsid w:val="00DE02AA"/>
    <w:rsid w:val="00DE1552"/>
    <w:rsid w:val="00DE1B0D"/>
    <w:rsid w:val="00DE21D9"/>
    <w:rsid w:val="00DE2A0D"/>
    <w:rsid w:val="00DE2CC4"/>
    <w:rsid w:val="00DE2D80"/>
    <w:rsid w:val="00DE4E05"/>
    <w:rsid w:val="00DE505A"/>
    <w:rsid w:val="00DE5333"/>
    <w:rsid w:val="00DE705E"/>
    <w:rsid w:val="00DE70BA"/>
    <w:rsid w:val="00DE720B"/>
    <w:rsid w:val="00DE77DF"/>
    <w:rsid w:val="00DF0C2D"/>
    <w:rsid w:val="00DF1F53"/>
    <w:rsid w:val="00DF3B96"/>
    <w:rsid w:val="00DF7C4F"/>
    <w:rsid w:val="00E03CFF"/>
    <w:rsid w:val="00E04C5E"/>
    <w:rsid w:val="00E062B2"/>
    <w:rsid w:val="00E12B66"/>
    <w:rsid w:val="00E13384"/>
    <w:rsid w:val="00E139C0"/>
    <w:rsid w:val="00E1469E"/>
    <w:rsid w:val="00E16413"/>
    <w:rsid w:val="00E17AB4"/>
    <w:rsid w:val="00E17CBF"/>
    <w:rsid w:val="00E206E8"/>
    <w:rsid w:val="00E21FB0"/>
    <w:rsid w:val="00E228DE"/>
    <w:rsid w:val="00E22CB1"/>
    <w:rsid w:val="00E23623"/>
    <w:rsid w:val="00E24699"/>
    <w:rsid w:val="00E253CE"/>
    <w:rsid w:val="00E25A5D"/>
    <w:rsid w:val="00E2771F"/>
    <w:rsid w:val="00E27934"/>
    <w:rsid w:val="00E3295F"/>
    <w:rsid w:val="00E32C8E"/>
    <w:rsid w:val="00E32F1D"/>
    <w:rsid w:val="00E34650"/>
    <w:rsid w:val="00E35017"/>
    <w:rsid w:val="00E352FE"/>
    <w:rsid w:val="00E3542F"/>
    <w:rsid w:val="00E35551"/>
    <w:rsid w:val="00E4070F"/>
    <w:rsid w:val="00E42186"/>
    <w:rsid w:val="00E4236A"/>
    <w:rsid w:val="00E42A8E"/>
    <w:rsid w:val="00E42F3C"/>
    <w:rsid w:val="00E4336C"/>
    <w:rsid w:val="00E436A9"/>
    <w:rsid w:val="00E43B97"/>
    <w:rsid w:val="00E45D34"/>
    <w:rsid w:val="00E4672B"/>
    <w:rsid w:val="00E4672D"/>
    <w:rsid w:val="00E47186"/>
    <w:rsid w:val="00E474AC"/>
    <w:rsid w:val="00E52AE6"/>
    <w:rsid w:val="00E52F18"/>
    <w:rsid w:val="00E53DFA"/>
    <w:rsid w:val="00E5571C"/>
    <w:rsid w:val="00E55E81"/>
    <w:rsid w:val="00E56D5B"/>
    <w:rsid w:val="00E5752F"/>
    <w:rsid w:val="00E61D14"/>
    <w:rsid w:val="00E6219D"/>
    <w:rsid w:val="00E623D2"/>
    <w:rsid w:val="00E63B55"/>
    <w:rsid w:val="00E642AF"/>
    <w:rsid w:val="00E644F9"/>
    <w:rsid w:val="00E670C0"/>
    <w:rsid w:val="00E67924"/>
    <w:rsid w:val="00E72079"/>
    <w:rsid w:val="00E73867"/>
    <w:rsid w:val="00E738BB"/>
    <w:rsid w:val="00E76823"/>
    <w:rsid w:val="00E775BF"/>
    <w:rsid w:val="00E77B79"/>
    <w:rsid w:val="00E80106"/>
    <w:rsid w:val="00E80E3B"/>
    <w:rsid w:val="00E821B9"/>
    <w:rsid w:val="00E82265"/>
    <w:rsid w:val="00E826F5"/>
    <w:rsid w:val="00E8293A"/>
    <w:rsid w:val="00E82E69"/>
    <w:rsid w:val="00E92B1F"/>
    <w:rsid w:val="00E92F6B"/>
    <w:rsid w:val="00E94441"/>
    <w:rsid w:val="00E9717A"/>
    <w:rsid w:val="00E97C56"/>
    <w:rsid w:val="00E97C64"/>
    <w:rsid w:val="00EA0374"/>
    <w:rsid w:val="00EA039A"/>
    <w:rsid w:val="00EA18FF"/>
    <w:rsid w:val="00EA1BD8"/>
    <w:rsid w:val="00EA1CAE"/>
    <w:rsid w:val="00EA251E"/>
    <w:rsid w:val="00EA2E8A"/>
    <w:rsid w:val="00EA43E8"/>
    <w:rsid w:val="00EA4593"/>
    <w:rsid w:val="00EA4722"/>
    <w:rsid w:val="00EA48FA"/>
    <w:rsid w:val="00EA563D"/>
    <w:rsid w:val="00EA6898"/>
    <w:rsid w:val="00EA7BEC"/>
    <w:rsid w:val="00EB0E1E"/>
    <w:rsid w:val="00EB1F59"/>
    <w:rsid w:val="00EB2CBC"/>
    <w:rsid w:val="00EB3889"/>
    <w:rsid w:val="00EB3D9E"/>
    <w:rsid w:val="00EB465C"/>
    <w:rsid w:val="00EB60F2"/>
    <w:rsid w:val="00EC1DA9"/>
    <w:rsid w:val="00EC23AD"/>
    <w:rsid w:val="00EC474C"/>
    <w:rsid w:val="00EC4EDF"/>
    <w:rsid w:val="00EC5263"/>
    <w:rsid w:val="00ED0AFC"/>
    <w:rsid w:val="00ED1949"/>
    <w:rsid w:val="00ED1EC5"/>
    <w:rsid w:val="00ED2A18"/>
    <w:rsid w:val="00ED37FF"/>
    <w:rsid w:val="00ED6BB0"/>
    <w:rsid w:val="00ED77FF"/>
    <w:rsid w:val="00ED7D4A"/>
    <w:rsid w:val="00EE1397"/>
    <w:rsid w:val="00EE1AD6"/>
    <w:rsid w:val="00EE2764"/>
    <w:rsid w:val="00EE383C"/>
    <w:rsid w:val="00EE54FC"/>
    <w:rsid w:val="00EE75F3"/>
    <w:rsid w:val="00EF055F"/>
    <w:rsid w:val="00EF1447"/>
    <w:rsid w:val="00EF1CE0"/>
    <w:rsid w:val="00EF2901"/>
    <w:rsid w:val="00EF2F8A"/>
    <w:rsid w:val="00EF3BD8"/>
    <w:rsid w:val="00EF44A5"/>
    <w:rsid w:val="00EF4796"/>
    <w:rsid w:val="00EF497D"/>
    <w:rsid w:val="00EF4B00"/>
    <w:rsid w:val="00EF4C99"/>
    <w:rsid w:val="00EF5EA8"/>
    <w:rsid w:val="00EF784F"/>
    <w:rsid w:val="00F00777"/>
    <w:rsid w:val="00F0116D"/>
    <w:rsid w:val="00F015FD"/>
    <w:rsid w:val="00F0249B"/>
    <w:rsid w:val="00F0335B"/>
    <w:rsid w:val="00F0495C"/>
    <w:rsid w:val="00F06128"/>
    <w:rsid w:val="00F10D1E"/>
    <w:rsid w:val="00F12273"/>
    <w:rsid w:val="00F1360D"/>
    <w:rsid w:val="00F13690"/>
    <w:rsid w:val="00F137C2"/>
    <w:rsid w:val="00F14B42"/>
    <w:rsid w:val="00F155A0"/>
    <w:rsid w:val="00F155FE"/>
    <w:rsid w:val="00F160F6"/>
    <w:rsid w:val="00F2010A"/>
    <w:rsid w:val="00F2014A"/>
    <w:rsid w:val="00F205BE"/>
    <w:rsid w:val="00F2066E"/>
    <w:rsid w:val="00F22BFF"/>
    <w:rsid w:val="00F22FB2"/>
    <w:rsid w:val="00F24453"/>
    <w:rsid w:val="00F244D3"/>
    <w:rsid w:val="00F25663"/>
    <w:rsid w:val="00F30D14"/>
    <w:rsid w:val="00F328C4"/>
    <w:rsid w:val="00F33012"/>
    <w:rsid w:val="00F3381F"/>
    <w:rsid w:val="00F341B6"/>
    <w:rsid w:val="00F348D3"/>
    <w:rsid w:val="00F34EE1"/>
    <w:rsid w:val="00F41BBA"/>
    <w:rsid w:val="00F4211B"/>
    <w:rsid w:val="00F4281A"/>
    <w:rsid w:val="00F443C7"/>
    <w:rsid w:val="00F466D7"/>
    <w:rsid w:val="00F50E44"/>
    <w:rsid w:val="00F51DA1"/>
    <w:rsid w:val="00F533F8"/>
    <w:rsid w:val="00F5384A"/>
    <w:rsid w:val="00F53C72"/>
    <w:rsid w:val="00F5529B"/>
    <w:rsid w:val="00F5567F"/>
    <w:rsid w:val="00F5585D"/>
    <w:rsid w:val="00F5677F"/>
    <w:rsid w:val="00F57037"/>
    <w:rsid w:val="00F60463"/>
    <w:rsid w:val="00F6168B"/>
    <w:rsid w:val="00F617AA"/>
    <w:rsid w:val="00F61AAF"/>
    <w:rsid w:val="00F62896"/>
    <w:rsid w:val="00F636C8"/>
    <w:rsid w:val="00F63D16"/>
    <w:rsid w:val="00F6473F"/>
    <w:rsid w:val="00F648B2"/>
    <w:rsid w:val="00F65F79"/>
    <w:rsid w:val="00F7196B"/>
    <w:rsid w:val="00F72344"/>
    <w:rsid w:val="00F7280D"/>
    <w:rsid w:val="00F73E8A"/>
    <w:rsid w:val="00F73EF1"/>
    <w:rsid w:val="00F74FCC"/>
    <w:rsid w:val="00F7625A"/>
    <w:rsid w:val="00F7627F"/>
    <w:rsid w:val="00F7676C"/>
    <w:rsid w:val="00F77EC5"/>
    <w:rsid w:val="00F80085"/>
    <w:rsid w:val="00F81122"/>
    <w:rsid w:val="00F828F7"/>
    <w:rsid w:val="00F84EF0"/>
    <w:rsid w:val="00F85B0F"/>
    <w:rsid w:val="00F86731"/>
    <w:rsid w:val="00F906DD"/>
    <w:rsid w:val="00F9130A"/>
    <w:rsid w:val="00F91A87"/>
    <w:rsid w:val="00F91EBB"/>
    <w:rsid w:val="00FA1370"/>
    <w:rsid w:val="00FA15B7"/>
    <w:rsid w:val="00FA1CDC"/>
    <w:rsid w:val="00FA4B1A"/>
    <w:rsid w:val="00FA5379"/>
    <w:rsid w:val="00FA63D7"/>
    <w:rsid w:val="00FA70EC"/>
    <w:rsid w:val="00FA7C9F"/>
    <w:rsid w:val="00FB0176"/>
    <w:rsid w:val="00FB018F"/>
    <w:rsid w:val="00FB110C"/>
    <w:rsid w:val="00FB149A"/>
    <w:rsid w:val="00FB15D4"/>
    <w:rsid w:val="00FB19C8"/>
    <w:rsid w:val="00FB399D"/>
    <w:rsid w:val="00FB4290"/>
    <w:rsid w:val="00FB5FAF"/>
    <w:rsid w:val="00FC07B8"/>
    <w:rsid w:val="00FC0D9B"/>
    <w:rsid w:val="00FC1AEC"/>
    <w:rsid w:val="00FC1C25"/>
    <w:rsid w:val="00FC238C"/>
    <w:rsid w:val="00FC62E5"/>
    <w:rsid w:val="00FC73BF"/>
    <w:rsid w:val="00FD12A5"/>
    <w:rsid w:val="00FD246B"/>
    <w:rsid w:val="00FD3073"/>
    <w:rsid w:val="00FD33A2"/>
    <w:rsid w:val="00FD6259"/>
    <w:rsid w:val="00FD7ABD"/>
    <w:rsid w:val="00FD7D13"/>
    <w:rsid w:val="00FE099C"/>
    <w:rsid w:val="00FE0F8C"/>
    <w:rsid w:val="00FE119D"/>
    <w:rsid w:val="00FE1259"/>
    <w:rsid w:val="00FE1DE4"/>
    <w:rsid w:val="00FE28F7"/>
    <w:rsid w:val="00FE3BF6"/>
    <w:rsid w:val="00FE412E"/>
    <w:rsid w:val="00FE503F"/>
    <w:rsid w:val="00FE7A79"/>
    <w:rsid w:val="00FF1A68"/>
    <w:rsid w:val="00FF2419"/>
    <w:rsid w:val="00FF24E3"/>
    <w:rsid w:val="00FF2787"/>
    <w:rsid w:val="00FF3BA0"/>
    <w:rsid w:val="00FF3E91"/>
    <w:rsid w:val="00FF3F04"/>
    <w:rsid w:val="00FF4A98"/>
    <w:rsid w:val="00FF6919"/>
    <w:rsid w:val="00FF75F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37D"/>
    <w:pPr>
      <w:spacing w:line="360" w:lineRule="auto"/>
    </w:pPr>
    <w:rPr>
      <w:rFonts w:eastAsia="Times New Roman"/>
      <w:color w:val="000000"/>
      <w:lang w:val="fi-FI"/>
    </w:rPr>
  </w:style>
  <w:style w:type="character" w:styleId="Hyperlink">
    <w:name w:val="Hyperlink"/>
    <w:uiPriority w:val="99"/>
    <w:rsid w:val="004773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773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7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77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7D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A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CD"/>
    <w:rPr>
      <w:rFonts w:ascii="Tahoma" w:eastAsia="SimSun" w:hAnsi="Tahoma" w:cs="Tahoma"/>
      <w:sz w:val="16"/>
      <w:szCs w:val="16"/>
      <w:lang w:val="en-US" w:eastAsia="zh-CN"/>
    </w:rPr>
  </w:style>
  <w:style w:type="table" w:customStyle="1" w:styleId="TableGrid3">
    <w:name w:val="Table Grid3"/>
    <w:basedOn w:val="TableNormal"/>
    <w:next w:val="TableGrid"/>
    <w:uiPriority w:val="59"/>
    <w:rsid w:val="008D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0F9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F9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table" w:customStyle="1" w:styleId="TableGrid4">
    <w:name w:val="Table Grid4"/>
    <w:basedOn w:val="TableNormal"/>
    <w:next w:val="TableGrid"/>
    <w:uiPriority w:val="59"/>
    <w:rsid w:val="0037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B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737D"/>
    <w:pPr>
      <w:spacing w:line="360" w:lineRule="auto"/>
    </w:pPr>
    <w:rPr>
      <w:rFonts w:eastAsia="Times New Roman"/>
      <w:color w:val="000000"/>
      <w:lang w:val="fi-FI"/>
    </w:rPr>
  </w:style>
  <w:style w:type="character" w:styleId="Hyperlink">
    <w:name w:val="Hyperlink"/>
    <w:uiPriority w:val="99"/>
    <w:rsid w:val="0047737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7737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7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77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7D"/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A3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CD"/>
    <w:rPr>
      <w:rFonts w:ascii="Tahoma" w:eastAsia="SimSun" w:hAnsi="Tahoma" w:cs="Tahoma"/>
      <w:sz w:val="16"/>
      <w:szCs w:val="16"/>
      <w:lang w:val="en-US" w:eastAsia="zh-CN"/>
    </w:rPr>
  </w:style>
  <w:style w:type="table" w:customStyle="1" w:styleId="TableGrid3">
    <w:name w:val="Table Grid3"/>
    <w:basedOn w:val="TableNormal"/>
    <w:next w:val="TableGrid"/>
    <w:uiPriority w:val="59"/>
    <w:rsid w:val="008D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D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0F9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F9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table" w:customStyle="1" w:styleId="TableGrid4">
    <w:name w:val="Table Grid4"/>
    <w:basedOn w:val="TableNormal"/>
    <w:next w:val="TableGrid"/>
    <w:uiPriority w:val="59"/>
    <w:rsid w:val="0037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B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eing.oxfordjournal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ina.poranen-clark@jyu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A998-9A64-494A-A438-42E1C65C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3563</Words>
  <Characters>20314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Jyväskylä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Poranen-Clark Taina</dc:creator>
  <cp:lastModifiedBy>Karen Drake</cp:lastModifiedBy>
  <cp:revision>2</cp:revision>
  <cp:lastPrinted>2016-03-22T08:25:00Z</cp:lastPrinted>
  <dcterms:created xsi:type="dcterms:W3CDTF">2016-05-18T10:26:00Z</dcterms:created>
  <dcterms:modified xsi:type="dcterms:W3CDTF">2016-05-18T10:26:00Z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6971</vt:lpwstr>
  </property>
  <property fmtid="{D5CDD505-2E9C-101B-9397-08002B2CF9AE}" pid="3" name="WnCSubscriberId">
    <vt:lpwstr>2195</vt:lpwstr>
  </property>
  <property fmtid="{D5CDD505-2E9C-101B-9397-08002B2CF9AE}" pid="4" name="WnCOutputStyleId">
    <vt:lpwstr>1894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