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B7B" w:rsidRDefault="00C20F2B">
      <w:pPr>
        <w:rPr>
          <w:lang w:val="en-US"/>
        </w:rPr>
      </w:pPr>
      <w:bookmarkStart w:id="0" w:name="_GoBack"/>
      <w:bookmarkEnd w:id="0"/>
      <w:r w:rsidRPr="00EE687C">
        <w:rPr>
          <w:rFonts w:ascii="Times New Roman" w:hAnsi="Times New Roman" w:cs="Times New Roman"/>
          <w:sz w:val="24"/>
          <w:szCs w:val="24"/>
          <w:lang w:val="en-US"/>
        </w:rPr>
        <w:t>Supplementary</w:t>
      </w:r>
      <w:r w:rsidRPr="00EE687C">
        <w:rPr>
          <w:lang w:val="en-US"/>
        </w:rPr>
        <w:t xml:space="preserve"> data</w:t>
      </w:r>
    </w:p>
    <w:p w:rsidR="00EE687C" w:rsidRPr="00EE687C" w:rsidRDefault="00EE687C" w:rsidP="00EE687C">
      <w:pPr>
        <w:rPr>
          <w:rFonts w:ascii="Times New Roman" w:hAnsi="Times New Roman" w:cs="Times New Roman"/>
          <w:sz w:val="24"/>
          <w:szCs w:val="24"/>
          <w:lang w:val="en-US"/>
        </w:rPr>
      </w:pPr>
      <w:r w:rsidRPr="00EE687C">
        <w:rPr>
          <w:rFonts w:ascii="Times New Roman" w:hAnsi="Times New Roman" w:cs="Times New Roman"/>
          <w:sz w:val="24"/>
          <w:szCs w:val="24"/>
          <w:lang w:val="en-US"/>
        </w:rPr>
        <w:t>Appendix 1</w:t>
      </w:r>
    </w:p>
    <w:p w:rsidR="00EE687C" w:rsidRPr="00EE687C" w:rsidRDefault="00EE687C">
      <w:pPr>
        <w:rPr>
          <w:lang w:val="en-US"/>
        </w:rPr>
      </w:pPr>
    </w:p>
    <w:p w:rsidR="00EE687C" w:rsidRPr="00EE687C" w:rsidRDefault="00EE687C">
      <w:pPr>
        <w:rPr>
          <w:b/>
          <w:lang w:val="en-US"/>
        </w:rPr>
      </w:pPr>
      <w:r w:rsidRPr="00EE687C">
        <w:rPr>
          <w:rFonts w:ascii="Times New Roman" w:hAnsi="Times New Roman" w:cs="Times New Roman"/>
          <w:b/>
          <w:lang w:val="en-US"/>
        </w:rPr>
        <w:t>Methods</w:t>
      </w:r>
    </w:p>
    <w:p w:rsidR="00C20F2B" w:rsidRPr="00C20F2B" w:rsidRDefault="00C20F2B" w:rsidP="00C20F2B">
      <w:pPr>
        <w:spacing w:after="0" w:line="480" w:lineRule="auto"/>
        <w:rPr>
          <w:rFonts w:ascii="Times New Roman" w:eastAsia="SimSun" w:hAnsi="Times New Roman" w:cs="Times New Roman"/>
          <w:b/>
          <w:sz w:val="24"/>
          <w:szCs w:val="24"/>
          <w:lang w:val="en-US" w:eastAsia="zh-CN"/>
        </w:rPr>
      </w:pPr>
      <w:r w:rsidRPr="00C20F2B">
        <w:rPr>
          <w:rFonts w:ascii="Times New Roman" w:eastAsia="SimSun" w:hAnsi="Times New Roman" w:cs="Times New Roman"/>
          <w:b/>
          <w:sz w:val="24"/>
          <w:szCs w:val="24"/>
          <w:lang w:val="en-US" w:eastAsia="zh-CN"/>
        </w:rPr>
        <w:t>Study population</w:t>
      </w:r>
    </w:p>
    <w:p w:rsidR="00C20F2B" w:rsidRPr="00C20F2B" w:rsidRDefault="00C20F2B" w:rsidP="00C20F2B">
      <w:pPr>
        <w:spacing w:after="0" w:line="480" w:lineRule="auto"/>
        <w:rPr>
          <w:rFonts w:ascii="Times New Roman" w:eastAsia="SimSun" w:hAnsi="Times New Roman" w:cs="Times New Roman"/>
          <w:sz w:val="24"/>
          <w:szCs w:val="24"/>
          <w:lang w:val="en-US" w:eastAsia="zh-CN"/>
        </w:rPr>
      </w:pPr>
      <w:r w:rsidRPr="00C20F2B">
        <w:rPr>
          <w:rFonts w:ascii="Times New Roman" w:eastAsia="SimSun" w:hAnsi="Times New Roman" w:cs="Times New Roman"/>
          <w:sz w:val="24"/>
          <w:szCs w:val="24"/>
          <w:lang w:val="en-US" w:eastAsia="zh-CN"/>
        </w:rPr>
        <w:t xml:space="preserve">The study population belongs to the Helsinki Birth Cohort Study (HBCS), which includes 8760 participants (4630 men and 4130 women) who were born between 1934- 1944 and who had attended child welfare clinics and resided in Finland in 1971 </w:t>
      </w:r>
      <w:r w:rsidRPr="00C20F2B">
        <w:rPr>
          <w:rFonts w:ascii="Times New Roman" w:eastAsia="SimSun" w:hAnsi="Times New Roman" w:cs="Times New Roman"/>
          <w:sz w:val="24"/>
          <w:szCs w:val="24"/>
          <w:lang w:val="en-US" w:eastAsia="zh-CN"/>
        </w:rPr>
        <w:fldChar w:fldCharType="begin"/>
      </w:r>
      <w:r w:rsidRPr="00C20F2B">
        <w:rPr>
          <w:rFonts w:ascii="Times New Roman" w:eastAsia="SimSun" w:hAnsi="Times New Roman" w:cs="Times New Roman"/>
          <w:sz w:val="24"/>
          <w:szCs w:val="24"/>
          <w:lang w:val="en-US" w:eastAsia="zh-CN"/>
        </w:rPr>
        <w:instrText>ADDIN RW.CITE{{23 Barker,D.J. 2005; 17 Eriksson,J.G. 2001; 27 Räikkonen,K. 2009; 103 Kajantie,E. 2010}}</w:instrText>
      </w:r>
      <w:r w:rsidRPr="00C20F2B">
        <w:rPr>
          <w:rFonts w:ascii="Times New Roman" w:eastAsia="SimSun" w:hAnsi="Times New Roman" w:cs="Times New Roman"/>
          <w:sz w:val="24"/>
          <w:szCs w:val="24"/>
          <w:lang w:val="en-US" w:eastAsia="zh-CN"/>
        </w:rPr>
        <w:fldChar w:fldCharType="separate"/>
      </w:r>
      <w:r w:rsidR="00191C60" w:rsidRPr="00191C60">
        <w:rPr>
          <w:rFonts w:ascii="Times New Roman" w:eastAsia="SimSun" w:hAnsi="Times New Roman" w:cs="Times New Roman"/>
          <w:sz w:val="24"/>
          <w:szCs w:val="24"/>
          <w:lang w:val="en-US" w:eastAsia="zh-CN"/>
        </w:rPr>
        <w:t>[1-4]</w:t>
      </w:r>
      <w:r w:rsidRPr="00C20F2B">
        <w:rPr>
          <w:rFonts w:ascii="Times New Roman" w:eastAsia="SimSun" w:hAnsi="Times New Roman" w:cs="Times New Roman"/>
          <w:sz w:val="24"/>
          <w:szCs w:val="24"/>
          <w:lang w:val="en-US" w:eastAsia="zh-CN"/>
        </w:rPr>
        <w:fldChar w:fldCharType="end"/>
      </w:r>
      <w:r w:rsidRPr="00C20F2B">
        <w:rPr>
          <w:rFonts w:ascii="Times New Roman" w:eastAsia="SimSun" w:hAnsi="Times New Roman" w:cs="Times New Roman"/>
          <w:sz w:val="24"/>
          <w:szCs w:val="24"/>
          <w:lang w:val="en-US" w:eastAsia="zh-CN"/>
        </w:rPr>
        <w:t>. Of these 4630 men, we were able to identify 2786 (60%) Finnish male military conscript who took an intellectual ability test (the Finnish Defence Forces Basic Intellectual Ability Test) during their compulsory military service at a mean age of 20.3 years between 1952- 1972. In the year 2000 a random sample of 2901 members of the original HBCS were invited to participate in clinical examinations. 2003 persons (69 %) participated in the examinations between 2001 and 2004. Of them, 640 men had data available on the intellectual ability test in the early adulthood. In 2011 1404 participants (627 men and 777 women) of the original clinical study cohort (n=2003) who were alive and living within 100 km distance from Helsinki were invited to the follow-up clinical examinations. A total of 1094 participants (478 men and 616 women) attended the clinical examinations between 2011 and 2013</w:t>
      </w:r>
      <w:r w:rsidR="00191C60">
        <w:rPr>
          <w:rFonts w:ascii="Times New Roman" w:eastAsia="SimSun" w:hAnsi="Times New Roman" w:cs="Times New Roman"/>
          <w:sz w:val="24"/>
          <w:szCs w:val="24"/>
          <w:lang w:val="en-US" w:eastAsia="zh-CN"/>
        </w:rPr>
        <w:t xml:space="preserve"> </w:t>
      </w:r>
      <w:r w:rsidRPr="00C20F2B">
        <w:rPr>
          <w:rFonts w:ascii="Times New Roman" w:eastAsia="SimSun" w:hAnsi="Times New Roman" w:cs="Times New Roman"/>
          <w:sz w:val="24"/>
          <w:szCs w:val="24"/>
          <w:lang w:val="en-US" w:eastAsia="zh-CN"/>
        </w:rPr>
        <w:fldChar w:fldCharType="begin"/>
      </w:r>
      <w:r w:rsidRPr="00C20F2B">
        <w:rPr>
          <w:rFonts w:ascii="Times New Roman" w:eastAsia="SimSun" w:hAnsi="Times New Roman" w:cs="Times New Roman"/>
          <w:sz w:val="24"/>
          <w:szCs w:val="24"/>
          <w:lang w:val="en-US" w:eastAsia="zh-CN"/>
        </w:rPr>
        <w:instrText>ADDIN RW.CITE{{184 Eriksson,J.G. 2015}}</w:instrText>
      </w:r>
      <w:r w:rsidRPr="00C20F2B">
        <w:rPr>
          <w:rFonts w:ascii="Times New Roman" w:eastAsia="SimSun" w:hAnsi="Times New Roman" w:cs="Times New Roman"/>
          <w:sz w:val="24"/>
          <w:szCs w:val="24"/>
          <w:lang w:val="en-US" w:eastAsia="zh-CN"/>
        </w:rPr>
        <w:fldChar w:fldCharType="separate"/>
      </w:r>
      <w:r w:rsidR="00191C60" w:rsidRPr="00191C60">
        <w:rPr>
          <w:rFonts w:ascii="Times New Roman" w:eastAsia="SimSun" w:hAnsi="Times New Roman" w:cs="Times New Roman"/>
          <w:sz w:val="24"/>
          <w:szCs w:val="24"/>
          <w:lang w:val="en-US" w:eastAsia="zh-CN"/>
        </w:rPr>
        <w:t>[5]</w:t>
      </w:r>
      <w:r w:rsidRPr="00C20F2B">
        <w:rPr>
          <w:rFonts w:ascii="Times New Roman" w:eastAsia="SimSun" w:hAnsi="Times New Roman" w:cs="Times New Roman"/>
          <w:sz w:val="24"/>
          <w:szCs w:val="24"/>
          <w:lang w:val="en-US" w:eastAsia="zh-CN"/>
        </w:rPr>
        <w:fldChar w:fldCharType="end"/>
      </w:r>
      <w:r w:rsidRPr="00C20F2B">
        <w:rPr>
          <w:rFonts w:ascii="Times New Roman" w:eastAsia="SimSun" w:hAnsi="Times New Roman" w:cs="Times New Roman"/>
          <w:sz w:val="24"/>
          <w:szCs w:val="24"/>
          <w:lang w:val="en-US" w:eastAsia="zh-CN"/>
        </w:rPr>
        <w:t xml:space="preserve">. Complete data, i.e. military intellectual ability test score measured in early adulthood and both physical functioning assessments at age 61 and 71, were available for 360 participants. Those with missing data on follow-up examinations for physical functioning in 2013 were more likely to be older (p&lt;0.001) and to have a father who had lower occupational status (p=0.003). They also had lower physical functioning scores at the first assessment (p&lt;0.001) and lower military intellectual ability test scores in early adulthood (p&lt;0.001). The study complies with the guidelines of the Declaration of Helsinki. The study was approved by the Coordinating Ethics Committee and Ethics Committee of Epidemiology and Public Health of the Hospital </w:t>
      </w:r>
      <w:r w:rsidRPr="00C20F2B">
        <w:rPr>
          <w:rFonts w:ascii="Times New Roman" w:eastAsia="SimSun" w:hAnsi="Times New Roman" w:cs="Times New Roman"/>
          <w:sz w:val="24"/>
          <w:szCs w:val="24"/>
          <w:lang w:val="en-US" w:eastAsia="zh-CN"/>
        </w:rPr>
        <w:lastRenderedPageBreak/>
        <w:t>District of Helsinki and Uusimaa and that of the National Public Health Institute, Helsinki. All participants gave a written informed consent. Intellectual ability data were linked with permission from the Finnish Defence Forces.</w:t>
      </w:r>
    </w:p>
    <w:p w:rsidR="00C20F2B" w:rsidRPr="00C20F2B" w:rsidRDefault="00C20F2B" w:rsidP="00C20F2B">
      <w:pPr>
        <w:spacing w:after="0" w:line="480" w:lineRule="auto"/>
        <w:rPr>
          <w:rFonts w:ascii="Times New Roman" w:eastAsia="SimSun" w:hAnsi="Times New Roman" w:cs="Times New Roman"/>
          <w:b/>
          <w:sz w:val="24"/>
          <w:szCs w:val="24"/>
          <w:lang w:val="en-US" w:eastAsia="zh-CN"/>
        </w:rPr>
      </w:pPr>
    </w:p>
    <w:p w:rsidR="00C20F2B" w:rsidRPr="00C20F2B" w:rsidRDefault="00C20F2B" w:rsidP="00C20F2B">
      <w:pPr>
        <w:spacing w:after="0" w:line="480" w:lineRule="auto"/>
        <w:rPr>
          <w:rFonts w:ascii="Times New Roman" w:eastAsia="SimSun" w:hAnsi="Times New Roman" w:cs="Times New Roman"/>
          <w:b/>
          <w:sz w:val="24"/>
          <w:szCs w:val="24"/>
          <w:lang w:val="en-US" w:eastAsia="zh-CN"/>
        </w:rPr>
      </w:pPr>
      <w:r w:rsidRPr="00C20F2B">
        <w:rPr>
          <w:rFonts w:ascii="Times New Roman" w:eastAsia="SimSun" w:hAnsi="Times New Roman" w:cs="Times New Roman"/>
          <w:b/>
          <w:sz w:val="24"/>
          <w:szCs w:val="24"/>
          <w:lang w:val="en-US" w:eastAsia="zh-CN"/>
        </w:rPr>
        <w:t>Intellectual ability</w:t>
      </w:r>
    </w:p>
    <w:p w:rsidR="00191C60" w:rsidRPr="00191C60" w:rsidRDefault="00C20F2B" w:rsidP="00191C60">
      <w:pPr>
        <w:spacing w:line="480" w:lineRule="auto"/>
        <w:rPr>
          <w:rFonts w:ascii="Times New Roman" w:eastAsia="SimSun" w:hAnsi="Times New Roman" w:cs="Times New Roman"/>
          <w:sz w:val="24"/>
          <w:szCs w:val="24"/>
          <w:lang w:val="en-US" w:eastAsia="zh-CN"/>
        </w:rPr>
      </w:pPr>
      <w:r w:rsidRPr="00C20F2B">
        <w:rPr>
          <w:rFonts w:ascii="Times New Roman" w:eastAsia="SimSun" w:hAnsi="Times New Roman" w:cs="Times New Roman"/>
          <w:sz w:val="24"/>
          <w:szCs w:val="24"/>
          <w:lang w:val="en-US" w:eastAsia="zh-CN"/>
        </w:rPr>
        <w:t xml:space="preserve">The Finnish Defence Forces Basic Intellectual Ability Test was developed by the Finnish Defence Forces Educational Development Centre and was compulsory for all new recruits during the two first two weeks of their military service. Administration of the test has been described in detail previously </w:t>
      </w:r>
      <w:r w:rsidRPr="00C20F2B">
        <w:rPr>
          <w:rFonts w:ascii="Times New Roman" w:eastAsia="SimSun" w:hAnsi="Times New Roman" w:cs="Times New Roman"/>
          <w:sz w:val="24"/>
          <w:szCs w:val="24"/>
          <w:lang w:val="en-US" w:eastAsia="zh-CN"/>
        </w:rPr>
        <w:fldChar w:fldCharType="begin"/>
      </w:r>
      <w:r w:rsidR="00191C60">
        <w:rPr>
          <w:rFonts w:ascii="Times New Roman" w:eastAsia="SimSun" w:hAnsi="Times New Roman" w:cs="Times New Roman"/>
          <w:sz w:val="24"/>
          <w:szCs w:val="24"/>
          <w:lang w:val="en-US" w:eastAsia="zh-CN"/>
        </w:rPr>
        <w:instrText>ADDIN RW.CITE{{27 Räikkonen,K. 2009; 91 Räikkonen,K. 2013; 188 Tiihonen,Jari 2005}}</w:instrText>
      </w:r>
      <w:r w:rsidRPr="00C20F2B">
        <w:rPr>
          <w:rFonts w:ascii="Times New Roman" w:eastAsia="SimSun" w:hAnsi="Times New Roman" w:cs="Times New Roman"/>
          <w:sz w:val="24"/>
          <w:szCs w:val="24"/>
          <w:lang w:val="en-US" w:eastAsia="zh-CN"/>
        </w:rPr>
        <w:fldChar w:fldCharType="separate"/>
      </w:r>
      <w:r w:rsidR="00191C60" w:rsidRPr="00191C60">
        <w:rPr>
          <w:rFonts w:ascii="Times New Roman" w:eastAsia="SimSun" w:hAnsi="Times New Roman" w:cs="Times New Roman"/>
          <w:sz w:val="24"/>
          <w:szCs w:val="24"/>
          <w:lang w:val="en-US" w:eastAsia="zh-CN"/>
        </w:rPr>
        <w:t>[3, 6, 7]</w:t>
      </w:r>
      <w:r w:rsidRPr="00C20F2B">
        <w:rPr>
          <w:rFonts w:ascii="Times New Roman" w:eastAsia="SimSun" w:hAnsi="Times New Roman" w:cs="Times New Roman"/>
          <w:sz w:val="24"/>
          <w:szCs w:val="24"/>
          <w:lang w:val="en-US" w:eastAsia="zh-CN"/>
        </w:rPr>
        <w:fldChar w:fldCharType="end"/>
      </w:r>
      <w:r w:rsidRPr="00C20F2B">
        <w:rPr>
          <w:rFonts w:ascii="Times New Roman" w:eastAsia="SimSun" w:hAnsi="Times New Roman" w:cs="Times New Roman"/>
          <w:sz w:val="24"/>
          <w:szCs w:val="24"/>
          <w:lang w:val="en-US" w:eastAsia="zh-CN"/>
        </w:rPr>
        <w:t xml:space="preserve">. Briefly, the test battery includes arithmetic, verbal and visuospatial reasoning subtests measuring general cognitive ability and logical thinking. Each subtest includes 40 multiple choice questions ordered by difficulty (range 0-40 points. </w:t>
      </w:r>
      <w:r w:rsidR="00191C60" w:rsidRPr="00191C60">
        <w:rPr>
          <w:rFonts w:ascii="Times New Roman" w:eastAsia="SimSun" w:hAnsi="Times New Roman" w:cs="Times New Roman"/>
          <w:sz w:val="24"/>
          <w:szCs w:val="24"/>
          <w:lang w:val="en-US" w:eastAsia="zh-CN"/>
        </w:rPr>
        <w:t xml:space="preserve">The arithmetic reasoning subtest comprises four different types of questions. The subject has to complete a series of numbers according to a previous rule, solve verbal short arithmetic problems, compute simple arithmetic operations, and choose similar relationship between two pairs of numbers. The verbal reasoning subtest includes four different types of questions. The subject has to choose synonyms or antonyms of given words, choose a word belonging to the same category as a given word pair, select which word or word list does not belong in the group, and find similar relationship between two word pairs. The visuospatial reasoning subtest includes a set of matrices containing a pattern problem with one part missing. The subject is asked to decide which of the given figures completes the matrix. The task requires the subject to conceptualize spatial relationships ranging from the very obvious to the very abstract, analogous to Raven’s Progressive Matrices </w:t>
      </w:r>
      <w:r w:rsidR="00191C60" w:rsidRPr="00191C60">
        <w:rPr>
          <w:rFonts w:ascii="Times New Roman" w:eastAsia="SimSun" w:hAnsi="Times New Roman" w:cs="Times New Roman"/>
          <w:sz w:val="24"/>
          <w:szCs w:val="24"/>
          <w:lang w:val="en-US" w:eastAsia="zh-CN"/>
        </w:rPr>
        <w:fldChar w:fldCharType="begin"/>
      </w:r>
      <w:r w:rsidR="00191C60" w:rsidRPr="00191C60">
        <w:rPr>
          <w:rFonts w:ascii="Times New Roman" w:eastAsia="SimSun" w:hAnsi="Times New Roman" w:cs="Times New Roman"/>
          <w:sz w:val="24"/>
          <w:szCs w:val="24"/>
          <w:lang w:val="en-US" w:eastAsia="zh-CN"/>
        </w:rPr>
        <w:instrText>ADDIN RW.CITE{{84 Raven,J. 2000}}</w:instrText>
      </w:r>
      <w:r w:rsidR="00191C60" w:rsidRPr="00191C60">
        <w:rPr>
          <w:rFonts w:ascii="Times New Roman" w:eastAsia="SimSun" w:hAnsi="Times New Roman" w:cs="Times New Roman"/>
          <w:sz w:val="24"/>
          <w:szCs w:val="24"/>
          <w:lang w:val="en-US" w:eastAsia="zh-CN"/>
        </w:rPr>
        <w:fldChar w:fldCharType="separate"/>
      </w:r>
      <w:r w:rsidR="00191C60" w:rsidRPr="00191C60">
        <w:rPr>
          <w:rFonts w:ascii="Times New Roman" w:eastAsia="SimSun" w:hAnsi="Times New Roman" w:cs="Times New Roman"/>
          <w:sz w:val="24"/>
          <w:szCs w:val="24"/>
          <w:vertAlign w:val="superscript"/>
          <w:lang w:val="en-US" w:eastAsia="zh-CN"/>
        </w:rPr>
        <w:t>22</w:t>
      </w:r>
      <w:r w:rsidR="00191C60" w:rsidRPr="00191C60">
        <w:rPr>
          <w:rFonts w:ascii="Times New Roman" w:eastAsia="SimSun" w:hAnsi="Times New Roman" w:cs="Times New Roman"/>
          <w:sz w:val="24"/>
          <w:szCs w:val="24"/>
          <w:lang w:val="en-US" w:eastAsia="zh-CN"/>
        </w:rPr>
        <w:fldChar w:fldCharType="end"/>
      </w:r>
      <w:r w:rsidR="00191C60" w:rsidRPr="00191C60">
        <w:rPr>
          <w:rFonts w:ascii="Times New Roman" w:eastAsia="SimSun" w:hAnsi="Times New Roman" w:cs="Times New Roman"/>
          <w:sz w:val="24"/>
          <w:szCs w:val="24"/>
          <w:lang w:val="en-US" w:eastAsia="zh-CN"/>
        </w:rPr>
        <w:t xml:space="preserve">. Correct answers in each subtest were summed and the arithmetic mean was used as an index of intellectual ability. </w:t>
      </w:r>
    </w:p>
    <w:p w:rsidR="00191C60" w:rsidRPr="00191C60" w:rsidRDefault="00191C60" w:rsidP="00191C60">
      <w:pPr>
        <w:spacing w:after="0" w:line="480" w:lineRule="auto"/>
        <w:rPr>
          <w:rFonts w:ascii="Times New Roman" w:eastAsia="SimSun" w:hAnsi="Times New Roman" w:cs="Times New Roman"/>
          <w:b/>
          <w:sz w:val="24"/>
          <w:szCs w:val="24"/>
          <w:lang w:val="en-US" w:eastAsia="zh-CN"/>
        </w:rPr>
      </w:pPr>
    </w:p>
    <w:p w:rsidR="00C20F2B" w:rsidRPr="00C20F2B" w:rsidRDefault="00C20F2B" w:rsidP="00C20F2B">
      <w:pPr>
        <w:spacing w:after="0" w:line="480" w:lineRule="auto"/>
        <w:rPr>
          <w:rFonts w:ascii="Times New Roman" w:eastAsia="SimSun" w:hAnsi="Times New Roman" w:cs="Times New Roman"/>
          <w:sz w:val="24"/>
          <w:szCs w:val="24"/>
          <w:lang w:val="en-US" w:eastAsia="zh-CN"/>
        </w:rPr>
      </w:pPr>
      <w:r w:rsidRPr="00C20F2B">
        <w:rPr>
          <w:rFonts w:ascii="Times New Roman" w:eastAsia="SimSun" w:hAnsi="Times New Roman" w:cs="Times New Roman"/>
          <w:sz w:val="24"/>
          <w:szCs w:val="24"/>
          <w:lang w:val="en-US" w:eastAsia="zh-CN"/>
        </w:rPr>
        <w:t xml:space="preserve"> </w:t>
      </w:r>
    </w:p>
    <w:p w:rsidR="00191C60" w:rsidRDefault="00191C60" w:rsidP="00C20F2B">
      <w:pPr>
        <w:spacing w:after="0" w:line="240" w:lineRule="auto"/>
        <w:rPr>
          <w:rFonts w:ascii="Times New Roman" w:eastAsia="SimSun" w:hAnsi="Times New Roman" w:cs="Times New Roman"/>
          <w:b/>
          <w:sz w:val="24"/>
          <w:szCs w:val="24"/>
          <w:lang w:val="en-US" w:eastAsia="zh-CN"/>
        </w:rPr>
      </w:pPr>
    </w:p>
    <w:p w:rsidR="00191C60" w:rsidRDefault="00191C60" w:rsidP="00C20F2B">
      <w:pPr>
        <w:spacing w:after="0" w:line="240" w:lineRule="auto"/>
        <w:rPr>
          <w:rFonts w:ascii="Times New Roman" w:eastAsia="SimSun" w:hAnsi="Times New Roman" w:cs="Times New Roman"/>
          <w:b/>
          <w:sz w:val="24"/>
          <w:szCs w:val="24"/>
          <w:lang w:val="en-US" w:eastAsia="zh-CN"/>
        </w:rPr>
      </w:pPr>
    </w:p>
    <w:p w:rsidR="00C20F2B" w:rsidRPr="00C20F2B" w:rsidRDefault="00C20F2B" w:rsidP="00C20F2B">
      <w:pPr>
        <w:spacing w:after="0" w:line="240" w:lineRule="auto"/>
        <w:rPr>
          <w:rFonts w:ascii="Times New Roman" w:eastAsia="SimSun" w:hAnsi="Times New Roman" w:cs="Times New Roman"/>
          <w:sz w:val="24"/>
          <w:szCs w:val="24"/>
          <w:lang w:val="en-US" w:eastAsia="zh-CN"/>
        </w:rPr>
      </w:pPr>
      <w:r w:rsidRPr="00C20F2B">
        <w:rPr>
          <w:rFonts w:ascii="Times New Roman" w:eastAsia="SimSun" w:hAnsi="Times New Roman" w:cs="Times New Roman"/>
          <w:b/>
          <w:sz w:val="24"/>
          <w:szCs w:val="24"/>
          <w:lang w:val="en-US" w:eastAsia="zh-CN"/>
        </w:rPr>
        <w:t>Legend for the Figure 1</w:t>
      </w:r>
      <w:r w:rsidRPr="00C20F2B">
        <w:rPr>
          <w:rFonts w:ascii="Times New Roman" w:eastAsia="SimSun" w:hAnsi="Times New Roman" w:cs="Times New Roman"/>
          <w:sz w:val="24"/>
          <w:szCs w:val="24"/>
          <w:lang w:val="en-US" w:eastAsia="zh-CN"/>
        </w:rPr>
        <w:t xml:space="preserve">  Conceptual model of the effect of intellectual ability on longitudinal censored measurements of physical functioning including paths for intellectual ability predicting physical functioning at the first assessment (</w:t>
      </w:r>
      <w:r w:rsidRPr="00C20F2B">
        <w:rPr>
          <w:rFonts w:ascii="Times New Roman" w:eastAsia="SimSun" w:hAnsi="Times New Roman" w:cs="Times New Roman"/>
          <w:i/>
          <w:sz w:val="24"/>
          <w:szCs w:val="24"/>
          <w:lang w:val="en-US" w:eastAsia="zh-CN"/>
        </w:rPr>
        <w:t>β</w:t>
      </w:r>
      <w:r w:rsidRPr="00C20F2B">
        <w:rPr>
          <w:rFonts w:ascii="Times New Roman" w:eastAsia="SimSun" w:hAnsi="Times New Roman" w:cs="Times New Roman"/>
          <w:sz w:val="24"/>
          <w:szCs w:val="24"/>
          <w:vertAlign w:val="subscript"/>
          <w:lang w:val="en-US" w:eastAsia="zh-CN"/>
        </w:rPr>
        <w:t>1</w:t>
      </w:r>
      <w:r w:rsidRPr="00C20F2B">
        <w:rPr>
          <w:rFonts w:ascii="Times New Roman" w:eastAsia="SimSun" w:hAnsi="Times New Roman" w:cs="Times New Roman"/>
          <w:sz w:val="24"/>
          <w:szCs w:val="24"/>
          <w:lang w:val="en-US" w:eastAsia="zh-CN"/>
        </w:rPr>
        <w:t>) and physical functioning follow-up (</w:t>
      </w:r>
      <w:r w:rsidRPr="00C20F2B">
        <w:rPr>
          <w:rFonts w:ascii="Times New Roman" w:eastAsia="SimSun" w:hAnsi="Times New Roman" w:cs="Times New Roman"/>
          <w:i/>
          <w:sz w:val="24"/>
          <w:szCs w:val="24"/>
          <w:lang w:val="en-US" w:eastAsia="zh-CN"/>
        </w:rPr>
        <w:t>β</w:t>
      </w:r>
      <w:r w:rsidRPr="00C20F2B">
        <w:rPr>
          <w:rFonts w:ascii="Times New Roman" w:eastAsia="SimSun" w:hAnsi="Times New Roman" w:cs="Times New Roman"/>
          <w:sz w:val="24"/>
          <w:szCs w:val="24"/>
          <w:vertAlign w:val="subscript"/>
          <w:lang w:val="en-US" w:eastAsia="zh-CN"/>
        </w:rPr>
        <w:t>2</w:t>
      </w:r>
      <w:r w:rsidRPr="00C20F2B">
        <w:rPr>
          <w:rFonts w:ascii="Times New Roman" w:eastAsia="SimSun" w:hAnsi="Times New Roman" w:cs="Times New Roman"/>
          <w:sz w:val="24"/>
          <w:szCs w:val="24"/>
          <w:lang w:val="en-US" w:eastAsia="zh-CN"/>
        </w:rPr>
        <w:t>) and a path from the first assessment of  physical functioning to follow-up (</w:t>
      </w:r>
      <w:r w:rsidRPr="00C20F2B">
        <w:rPr>
          <w:rFonts w:ascii="Times New Roman" w:eastAsia="SimSun" w:hAnsi="Times New Roman" w:cs="Times New Roman"/>
          <w:i/>
          <w:sz w:val="24"/>
          <w:szCs w:val="24"/>
          <w:lang w:val="en-US" w:eastAsia="zh-CN"/>
        </w:rPr>
        <w:t>β</w:t>
      </w:r>
      <w:r w:rsidRPr="00C20F2B">
        <w:rPr>
          <w:rFonts w:ascii="Times New Roman" w:eastAsia="SimSun" w:hAnsi="Times New Roman" w:cs="Times New Roman"/>
          <w:sz w:val="24"/>
          <w:szCs w:val="24"/>
          <w:vertAlign w:val="subscript"/>
          <w:lang w:val="en-US" w:eastAsia="zh-CN"/>
        </w:rPr>
        <w:t>3</w:t>
      </w:r>
      <w:r w:rsidRPr="00C20F2B">
        <w:rPr>
          <w:rFonts w:ascii="Times New Roman" w:eastAsia="SimSun" w:hAnsi="Times New Roman" w:cs="Times New Roman"/>
          <w:sz w:val="24"/>
          <w:szCs w:val="24"/>
          <w:lang w:val="en-US" w:eastAsia="zh-CN"/>
        </w:rPr>
        <w:t>). We additionally calculated the indirect effect of intellectual ability on follow-up physical functioning via the first assessment of physical functioning (</w:t>
      </w:r>
      <w:r w:rsidRPr="00C20F2B">
        <w:rPr>
          <w:rFonts w:ascii="Times New Roman" w:eastAsia="SimSun" w:hAnsi="Times New Roman" w:cs="Times New Roman"/>
          <w:i/>
          <w:sz w:val="24"/>
          <w:szCs w:val="24"/>
          <w:lang w:val="en-US" w:eastAsia="zh-CN"/>
        </w:rPr>
        <w:t>β</w:t>
      </w:r>
      <w:r w:rsidRPr="00C20F2B">
        <w:rPr>
          <w:rFonts w:ascii="Times New Roman" w:eastAsia="SimSun" w:hAnsi="Times New Roman" w:cs="Times New Roman"/>
          <w:sz w:val="24"/>
          <w:szCs w:val="24"/>
          <w:vertAlign w:val="subscript"/>
          <w:lang w:val="en-US" w:eastAsia="zh-CN"/>
        </w:rPr>
        <w:t>1</w:t>
      </w:r>
      <w:r w:rsidRPr="00C20F2B">
        <w:rPr>
          <w:rFonts w:ascii="Times New Roman" w:eastAsia="SimSun" w:hAnsi="Times New Roman" w:cs="Times New Roman"/>
          <w:sz w:val="24"/>
          <w:szCs w:val="24"/>
          <w:lang w:val="en-US" w:eastAsia="zh-CN"/>
        </w:rPr>
        <w:t>×</w:t>
      </w:r>
      <w:r w:rsidRPr="00C20F2B">
        <w:rPr>
          <w:rFonts w:ascii="Times New Roman" w:eastAsia="SimSun" w:hAnsi="Times New Roman" w:cs="Times New Roman"/>
          <w:i/>
          <w:sz w:val="24"/>
          <w:szCs w:val="24"/>
          <w:lang w:val="en-US" w:eastAsia="zh-CN"/>
        </w:rPr>
        <w:t>β</w:t>
      </w:r>
      <w:r w:rsidRPr="00C20F2B">
        <w:rPr>
          <w:rFonts w:ascii="Times New Roman" w:eastAsia="SimSun" w:hAnsi="Times New Roman" w:cs="Times New Roman"/>
          <w:sz w:val="24"/>
          <w:szCs w:val="24"/>
          <w:vertAlign w:val="subscript"/>
          <w:lang w:val="en-US" w:eastAsia="zh-CN"/>
        </w:rPr>
        <w:t>3</w:t>
      </w:r>
      <w:r w:rsidRPr="00C20F2B">
        <w:rPr>
          <w:rFonts w:ascii="Times New Roman" w:eastAsia="SimSun" w:hAnsi="Times New Roman" w:cs="Times New Roman"/>
          <w:sz w:val="24"/>
          <w:szCs w:val="24"/>
          <w:lang w:val="en-US" w:eastAsia="zh-CN"/>
        </w:rPr>
        <w:t xml:space="preserve">) and total effect of </w:t>
      </w:r>
      <w:r w:rsidRPr="00C20F2B">
        <w:rPr>
          <w:rFonts w:ascii="Times New Roman" w:eastAsia="SimSun" w:hAnsi="Times New Roman" w:cs="Times New Roman"/>
          <w:i/>
          <w:sz w:val="24"/>
          <w:szCs w:val="24"/>
          <w:lang w:val="en-US" w:eastAsia="zh-CN"/>
        </w:rPr>
        <w:t>β</w:t>
      </w:r>
      <w:r w:rsidRPr="00C20F2B">
        <w:rPr>
          <w:rFonts w:ascii="Times New Roman" w:eastAsia="SimSun" w:hAnsi="Times New Roman" w:cs="Times New Roman"/>
          <w:sz w:val="24"/>
          <w:szCs w:val="24"/>
          <w:vertAlign w:val="subscript"/>
          <w:lang w:val="en-US" w:eastAsia="zh-CN"/>
        </w:rPr>
        <w:t xml:space="preserve">2 </w:t>
      </w:r>
      <w:r w:rsidRPr="00C20F2B">
        <w:rPr>
          <w:rFonts w:ascii="Times New Roman" w:eastAsia="SimSun" w:hAnsi="Times New Roman" w:cs="Times New Roman"/>
          <w:sz w:val="24"/>
          <w:szCs w:val="24"/>
          <w:lang w:val="en-US" w:eastAsia="zh-CN"/>
        </w:rPr>
        <w:t>+ (</w:t>
      </w:r>
      <w:r w:rsidRPr="00C20F2B">
        <w:rPr>
          <w:rFonts w:ascii="Times New Roman" w:eastAsia="SimSun" w:hAnsi="Times New Roman" w:cs="Times New Roman"/>
          <w:i/>
          <w:sz w:val="24"/>
          <w:szCs w:val="24"/>
          <w:lang w:val="en-US" w:eastAsia="zh-CN"/>
        </w:rPr>
        <w:t xml:space="preserve"> β</w:t>
      </w:r>
      <w:r w:rsidRPr="00C20F2B">
        <w:rPr>
          <w:rFonts w:ascii="Times New Roman" w:eastAsia="SimSun" w:hAnsi="Times New Roman" w:cs="Times New Roman"/>
          <w:sz w:val="24"/>
          <w:szCs w:val="24"/>
          <w:vertAlign w:val="subscript"/>
          <w:lang w:val="en-US" w:eastAsia="zh-CN"/>
        </w:rPr>
        <w:t>1</w:t>
      </w:r>
      <w:r w:rsidRPr="00C20F2B">
        <w:rPr>
          <w:rFonts w:ascii="Times New Roman" w:eastAsia="SimSun" w:hAnsi="Times New Roman" w:cs="Times New Roman"/>
          <w:sz w:val="24"/>
          <w:szCs w:val="24"/>
          <w:lang w:val="en-US" w:eastAsia="zh-CN"/>
        </w:rPr>
        <w:t>×</w:t>
      </w:r>
      <w:r w:rsidRPr="00C20F2B">
        <w:rPr>
          <w:rFonts w:ascii="Times New Roman" w:eastAsia="SimSun" w:hAnsi="Times New Roman" w:cs="Times New Roman"/>
          <w:i/>
          <w:sz w:val="24"/>
          <w:szCs w:val="24"/>
          <w:lang w:val="en-US" w:eastAsia="zh-CN"/>
        </w:rPr>
        <w:t>β</w:t>
      </w:r>
      <w:r w:rsidRPr="00C20F2B">
        <w:rPr>
          <w:rFonts w:ascii="Times New Roman" w:eastAsia="SimSun" w:hAnsi="Times New Roman" w:cs="Times New Roman"/>
          <w:sz w:val="24"/>
          <w:szCs w:val="24"/>
          <w:vertAlign w:val="subscript"/>
          <w:lang w:val="en-US" w:eastAsia="zh-CN"/>
        </w:rPr>
        <w:t>3</w:t>
      </w:r>
      <w:r w:rsidRPr="00C20F2B">
        <w:rPr>
          <w:rFonts w:ascii="Times New Roman" w:eastAsia="SimSun" w:hAnsi="Times New Roman" w:cs="Times New Roman"/>
          <w:sz w:val="24"/>
          <w:szCs w:val="24"/>
          <w:lang w:val="en-US" w:eastAsia="zh-CN"/>
        </w:rPr>
        <w:t>). In the model all three measurements were adjusted for age at measurement, childhood socioeconomic status and adult BMI.</w:t>
      </w:r>
    </w:p>
    <w:p w:rsidR="00C20F2B" w:rsidRDefault="00C20F2B">
      <w:pPr>
        <w:rPr>
          <w:lang w:val="en-US"/>
        </w:rPr>
      </w:pPr>
    </w:p>
    <w:p w:rsidR="00C20F2B" w:rsidRDefault="00C20F2B">
      <w:pPr>
        <w:rPr>
          <w:lang w:val="en-US"/>
        </w:rPr>
      </w:pPr>
    </w:p>
    <w:p w:rsidR="00C20F2B" w:rsidRPr="00C20F2B" w:rsidRDefault="00C20F2B" w:rsidP="00C20F2B">
      <w:pPr>
        <w:spacing w:after="0" w:line="240" w:lineRule="auto"/>
        <w:rPr>
          <w:rFonts w:ascii="Times New Roman" w:hAnsi="Times New Roman" w:cs="Times New Roman"/>
          <w:b/>
          <w:sz w:val="24"/>
          <w:szCs w:val="24"/>
          <w:lang w:val="en-US"/>
        </w:rPr>
      </w:pPr>
      <w:r w:rsidRPr="00C20F2B">
        <w:rPr>
          <w:rFonts w:ascii="Times New Roman" w:hAnsi="Times New Roman" w:cs="Times New Roman"/>
          <w:b/>
          <w:sz w:val="24"/>
          <w:szCs w:val="24"/>
          <w:lang w:val="en-US"/>
        </w:rPr>
        <w:t>Figure 1.</w:t>
      </w:r>
    </w:p>
    <w:p w:rsidR="00C20F2B" w:rsidRPr="00C20F2B" w:rsidRDefault="00C20F2B" w:rsidP="00C20F2B">
      <w:pPr>
        <w:spacing w:after="0" w:line="240" w:lineRule="auto"/>
        <w:rPr>
          <w:rFonts w:ascii="Times New Roman" w:hAnsi="Times New Roman" w:cs="Times New Roman"/>
          <w:b/>
          <w:sz w:val="24"/>
          <w:szCs w:val="24"/>
          <w:lang w:val="en-US"/>
        </w:rPr>
      </w:pPr>
    </w:p>
    <w:p w:rsidR="00C20F2B" w:rsidRPr="00C20F2B" w:rsidRDefault="00C20F2B" w:rsidP="00C20F2B">
      <w:pPr>
        <w:spacing w:after="0" w:line="240" w:lineRule="auto"/>
        <w:rPr>
          <w:rFonts w:ascii="Times New Roman" w:hAnsi="Times New Roman" w:cs="Times New Roman"/>
          <w:b/>
          <w:sz w:val="24"/>
          <w:szCs w:val="24"/>
          <w:lang w:val="en-US"/>
        </w:rPr>
      </w:pPr>
      <w:r w:rsidRPr="00C20F2B">
        <w:rPr>
          <w:rFonts w:ascii="Times New Roman" w:eastAsia="SimSu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0C9CE2EC" wp14:editId="79BA36F8">
                <wp:simplePos x="0" y="0"/>
                <wp:positionH relativeFrom="column">
                  <wp:posOffset>437515</wp:posOffset>
                </wp:positionH>
                <wp:positionV relativeFrom="paragraph">
                  <wp:posOffset>101600</wp:posOffset>
                </wp:positionV>
                <wp:extent cx="4398717" cy="1613667"/>
                <wp:effectExtent l="0" t="0" r="20955" b="24765"/>
                <wp:wrapNone/>
                <wp:docPr id="17" name="Group 16"/>
                <wp:cNvGraphicFramePr/>
                <a:graphic xmlns:a="http://schemas.openxmlformats.org/drawingml/2006/main">
                  <a:graphicData uri="http://schemas.microsoft.com/office/word/2010/wordprocessingGroup">
                    <wpg:wgp>
                      <wpg:cNvGrpSpPr/>
                      <wpg:grpSpPr>
                        <a:xfrm>
                          <a:off x="0" y="0"/>
                          <a:ext cx="4398717" cy="1613667"/>
                          <a:chOff x="0" y="0"/>
                          <a:chExt cx="4399064" cy="1613895"/>
                        </a:xfrm>
                      </wpg:grpSpPr>
                      <wps:wsp>
                        <wps:cNvPr id="2" name="TextBox 4"/>
                        <wps:cNvSpPr txBox="1"/>
                        <wps:spPr>
                          <a:xfrm>
                            <a:off x="0" y="499312"/>
                            <a:ext cx="875099" cy="1114583"/>
                          </a:xfrm>
                          <a:prstGeom prst="rect">
                            <a:avLst/>
                          </a:prstGeom>
                          <a:noFill/>
                          <a:ln>
                            <a:solidFill>
                              <a:sysClr val="windowText" lastClr="000000"/>
                            </a:solidFill>
                          </a:ln>
                        </wps:spPr>
                        <wps:txbx>
                          <w:txbxContent>
                            <w:p w:rsidR="00C20F2B" w:rsidRDefault="00C20F2B" w:rsidP="00C20F2B">
                              <w:pPr>
                                <w:pStyle w:val="NormalWeb"/>
                                <w:jc w:val="center"/>
                              </w:pPr>
                              <w:r>
                                <w:rPr>
                                  <w:rFonts w:asciiTheme="minorHAnsi" w:hAnsi="Calibri" w:cstheme="minorBidi"/>
                                  <w:color w:val="000000" w:themeColor="text1"/>
                                  <w:kern w:val="24"/>
                                </w:rPr>
                                <w:t>Intellectual</w:t>
                              </w:r>
                            </w:p>
                            <w:p w:rsidR="00C20F2B" w:rsidRDefault="00C20F2B" w:rsidP="00C20F2B">
                              <w:pPr>
                                <w:pStyle w:val="NormalWeb"/>
                                <w:jc w:val="center"/>
                              </w:pPr>
                              <w:r>
                                <w:rPr>
                                  <w:rFonts w:asciiTheme="minorHAnsi" w:hAnsi="Calibri" w:cstheme="minorBidi"/>
                                  <w:color w:val="000000" w:themeColor="text1"/>
                                  <w:kern w:val="24"/>
                                </w:rPr>
                                <w:t>Ability</w:t>
                              </w:r>
                            </w:p>
                            <w:p w:rsidR="00C20F2B" w:rsidRDefault="00C20F2B" w:rsidP="00C20F2B">
                              <w:pPr>
                                <w:pStyle w:val="NormalWeb"/>
                                <w:jc w:val="center"/>
                              </w:pPr>
                              <w:r>
                                <w:rPr>
                                  <w:rFonts w:asciiTheme="minorHAnsi" w:hAnsi="Calibri" w:cstheme="minorBidi"/>
                                  <w:color w:val="000000" w:themeColor="text1"/>
                                  <w:kern w:val="24"/>
                                </w:rPr>
                                <w:t>1952-1972</w:t>
                              </w:r>
                            </w:p>
                          </w:txbxContent>
                        </wps:txbx>
                        <wps:bodyPr wrap="none" rtlCol="0">
                          <a:spAutoFit/>
                        </wps:bodyPr>
                      </wps:wsp>
                      <wps:wsp>
                        <wps:cNvPr id="3" name="Straight Arrow Connector 3"/>
                        <wps:cNvCnPr>
                          <a:endCxn id="4" idx="1"/>
                        </wps:cNvCnPr>
                        <wps:spPr>
                          <a:xfrm>
                            <a:off x="881573" y="815909"/>
                            <a:ext cx="828891" cy="795"/>
                          </a:xfrm>
                          <a:prstGeom prst="straightConnector1">
                            <a:avLst/>
                          </a:prstGeom>
                          <a:noFill/>
                          <a:ln w="9525" cap="flat" cmpd="sng" algn="ctr">
                            <a:solidFill>
                              <a:sysClr val="windowText" lastClr="000000"/>
                            </a:solidFill>
                            <a:prstDash val="solid"/>
                            <a:tailEnd type="triangle"/>
                          </a:ln>
                          <a:effectLst/>
                        </wps:spPr>
                        <wps:bodyPr/>
                      </wps:wsp>
                      <wps:wsp>
                        <wps:cNvPr id="4" name="TextBox 6"/>
                        <wps:cNvSpPr txBox="1"/>
                        <wps:spPr>
                          <a:xfrm>
                            <a:off x="1710329" y="493470"/>
                            <a:ext cx="911297" cy="1114582"/>
                          </a:xfrm>
                          <a:prstGeom prst="rect">
                            <a:avLst/>
                          </a:prstGeom>
                          <a:noFill/>
                          <a:ln>
                            <a:solidFill>
                              <a:sysClr val="windowText" lastClr="000000"/>
                            </a:solidFill>
                          </a:ln>
                        </wps:spPr>
                        <wps:txbx>
                          <w:txbxContent>
                            <w:p w:rsidR="00C20F2B" w:rsidRDefault="00C20F2B" w:rsidP="00C20F2B">
                              <w:pPr>
                                <w:pStyle w:val="NormalWeb"/>
                                <w:jc w:val="center"/>
                              </w:pPr>
                              <w:r>
                                <w:rPr>
                                  <w:rFonts w:asciiTheme="minorHAnsi" w:hAnsi="Calibri" w:cstheme="minorBidi"/>
                                  <w:color w:val="000000" w:themeColor="text1"/>
                                  <w:kern w:val="24"/>
                                </w:rPr>
                                <w:t>Physical</w:t>
                              </w:r>
                            </w:p>
                            <w:p w:rsidR="00C20F2B" w:rsidRDefault="00C20F2B" w:rsidP="00C20F2B">
                              <w:pPr>
                                <w:pStyle w:val="NormalWeb"/>
                                <w:jc w:val="center"/>
                              </w:pPr>
                              <w:r>
                                <w:rPr>
                                  <w:rFonts w:asciiTheme="minorHAnsi" w:hAnsi="Calibri" w:cstheme="minorBidi"/>
                                  <w:color w:val="000000" w:themeColor="text1"/>
                                  <w:kern w:val="24"/>
                                </w:rPr>
                                <w:t>Functioning</w:t>
                              </w:r>
                            </w:p>
                            <w:p w:rsidR="00C20F2B" w:rsidRDefault="00C20F2B" w:rsidP="00C20F2B">
                              <w:pPr>
                                <w:pStyle w:val="NormalWeb"/>
                                <w:jc w:val="center"/>
                              </w:pPr>
                              <w:r>
                                <w:rPr>
                                  <w:rFonts w:asciiTheme="minorHAnsi" w:hAnsi="Calibri" w:cstheme="minorBidi"/>
                                  <w:color w:val="000000" w:themeColor="text1"/>
                                  <w:kern w:val="24"/>
                                </w:rPr>
                                <w:t>2001-2004</w:t>
                              </w:r>
                            </w:p>
                          </w:txbxContent>
                        </wps:txbx>
                        <wps:bodyPr wrap="none" rtlCol="0">
                          <a:spAutoFit/>
                        </wps:bodyPr>
                      </wps:wsp>
                      <wps:wsp>
                        <wps:cNvPr id="5" name="TextBox 7"/>
                        <wps:cNvSpPr txBox="1"/>
                        <wps:spPr>
                          <a:xfrm>
                            <a:off x="3487767" y="493436"/>
                            <a:ext cx="911297" cy="1114582"/>
                          </a:xfrm>
                          <a:prstGeom prst="rect">
                            <a:avLst/>
                          </a:prstGeom>
                          <a:noFill/>
                          <a:ln>
                            <a:solidFill>
                              <a:sysClr val="windowText" lastClr="000000"/>
                            </a:solidFill>
                          </a:ln>
                        </wps:spPr>
                        <wps:txbx>
                          <w:txbxContent>
                            <w:p w:rsidR="00C20F2B" w:rsidRDefault="00C20F2B" w:rsidP="00C20F2B">
                              <w:pPr>
                                <w:pStyle w:val="NormalWeb"/>
                                <w:jc w:val="center"/>
                              </w:pPr>
                              <w:r>
                                <w:rPr>
                                  <w:rFonts w:asciiTheme="minorHAnsi" w:hAnsi="Calibri" w:cstheme="minorBidi"/>
                                  <w:color w:val="000000" w:themeColor="text1"/>
                                  <w:kern w:val="24"/>
                                </w:rPr>
                                <w:t>Physical</w:t>
                              </w:r>
                            </w:p>
                            <w:p w:rsidR="00C20F2B" w:rsidRDefault="00C20F2B" w:rsidP="00C20F2B">
                              <w:pPr>
                                <w:pStyle w:val="NormalWeb"/>
                                <w:jc w:val="center"/>
                              </w:pPr>
                              <w:r>
                                <w:rPr>
                                  <w:rFonts w:asciiTheme="minorHAnsi" w:hAnsi="Calibri" w:cstheme="minorBidi"/>
                                  <w:color w:val="000000" w:themeColor="text1"/>
                                  <w:kern w:val="24"/>
                                </w:rPr>
                                <w:t>Functioning</w:t>
                              </w:r>
                            </w:p>
                            <w:p w:rsidR="00C20F2B" w:rsidRDefault="00C20F2B" w:rsidP="00C20F2B">
                              <w:pPr>
                                <w:pStyle w:val="NormalWeb"/>
                                <w:jc w:val="center"/>
                              </w:pPr>
                              <w:r>
                                <w:rPr>
                                  <w:rFonts w:asciiTheme="minorHAnsi" w:hAnsi="Calibri" w:cstheme="minorBidi"/>
                                  <w:color w:val="000000" w:themeColor="text1"/>
                                  <w:kern w:val="24"/>
                                </w:rPr>
                                <w:t>2013</w:t>
                              </w:r>
                            </w:p>
                          </w:txbxContent>
                        </wps:txbx>
                        <wps:bodyPr wrap="none" rtlCol="0">
                          <a:spAutoFit/>
                        </wps:bodyPr>
                      </wps:wsp>
                      <wps:wsp>
                        <wps:cNvPr id="6" name="Arc 6"/>
                        <wps:cNvSpPr/>
                        <wps:spPr>
                          <a:xfrm>
                            <a:off x="815888" y="233699"/>
                            <a:ext cx="2747734" cy="742940"/>
                          </a:xfrm>
                          <a:prstGeom prst="arc">
                            <a:avLst>
                              <a:gd name="adj1" fmla="val 11066944"/>
                              <a:gd name="adj2" fmla="val 21293323"/>
                            </a:avLst>
                          </a:prstGeom>
                          <a:noFill/>
                          <a:ln w="9525" cap="flat" cmpd="sng" algn="ctr">
                            <a:solidFill>
                              <a:sysClr val="windowText" lastClr="000000"/>
                            </a:solidFill>
                            <a:prstDash val="solid"/>
                            <a:tailEnd type="triangle"/>
                          </a:ln>
                          <a:effectLst/>
                        </wps:spPr>
                        <wps:bodyPr rtlCol="0" anchor="ctr"/>
                      </wps:wsp>
                      <wps:wsp>
                        <wps:cNvPr id="7" name="Straight Arrow Connector 7"/>
                        <wps:cNvCnPr/>
                        <wps:spPr>
                          <a:xfrm>
                            <a:off x="2635460" y="807858"/>
                            <a:ext cx="850439" cy="0"/>
                          </a:xfrm>
                          <a:prstGeom prst="straightConnector1">
                            <a:avLst/>
                          </a:prstGeom>
                          <a:noFill/>
                          <a:ln w="9525" cap="flat" cmpd="sng" algn="ctr">
                            <a:solidFill>
                              <a:sysClr val="windowText" lastClr="000000"/>
                            </a:solidFill>
                            <a:prstDash val="solid"/>
                            <a:tailEnd type="triangle"/>
                          </a:ln>
                          <a:effectLst/>
                        </wps:spPr>
                        <wps:bodyPr/>
                      </wps:wsp>
                      <wps:wsp>
                        <wps:cNvPr id="8" name="TextBox 11"/>
                        <wps:cNvSpPr txBox="1"/>
                        <wps:spPr>
                          <a:xfrm>
                            <a:off x="1138139" y="582188"/>
                            <a:ext cx="327051" cy="457900"/>
                          </a:xfrm>
                          <a:prstGeom prst="rect">
                            <a:avLst/>
                          </a:prstGeom>
                          <a:noFill/>
                        </wps:spPr>
                        <wps:txbx>
                          <w:txbxContent>
                            <w:p w:rsidR="00C20F2B" w:rsidRDefault="00C20F2B" w:rsidP="00C20F2B">
                              <w:pPr>
                                <w:pStyle w:val="NormalWeb"/>
                              </w:pPr>
                              <w:r>
                                <w:rPr>
                                  <w:rFonts w:ascii="Arial" w:hAnsi="Arial" w:cs="Arial"/>
                                  <w:i/>
                                  <w:iCs/>
                                  <w:color w:val="000000" w:themeColor="text1"/>
                                  <w:kern w:val="24"/>
                                  <w:lang w:val="el-GR"/>
                                </w:rPr>
                                <w:t>β</w:t>
                              </w:r>
                              <w:r>
                                <w:rPr>
                                  <w:rFonts w:ascii="Arial" w:hAnsi="Arial" w:cs="Arial"/>
                                  <w:color w:val="000000" w:themeColor="text1"/>
                                  <w:kern w:val="24"/>
                                  <w:position w:val="-6"/>
                                  <w:vertAlign w:val="subscript"/>
                                </w:rPr>
                                <w:t>1</w:t>
                              </w:r>
                            </w:p>
                          </w:txbxContent>
                        </wps:txbx>
                        <wps:bodyPr wrap="none" rtlCol="0">
                          <a:spAutoFit/>
                        </wps:bodyPr>
                      </wps:wsp>
                      <wps:wsp>
                        <wps:cNvPr id="9" name="TextBox 13"/>
                        <wps:cNvSpPr txBox="1"/>
                        <wps:spPr>
                          <a:xfrm>
                            <a:off x="2879659" y="574173"/>
                            <a:ext cx="327051" cy="457900"/>
                          </a:xfrm>
                          <a:prstGeom prst="rect">
                            <a:avLst/>
                          </a:prstGeom>
                          <a:noFill/>
                        </wps:spPr>
                        <wps:txbx>
                          <w:txbxContent>
                            <w:p w:rsidR="00C20F2B" w:rsidRDefault="00C20F2B" w:rsidP="00C20F2B">
                              <w:pPr>
                                <w:pStyle w:val="NormalWeb"/>
                              </w:pPr>
                              <w:r>
                                <w:rPr>
                                  <w:rFonts w:ascii="Arial" w:hAnsi="Arial" w:cs="Arial"/>
                                  <w:i/>
                                  <w:iCs/>
                                  <w:color w:val="000000" w:themeColor="text1"/>
                                  <w:kern w:val="24"/>
                                  <w:lang w:val="el-GR"/>
                                </w:rPr>
                                <w:t>β</w:t>
                              </w:r>
                              <w:r>
                                <w:rPr>
                                  <w:rFonts w:ascii="Arial" w:hAnsi="Arial" w:cs="Arial"/>
                                  <w:color w:val="000000" w:themeColor="text1"/>
                                  <w:kern w:val="24"/>
                                  <w:position w:val="-6"/>
                                  <w:vertAlign w:val="subscript"/>
                                </w:rPr>
                                <w:t>3</w:t>
                              </w:r>
                            </w:p>
                          </w:txbxContent>
                        </wps:txbx>
                        <wps:bodyPr wrap="none" rtlCol="0">
                          <a:spAutoFit/>
                        </wps:bodyPr>
                      </wps:wsp>
                      <wps:wsp>
                        <wps:cNvPr id="10" name="TextBox 14"/>
                        <wps:cNvSpPr txBox="1"/>
                        <wps:spPr>
                          <a:xfrm>
                            <a:off x="2003759" y="0"/>
                            <a:ext cx="327051" cy="457900"/>
                          </a:xfrm>
                          <a:prstGeom prst="rect">
                            <a:avLst/>
                          </a:prstGeom>
                          <a:noFill/>
                        </wps:spPr>
                        <wps:txbx>
                          <w:txbxContent>
                            <w:p w:rsidR="00C20F2B" w:rsidRDefault="00C20F2B" w:rsidP="00C20F2B">
                              <w:pPr>
                                <w:pStyle w:val="NormalWeb"/>
                              </w:pPr>
                              <w:r>
                                <w:rPr>
                                  <w:rFonts w:ascii="Arial" w:hAnsi="Arial" w:cs="Arial"/>
                                  <w:i/>
                                  <w:iCs/>
                                  <w:color w:val="000000" w:themeColor="text1"/>
                                  <w:kern w:val="24"/>
                                  <w:lang w:val="el-GR"/>
                                </w:rPr>
                                <w:t>β</w:t>
                              </w:r>
                              <w:r>
                                <w:rPr>
                                  <w:rFonts w:ascii="Arial" w:hAnsi="Arial" w:cs="Arial"/>
                                  <w:color w:val="000000" w:themeColor="text1"/>
                                  <w:kern w:val="24"/>
                                  <w:position w:val="-6"/>
                                  <w:vertAlign w:val="subscript"/>
                                </w:rPr>
                                <w:t>2</w:t>
                              </w:r>
                            </w:p>
                          </w:txbxContent>
                        </wps:txbx>
                        <wps:bodyPr wrap="none" rtlCol="0">
                          <a:spAutoFit/>
                        </wps:bodyPr>
                      </wps:wsp>
                    </wpg:wgp>
                  </a:graphicData>
                </a:graphic>
              </wp:anchor>
            </w:drawing>
          </mc:Choice>
          <mc:Fallback>
            <w:pict>
              <v:group id="Group 16" o:spid="_x0000_s1026" style="position:absolute;margin-left:34.45pt;margin-top:8pt;width:346.35pt;height:127.05pt;z-index:251659264" coordsize="43990,1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">
                <v:shapetype id="_x0000_t202" coordsize="21600,21600" o:spt="202" path="m,l,21600r21600,l21600,xe">
                  <v:stroke joinstyle="miter"/>
                  <v:path gradientshapeok="t" o:connecttype="rect"/>
                </v:shapetype>
                <v:shape id="TextBox 4" o:spid="_x0000_s1027" type="#_x0000_t202" style="position:absolute;top:4993;width:8750;height:111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A4rMQA&#10;AADaAAAADwAAAGRycy9kb3ducmV2LnhtbESPQWvCQBSE7wX/w/KEXkqzUURKmlVEEEo9lCZC6e01&#10;+5qkyb4Nu6vGf+8WBI/DzHzD5OvR9OJEzreWFcySFARxZXXLtYJDuXt+AeEDssbeMim4kIf1avKQ&#10;Y6btmT/pVIRaRAj7DBU0IQyZlL5qyKBP7EAcvV/rDIYoXS21w3OEm17O03QpDbYcFxocaNtQ1RVH&#10;o+D44b8vi/3f+1PNXyV27U837p1Sj9Nx8woi0Bju4Vv7TSuYw/+Ve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OKzEAAAA2gAAAA8AAAAAAAAAAAAAAAAAmAIAAGRycy9k&#10;b3ducmV2LnhtbFBLBQYAAAAABAAEAPUAAACJAwAAAAA=&#10;" filled="f" strokecolor="windowText">
                  <v:textbox style="mso-fit-shape-to-text:t">
                    <w:txbxContent>
                      <w:p w:rsidR="00C20F2B" w:rsidRDefault="00C20F2B" w:rsidP="00C20F2B">
                        <w:pPr>
                          <w:pStyle w:val="NormalWeb"/>
                          <w:jc w:val="center"/>
                        </w:pPr>
                        <w:proofErr w:type="spellStart"/>
                        <w:r>
                          <w:rPr>
                            <w:rFonts w:asciiTheme="minorHAnsi" w:hAnsi="Calibri" w:cstheme="minorBidi"/>
                            <w:color w:val="000000" w:themeColor="text1"/>
                            <w:kern w:val="24"/>
                          </w:rPr>
                          <w:t>Intellectual</w:t>
                        </w:r>
                        <w:proofErr w:type="spellEnd"/>
                      </w:p>
                      <w:p w:rsidR="00C20F2B" w:rsidRDefault="00C20F2B" w:rsidP="00C20F2B">
                        <w:pPr>
                          <w:pStyle w:val="NormalWeb"/>
                          <w:jc w:val="center"/>
                        </w:pPr>
                        <w:proofErr w:type="spellStart"/>
                        <w:r>
                          <w:rPr>
                            <w:rFonts w:asciiTheme="minorHAnsi" w:hAnsi="Calibri" w:cstheme="minorBidi"/>
                            <w:color w:val="000000" w:themeColor="text1"/>
                            <w:kern w:val="24"/>
                          </w:rPr>
                          <w:t>Ability</w:t>
                        </w:r>
                        <w:proofErr w:type="spellEnd"/>
                      </w:p>
                      <w:p w:rsidR="00C20F2B" w:rsidRDefault="00C20F2B" w:rsidP="00C20F2B">
                        <w:pPr>
                          <w:pStyle w:val="NormalWeb"/>
                          <w:jc w:val="center"/>
                        </w:pPr>
                        <w:proofErr w:type="gramStart"/>
                        <w:r>
                          <w:rPr>
                            <w:rFonts w:asciiTheme="minorHAnsi" w:hAnsi="Calibri" w:cstheme="minorBidi"/>
                            <w:color w:val="000000" w:themeColor="text1"/>
                            <w:kern w:val="24"/>
                          </w:rPr>
                          <w:t>1952-1972</w:t>
                        </w:r>
                        <w:proofErr w:type="gramEnd"/>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8815;top:8159;width:828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Y0msQAAADaAAAADwAAAGRycy9kb3ducmV2LnhtbESPQUvDQBSE74L/YXlCb3ZTK1Jit6WK&#10;hXqSJC14fM2+ZqPZt2F328R/7wpCj8PMfMMs16PtxIV8aB0rmE0zEMS10y03CvbV9n4BIkRkjZ1j&#10;UvBDAdar25sl5toNXNCljI1IEA45KjAx9rmUoTZkMUxdT5y8k/MWY5K+kdrjkOC2kw9Z9iQttpwW&#10;DPb0aqj+Ls9WQSH9y3v52FXV8Gbmxw99+Cy+DkpN7sbNM4hIY7yG/9s7rWAOf1fS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jSaxAAAANoAAAAPAAAAAAAAAAAA&#10;AAAAAKECAABkcnMvZG93bnJldi54bWxQSwUGAAAAAAQABAD5AAAAkgMAAAAA&#10;" strokecolor="windowText">
                  <v:stroke endarrow="block"/>
                </v:shape>
                <v:shape id="TextBox 6" o:spid="_x0000_s1029" type="#_x0000_t202" style="position:absolute;left:17103;top:4934;width:9113;height:111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FQ8MA&#10;AADaAAAADwAAAGRycy9kb3ducmV2LnhtbESPT4vCMBTE74LfITzBi6ypIrJ0jSKCIHoQ/8Cyt7fN&#10;27bb5qUkUeu3N4LgcZiZ3zCzRWtqcSXnS8sKRsMEBHFmdcm5gvNp/fEJwgdkjbVlUnAnD4t5tzPD&#10;VNsbH+h6DLmIEPYpKihCaFIpfVaQQT+0DXH0/qwzGKJ0udQObxFuajlOkqk0WHJcKLChVUFZdbwY&#10;BZe9/7lPdv/bQc7fJ6zK36rdOaX6vXb5BSJQG97hV3ujFUzgeS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UFQ8MAAADaAAAADwAAAAAAAAAAAAAAAACYAgAAZHJzL2Rv&#10;d25yZXYueG1sUEsFBgAAAAAEAAQA9QAAAIgDAAAAAA==&#10;" filled="f" strokecolor="windowText">
                  <v:textbox style="mso-fit-shape-to-text:t">
                    <w:txbxContent>
                      <w:p w:rsidR="00C20F2B" w:rsidRDefault="00C20F2B" w:rsidP="00C20F2B">
                        <w:pPr>
                          <w:pStyle w:val="NormalWeb"/>
                          <w:jc w:val="center"/>
                        </w:pPr>
                        <w:proofErr w:type="spellStart"/>
                        <w:r>
                          <w:rPr>
                            <w:rFonts w:asciiTheme="minorHAnsi" w:hAnsi="Calibri" w:cstheme="minorBidi"/>
                            <w:color w:val="000000" w:themeColor="text1"/>
                            <w:kern w:val="24"/>
                          </w:rPr>
                          <w:t>Physical</w:t>
                        </w:r>
                        <w:proofErr w:type="spellEnd"/>
                      </w:p>
                      <w:p w:rsidR="00C20F2B" w:rsidRDefault="00C20F2B" w:rsidP="00C20F2B">
                        <w:pPr>
                          <w:pStyle w:val="NormalWeb"/>
                          <w:jc w:val="center"/>
                        </w:pPr>
                        <w:proofErr w:type="spellStart"/>
                        <w:r>
                          <w:rPr>
                            <w:rFonts w:asciiTheme="minorHAnsi" w:hAnsi="Calibri" w:cstheme="minorBidi"/>
                            <w:color w:val="000000" w:themeColor="text1"/>
                            <w:kern w:val="24"/>
                          </w:rPr>
                          <w:t>Functioning</w:t>
                        </w:r>
                        <w:proofErr w:type="spellEnd"/>
                      </w:p>
                      <w:p w:rsidR="00C20F2B" w:rsidRDefault="00C20F2B" w:rsidP="00C20F2B">
                        <w:pPr>
                          <w:pStyle w:val="NormalWeb"/>
                          <w:jc w:val="center"/>
                        </w:pPr>
                        <w:proofErr w:type="gramStart"/>
                        <w:r>
                          <w:rPr>
                            <w:rFonts w:asciiTheme="minorHAnsi" w:hAnsi="Calibri" w:cstheme="minorBidi"/>
                            <w:color w:val="000000" w:themeColor="text1"/>
                            <w:kern w:val="24"/>
                          </w:rPr>
                          <w:t>2001-2004</w:t>
                        </w:r>
                        <w:proofErr w:type="gramEnd"/>
                      </w:p>
                    </w:txbxContent>
                  </v:textbox>
                </v:shape>
                <v:shape id="TextBox 7" o:spid="_x0000_s1030" type="#_x0000_t202" style="position:absolute;left:34877;top:4934;width:9113;height:111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g2MQA&#10;AADaAAAADwAAAGRycy9kb3ducmV2LnhtbESPT4vCMBTE7wt+h/AEL4umK+4i1SiyIIgeFv+AeHs2&#10;z7a2eSlJ1PrtN8LCHoeZ+Q0znbemFndyvrSs4GOQgCDOrC45V3DYL/tjED4ga6wtk4IneZjPOm9T&#10;TLV98Jbuu5CLCGGfooIihCaV0mcFGfQD2xBH72KdwRCly6V2+IhwU8thknxJgyXHhQIb+i4oq3Y3&#10;o+D240/P0ea6fs/5uMeqPFftxinV67aLCYhAbfgP/7VXWsEn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poNjEAAAA2gAAAA8AAAAAAAAAAAAAAAAAmAIAAGRycy9k&#10;b3ducmV2LnhtbFBLBQYAAAAABAAEAPUAAACJAwAAAAA=&#10;" filled="f" strokecolor="windowText">
                  <v:textbox style="mso-fit-shape-to-text:t">
                    <w:txbxContent>
                      <w:p w:rsidR="00C20F2B" w:rsidRDefault="00C20F2B" w:rsidP="00C20F2B">
                        <w:pPr>
                          <w:pStyle w:val="NormalWeb"/>
                          <w:jc w:val="center"/>
                        </w:pPr>
                        <w:proofErr w:type="spellStart"/>
                        <w:r>
                          <w:rPr>
                            <w:rFonts w:asciiTheme="minorHAnsi" w:hAnsi="Calibri" w:cstheme="minorBidi"/>
                            <w:color w:val="000000" w:themeColor="text1"/>
                            <w:kern w:val="24"/>
                          </w:rPr>
                          <w:t>Physical</w:t>
                        </w:r>
                        <w:proofErr w:type="spellEnd"/>
                      </w:p>
                      <w:p w:rsidR="00C20F2B" w:rsidRDefault="00C20F2B" w:rsidP="00C20F2B">
                        <w:pPr>
                          <w:pStyle w:val="NormalWeb"/>
                          <w:jc w:val="center"/>
                        </w:pPr>
                        <w:proofErr w:type="spellStart"/>
                        <w:r>
                          <w:rPr>
                            <w:rFonts w:asciiTheme="minorHAnsi" w:hAnsi="Calibri" w:cstheme="minorBidi"/>
                            <w:color w:val="000000" w:themeColor="text1"/>
                            <w:kern w:val="24"/>
                          </w:rPr>
                          <w:t>Functioning</w:t>
                        </w:r>
                        <w:proofErr w:type="spellEnd"/>
                      </w:p>
                      <w:p w:rsidR="00C20F2B" w:rsidRDefault="00C20F2B" w:rsidP="00C20F2B">
                        <w:pPr>
                          <w:pStyle w:val="NormalWeb"/>
                          <w:jc w:val="center"/>
                        </w:pPr>
                        <w:r>
                          <w:rPr>
                            <w:rFonts w:asciiTheme="minorHAnsi" w:hAnsi="Calibri" w:cstheme="minorBidi"/>
                            <w:color w:val="000000" w:themeColor="text1"/>
                            <w:kern w:val="24"/>
                          </w:rPr>
                          <w:t>2013</w:t>
                        </w:r>
                      </w:p>
                    </w:txbxContent>
                  </v:textbox>
                </v:shape>
                <v:shape id="Arc 6" o:spid="_x0000_s1031" style="position:absolute;left:8158;top:2336;width:27478;height:7430;visibility:visible;mso-wrap-style:square;v-text-anchor:middle" coordsize="2747734,74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Uk8MA&#10;AADaAAAADwAAAGRycy9kb3ducmV2LnhtbESPT2vCQBTE7wW/w/IEL0U3igSJruIfLLYnGwWvj+wz&#10;G82+Ddmtpt++Wyj0OMzMb5jFqrO1eFDrK8cKxqMEBHHhdMWlgvNpP5yB8AFZY+2YFHyTh9Wy97LA&#10;TLsnf9IjD6WIEPYZKjAhNJmUvjBk0Y9cQxy9q2sthijbUuoWnxFuazlJklRarDguGGxoa6i4519W&#10;wfvx9cZHvynWN1PvAl0+3qbjVKlBv1vPQQTqwn/4r33QClL4vR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KUk8MAAADaAAAADwAAAAAAAAAAAAAAAACYAgAAZHJzL2Rv&#10;d25yZXYueG1sUEsFBgAAAAAEAAQA9QAAAIgDAAAAAA==&#10;" path="m53579,268742nsc222726,109814,760078,259,1371720,v593292,-251,1120157,102502,1306494,254801l1373867,371470,53579,268742xem53579,268742nfc222726,109814,760078,259,1371720,v593292,-251,1120157,102502,1306494,254801e" filled="f" strokecolor="windowText">
                  <v:stroke endarrow="block"/>
                  <v:path arrowok="t" o:connecttype="custom" o:connectlocs="53579,268742;1371720,0;2678214,254801" o:connectangles="0,0,0"/>
                </v:shape>
                <v:shape id="Straight Arrow Connector 7" o:spid="_x0000_s1032" type="#_x0000_t32" style="position:absolute;left:26354;top:8078;width:85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0ymcQAAADaAAAADwAAAGRycy9kb3ducmV2LnhtbESPQUvDQBSE74L/YXlCb3ajFS1pt0VL&#10;BT1JkhZ6fM2+ZqPZt2F3beK/d4WCx2FmvmGW69F24kw+tI4V3E0zEMS10y03CnbV6+0cRIjIGjvH&#10;pOCHAqxX11dLzLUbuKBzGRuRIBxyVGBi7HMpQ23IYpi6njh5J+ctxiR9I7XHIcFtJ++z7FFabDkt&#10;GOxpY6j+Kr+tgkL6l/fyoauqYWtmxw+9PxSfe6UmN+PzAkSkMf6HL+03reAJ/q6kG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PTKZxAAAANoAAAAPAAAAAAAAAAAA&#10;AAAAAKECAABkcnMvZG93bnJldi54bWxQSwUGAAAAAAQABAD5AAAAkgMAAAAA&#10;" strokecolor="windowText">
                  <v:stroke endarrow="block"/>
                </v:shape>
                <v:shape id="TextBox 11" o:spid="_x0000_s1033" type="#_x0000_t202" style="position:absolute;left:11381;top:5821;width:3270;height:45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rsidR="00C20F2B" w:rsidRDefault="00C20F2B" w:rsidP="00C20F2B">
                        <w:pPr>
                          <w:pStyle w:val="NormalWeb"/>
                        </w:pPr>
                        <w:r>
                          <w:rPr>
                            <w:rFonts w:ascii="Arial" w:hAnsi="Arial" w:cs="Arial"/>
                            <w:i/>
                            <w:iCs/>
                            <w:color w:val="000000" w:themeColor="text1"/>
                            <w:kern w:val="24"/>
                            <w:lang w:val="el-GR"/>
                          </w:rPr>
                          <w:t>β</w:t>
                        </w:r>
                        <w:r>
                          <w:rPr>
                            <w:rFonts w:ascii="Arial" w:hAnsi="Arial" w:cs="Arial"/>
                            <w:color w:val="000000" w:themeColor="text1"/>
                            <w:kern w:val="24"/>
                            <w:position w:val="-6"/>
                            <w:vertAlign w:val="subscript"/>
                          </w:rPr>
                          <w:t>1</w:t>
                        </w:r>
                      </w:p>
                    </w:txbxContent>
                  </v:textbox>
                </v:shape>
                <v:shape id="TextBox 13" o:spid="_x0000_s1034" type="#_x0000_t202" style="position:absolute;left:28796;top:5741;width:3271;height:45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fit-shape-to-text:t">
                    <w:txbxContent>
                      <w:p w:rsidR="00C20F2B" w:rsidRDefault="00C20F2B" w:rsidP="00C20F2B">
                        <w:pPr>
                          <w:pStyle w:val="NormalWeb"/>
                        </w:pPr>
                        <w:r>
                          <w:rPr>
                            <w:rFonts w:ascii="Arial" w:hAnsi="Arial" w:cs="Arial"/>
                            <w:i/>
                            <w:iCs/>
                            <w:color w:val="000000" w:themeColor="text1"/>
                            <w:kern w:val="24"/>
                            <w:lang w:val="el-GR"/>
                          </w:rPr>
                          <w:t>β</w:t>
                        </w:r>
                        <w:r>
                          <w:rPr>
                            <w:rFonts w:ascii="Arial" w:hAnsi="Arial" w:cs="Arial"/>
                            <w:color w:val="000000" w:themeColor="text1"/>
                            <w:kern w:val="24"/>
                            <w:position w:val="-6"/>
                            <w:vertAlign w:val="subscript"/>
                          </w:rPr>
                          <w:t>3</w:t>
                        </w:r>
                      </w:p>
                    </w:txbxContent>
                  </v:textbox>
                </v:shape>
                <v:shape id="TextBox 14" o:spid="_x0000_s1035" type="#_x0000_t202" style="position:absolute;left:20037;width:3271;height:45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C20F2B" w:rsidRDefault="00C20F2B" w:rsidP="00C20F2B">
                        <w:pPr>
                          <w:pStyle w:val="NormalWeb"/>
                        </w:pPr>
                        <w:r>
                          <w:rPr>
                            <w:rFonts w:ascii="Arial" w:hAnsi="Arial" w:cs="Arial"/>
                            <w:i/>
                            <w:iCs/>
                            <w:color w:val="000000" w:themeColor="text1"/>
                            <w:kern w:val="24"/>
                            <w:lang w:val="el-GR"/>
                          </w:rPr>
                          <w:t>β</w:t>
                        </w:r>
                        <w:r>
                          <w:rPr>
                            <w:rFonts w:ascii="Arial" w:hAnsi="Arial" w:cs="Arial"/>
                            <w:color w:val="000000" w:themeColor="text1"/>
                            <w:kern w:val="24"/>
                            <w:position w:val="-6"/>
                            <w:vertAlign w:val="subscript"/>
                          </w:rPr>
                          <w:t>2</w:t>
                        </w:r>
                      </w:p>
                    </w:txbxContent>
                  </v:textbox>
                </v:shape>
              </v:group>
            </w:pict>
          </mc:Fallback>
        </mc:AlternateContent>
      </w:r>
    </w:p>
    <w:p w:rsidR="00C20F2B" w:rsidRPr="00C20F2B" w:rsidRDefault="00C20F2B" w:rsidP="00C20F2B">
      <w:pPr>
        <w:spacing w:after="0" w:line="240" w:lineRule="auto"/>
        <w:rPr>
          <w:rFonts w:ascii="Times New Roman" w:hAnsi="Times New Roman" w:cs="Times New Roman"/>
          <w:b/>
          <w:sz w:val="24"/>
          <w:szCs w:val="24"/>
          <w:lang w:val="en-US"/>
        </w:rPr>
      </w:pPr>
    </w:p>
    <w:p w:rsidR="00C20F2B" w:rsidRPr="00C20F2B" w:rsidRDefault="00C20F2B" w:rsidP="00C20F2B">
      <w:pPr>
        <w:spacing w:after="0" w:line="240" w:lineRule="auto"/>
        <w:rPr>
          <w:rFonts w:ascii="Times New Roman" w:hAnsi="Times New Roman" w:cs="Times New Roman"/>
          <w:b/>
          <w:sz w:val="24"/>
          <w:szCs w:val="24"/>
          <w:lang w:val="en-US"/>
        </w:rPr>
      </w:pPr>
    </w:p>
    <w:p w:rsidR="00C20F2B" w:rsidRPr="00C20F2B" w:rsidRDefault="00C20F2B" w:rsidP="00C20F2B">
      <w:pPr>
        <w:spacing w:after="0" w:line="240" w:lineRule="auto"/>
        <w:rPr>
          <w:rFonts w:ascii="Times New Roman" w:hAnsi="Times New Roman" w:cs="Times New Roman"/>
          <w:b/>
          <w:sz w:val="24"/>
          <w:szCs w:val="24"/>
          <w:lang w:val="en-US"/>
        </w:rPr>
      </w:pPr>
    </w:p>
    <w:p w:rsidR="00C20F2B" w:rsidRPr="00C20F2B" w:rsidRDefault="00C20F2B" w:rsidP="00C20F2B">
      <w:pPr>
        <w:spacing w:after="0" w:line="240" w:lineRule="auto"/>
        <w:rPr>
          <w:rFonts w:ascii="Times New Roman" w:hAnsi="Times New Roman" w:cs="Times New Roman"/>
          <w:b/>
          <w:sz w:val="24"/>
          <w:szCs w:val="24"/>
          <w:lang w:val="en-US"/>
        </w:rPr>
      </w:pPr>
    </w:p>
    <w:p w:rsidR="00C20F2B" w:rsidRPr="00C20F2B" w:rsidRDefault="00C20F2B" w:rsidP="00C20F2B">
      <w:pPr>
        <w:spacing w:after="0" w:line="240" w:lineRule="auto"/>
        <w:rPr>
          <w:rFonts w:ascii="Times New Roman" w:hAnsi="Times New Roman" w:cs="Times New Roman"/>
          <w:b/>
          <w:sz w:val="24"/>
          <w:szCs w:val="24"/>
          <w:lang w:val="en-US"/>
        </w:rPr>
      </w:pPr>
      <w:r w:rsidRPr="00C20F2B">
        <w:rPr>
          <w:rFonts w:ascii="Times New Roman" w:hAnsi="Times New Roman" w:cs="Times New Roman"/>
          <w:b/>
          <w:sz w:val="24"/>
          <w:szCs w:val="24"/>
          <w:lang w:val="en-US"/>
        </w:rPr>
        <w:tab/>
      </w:r>
      <w:r w:rsidRPr="00C20F2B">
        <w:rPr>
          <w:rFonts w:ascii="Times New Roman" w:hAnsi="Times New Roman" w:cs="Times New Roman"/>
          <w:b/>
          <w:sz w:val="24"/>
          <w:szCs w:val="24"/>
          <w:lang w:val="en-US"/>
        </w:rPr>
        <w:tab/>
      </w:r>
    </w:p>
    <w:p w:rsidR="00C20F2B" w:rsidRDefault="00C20F2B">
      <w:pPr>
        <w:rPr>
          <w:lang w:val="en-US"/>
        </w:rPr>
      </w:pPr>
    </w:p>
    <w:p w:rsidR="00191C60" w:rsidRDefault="00191C60">
      <w:pPr>
        <w:rPr>
          <w:lang w:val="en-US"/>
        </w:rPr>
      </w:pPr>
    </w:p>
    <w:p w:rsidR="00191C60" w:rsidRDefault="00191C60">
      <w:pPr>
        <w:rPr>
          <w:lang w:val="en-US"/>
        </w:rPr>
      </w:pPr>
    </w:p>
    <w:p w:rsidR="00191C60" w:rsidRDefault="00191C60">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pPr>
    </w:p>
    <w:p w:rsidR="00732DCE" w:rsidRDefault="00732DCE">
      <w:pPr>
        <w:rPr>
          <w:lang w:val="en-US"/>
        </w:rPr>
        <w:sectPr w:rsidR="00732DCE">
          <w:pgSz w:w="11906" w:h="16838"/>
          <w:pgMar w:top="1440" w:right="1440" w:bottom="1440" w:left="1440" w:header="708" w:footer="708" w:gutter="0"/>
          <w:cols w:space="708"/>
          <w:docGrid w:linePitch="360"/>
        </w:sectPr>
      </w:pPr>
    </w:p>
    <w:p w:rsidR="00732DCE" w:rsidRDefault="00732DCE">
      <w:pPr>
        <w:rPr>
          <w:lang w:val="en-US"/>
        </w:rPr>
      </w:pPr>
    </w:p>
    <w:p w:rsidR="00191C60" w:rsidRPr="00191C60" w:rsidRDefault="00191C60" w:rsidP="00191C60">
      <w:pPr>
        <w:pStyle w:val="NormalWeb"/>
        <w:rPr>
          <w:lang w:val="en-US"/>
        </w:rPr>
      </w:pPr>
      <w:r w:rsidRPr="00191C60">
        <w:rPr>
          <w:lang w:val="en-US"/>
        </w:rPr>
        <w:fldChar w:fldCharType="begin"/>
      </w:r>
      <w:r w:rsidRPr="00191C60">
        <w:rPr>
          <w:lang w:val="en-US"/>
        </w:rPr>
        <w:instrText>ADDIN RW.BIB</w:instrText>
      </w:r>
      <w:r w:rsidRPr="00191C60">
        <w:rPr>
          <w:lang w:val="en-US"/>
        </w:rPr>
        <w:fldChar w:fldCharType="separate"/>
      </w:r>
      <w:r w:rsidRPr="00191C60">
        <w:rPr>
          <w:lang w:val="en-US"/>
        </w:rPr>
        <w:t>References</w:t>
      </w:r>
    </w:p>
    <w:p w:rsidR="00191C60" w:rsidRPr="00191C60" w:rsidRDefault="00191C60" w:rsidP="00191C60">
      <w:pPr>
        <w:pStyle w:val="NormalWeb"/>
        <w:rPr>
          <w:lang w:val="en-US"/>
        </w:rPr>
      </w:pPr>
      <w:r w:rsidRPr="00191C60">
        <w:rPr>
          <w:lang w:val="en-US"/>
        </w:rPr>
        <w:t xml:space="preserve">1. Barker DJ, Osmond C, Forsen TJ, Kajantie E, Eriksson JG: </w:t>
      </w:r>
      <w:r w:rsidRPr="00191C60">
        <w:rPr>
          <w:b/>
          <w:bCs/>
          <w:lang w:val="en-US"/>
        </w:rPr>
        <w:t xml:space="preserve">Trajectories of growth among children who have coronary events as adults. </w:t>
      </w:r>
      <w:r w:rsidRPr="00191C60">
        <w:rPr>
          <w:i/>
          <w:iCs/>
          <w:lang w:val="en-US"/>
        </w:rPr>
        <w:t xml:space="preserve">N Engl J Med </w:t>
      </w:r>
      <w:r w:rsidRPr="00191C60">
        <w:rPr>
          <w:lang w:val="en-US"/>
        </w:rPr>
        <w:t xml:space="preserve">2005, </w:t>
      </w:r>
      <w:r w:rsidRPr="00191C60">
        <w:rPr>
          <w:b/>
          <w:bCs/>
          <w:lang w:val="en-US"/>
        </w:rPr>
        <w:t>353</w:t>
      </w:r>
      <w:r w:rsidRPr="00191C60">
        <w:rPr>
          <w:lang w:val="en-US"/>
        </w:rPr>
        <w:t>(17):1802-1809.</w:t>
      </w:r>
    </w:p>
    <w:p w:rsidR="00191C60" w:rsidRPr="00191C60" w:rsidRDefault="00191C60" w:rsidP="00191C60">
      <w:pPr>
        <w:pStyle w:val="NormalWeb"/>
        <w:rPr>
          <w:lang w:val="en-US"/>
        </w:rPr>
      </w:pPr>
      <w:r w:rsidRPr="00191C60">
        <w:rPr>
          <w:lang w:val="en-US"/>
        </w:rPr>
        <w:t xml:space="preserve">2. Eriksson JG, Forsen T, Tuomilehto J, Osmond C, Barker DJ: </w:t>
      </w:r>
      <w:r w:rsidRPr="00191C60">
        <w:rPr>
          <w:b/>
          <w:bCs/>
          <w:lang w:val="en-US"/>
        </w:rPr>
        <w:t xml:space="preserve">Early growth and coronary heart disease in later life: longitudinal study. </w:t>
      </w:r>
      <w:r w:rsidRPr="00191C60">
        <w:rPr>
          <w:i/>
          <w:iCs/>
          <w:lang w:val="en-US"/>
        </w:rPr>
        <w:t xml:space="preserve">BMJ </w:t>
      </w:r>
      <w:r w:rsidRPr="00191C60">
        <w:rPr>
          <w:lang w:val="en-US"/>
        </w:rPr>
        <w:t xml:space="preserve">2001, </w:t>
      </w:r>
      <w:r w:rsidRPr="00191C60">
        <w:rPr>
          <w:b/>
          <w:bCs/>
          <w:lang w:val="en-US"/>
        </w:rPr>
        <w:t>322</w:t>
      </w:r>
      <w:r w:rsidRPr="00191C60">
        <w:rPr>
          <w:lang w:val="en-US"/>
        </w:rPr>
        <w:t>(7292):949-953.</w:t>
      </w:r>
    </w:p>
    <w:p w:rsidR="00191C60" w:rsidRPr="00191C60" w:rsidRDefault="00191C60" w:rsidP="00191C60">
      <w:pPr>
        <w:pStyle w:val="NormalWeb"/>
        <w:rPr>
          <w:lang w:val="en-US"/>
        </w:rPr>
      </w:pPr>
      <w:r w:rsidRPr="00191C60">
        <w:rPr>
          <w:lang w:val="en-US"/>
        </w:rPr>
        <w:t xml:space="preserve">3. Räikkonen K, Forsen T, Henriksson M, Kajantie E, Heinonen K, Pesonen AK, Leskinen JT, Laaksonen I, Osmond C, Barker DJ, Eriksson JG: </w:t>
      </w:r>
      <w:r w:rsidRPr="00191C60">
        <w:rPr>
          <w:b/>
          <w:bCs/>
          <w:lang w:val="en-US"/>
        </w:rPr>
        <w:t xml:space="preserve">Growth trajectories and intellectual abilities in young adulthood: The Helsinki Birth Cohort study. </w:t>
      </w:r>
      <w:r w:rsidRPr="00191C60">
        <w:rPr>
          <w:i/>
          <w:iCs/>
          <w:lang w:val="en-US"/>
        </w:rPr>
        <w:t xml:space="preserve">Am J Epidemiol </w:t>
      </w:r>
      <w:r w:rsidRPr="00191C60">
        <w:rPr>
          <w:lang w:val="en-US"/>
        </w:rPr>
        <w:t xml:space="preserve">2009, </w:t>
      </w:r>
      <w:r w:rsidRPr="00191C60">
        <w:rPr>
          <w:b/>
          <w:bCs/>
          <w:lang w:val="en-US"/>
        </w:rPr>
        <w:t>170</w:t>
      </w:r>
      <w:r w:rsidRPr="00191C60">
        <w:rPr>
          <w:lang w:val="en-US"/>
        </w:rPr>
        <w:t>(4):447-455.</w:t>
      </w:r>
    </w:p>
    <w:p w:rsidR="00191C60" w:rsidRPr="00191C60" w:rsidRDefault="00191C60" w:rsidP="00191C60">
      <w:pPr>
        <w:pStyle w:val="NormalWeb"/>
        <w:rPr>
          <w:lang w:val="en-US"/>
        </w:rPr>
      </w:pPr>
      <w:r w:rsidRPr="00191C60">
        <w:rPr>
          <w:lang w:val="en-US"/>
        </w:rPr>
        <w:t xml:space="preserve">4. Kajantie E, Raikkonen K, Henriksson M, Forsen T, Heinonen K, Pesonen AK, Leskinen JT, Laaksonen I, Paile-Hyvarinen M, Osmond C, Barker DJ, Eriksson JG: </w:t>
      </w:r>
      <w:r w:rsidRPr="00191C60">
        <w:rPr>
          <w:b/>
          <w:bCs/>
          <w:lang w:val="en-US"/>
        </w:rPr>
        <w:t xml:space="preserve">Childhood socioeconomic status modifies the association between intellectual abilities at age 20 and mortality in later life. </w:t>
      </w:r>
      <w:r w:rsidRPr="00191C60">
        <w:rPr>
          <w:i/>
          <w:iCs/>
          <w:lang w:val="en-US"/>
        </w:rPr>
        <w:t xml:space="preserve">J Epidemiol Community Health </w:t>
      </w:r>
      <w:r w:rsidRPr="00191C60">
        <w:rPr>
          <w:lang w:val="en-US"/>
        </w:rPr>
        <w:t xml:space="preserve">2010, </w:t>
      </w:r>
      <w:r w:rsidRPr="00191C60">
        <w:rPr>
          <w:b/>
          <w:bCs/>
          <w:lang w:val="en-US"/>
        </w:rPr>
        <w:t>64</w:t>
      </w:r>
      <w:r w:rsidRPr="00191C60">
        <w:rPr>
          <w:lang w:val="en-US"/>
        </w:rPr>
        <w:t>(11):963-969.</w:t>
      </w:r>
    </w:p>
    <w:p w:rsidR="00191C60" w:rsidRPr="00191C60" w:rsidRDefault="00191C60" w:rsidP="00191C60">
      <w:pPr>
        <w:pStyle w:val="NormalWeb"/>
        <w:rPr>
          <w:lang w:val="en-US"/>
        </w:rPr>
      </w:pPr>
      <w:r w:rsidRPr="00191C60">
        <w:rPr>
          <w:lang w:val="en-US"/>
        </w:rPr>
        <w:t xml:space="preserve">5. Eriksson JG, Osmond C, Perala MM, Salonen MK, Simonen M, Pohjolainen P, Kajantie E, Rantanen T, von Bonsdorff MB: </w:t>
      </w:r>
      <w:r w:rsidRPr="00191C60">
        <w:rPr>
          <w:b/>
          <w:bCs/>
          <w:lang w:val="en-US"/>
        </w:rPr>
        <w:t xml:space="preserve">Prenatal and childhood growth and physical performance in old age--findings from the Helsinki Birth Cohort Study 1934-1944. </w:t>
      </w:r>
      <w:r w:rsidRPr="00191C60">
        <w:rPr>
          <w:i/>
          <w:iCs/>
          <w:lang w:val="en-US"/>
        </w:rPr>
        <w:t xml:space="preserve">Age (Dordr) </w:t>
      </w:r>
      <w:r w:rsidRPr="00191C60">
        <w:rPr>
          <w:lang w:val="en-US"/>
        </w:rPr>
        <w:t xml:space="preserve">2015, </w:t>
      </w:r>
      <w:r w:rsidRPr="00191C60">
        <w:rPr>
          <w:b/>
          <w:bCs/>
          <w:lang w:val="en-US"/>
        </w:rPr>
        <w:t>37</w:t>
      </w:r>
      <w:r w:rsidRPr="00191C60">
        <w:rPr>
          <w:lang w:val="en-US"/>
        </w:rPr>
        <w:t>(6):108-015-9846-1. Epub 2015 Oct 24.</w:t>
      </w:r>
    </w:p>
    <w:p w:rsidR="00191C60" w:rsidRPr="00191C60" w:rsidRDefault="00191C60" w:rsidP="00191C60">
      <w:pPr>
        <w:pStyle w:val="NormalWeb"/>
        <w:rPr>
          <w:lang w:val="en-US"/>
        </w:rPr>
      </w:pPr>
      <w:r w:rsidRPr="00191C60">
        <w:rPr>
          <w:lang w:val="en-US"/>
        </w:rPr>
        <w:t xml:space="preserve">6. Räikkonen K, Kajantie E, Pesonen AK, Heinonen K, Alastalo H, Leskinen JT, Nyman K, Henriksson M, Lahti J, Lahti M, Pyhala R, Tuovinen S, Osmond C, Barker DJ, Eriksson JG: </w:t>
      </w:r>
      <w:r w:rsidRPr="00191C60">
        <w:rPr>
          <w:b/>
          <w:bCs/>
          <w:lang w:val="en-US"/>
        </w:rPr>
        <w:t xml:space="preserve">Early life origins cognitive decline: findings in elderly men in the Helsinki Birth Cohort Study. </w:t>
      </w:r>
      <w:r w:rsidRPr="00191C60">
        <w:rPr>
          <w:i/>
          <w:iCs/>
          <w:lang w:val="en-US"/>
        </w:rPr>
        <w:t xml:space="preserve">PLoS One </w:t>
      </w:r>
      <w:r w:rsidRPr="00191C60">
        <w:rPr>
          <w:lang w:val="en-US"/>
        </w:rPr>
        <w:t xml:space="preserve">2013, </w:t>
      </w:r>
      <w:r w:rsidRPr="00191C60">
        <w:rPr>
          <w:b/>
          <w:bCs/>
          <w:lang w:val="en-US"/>
        </w:rPr>
        <w:t>8</w:t>
      </w:r>
      <w:r w:rsidRPr="00191C60">
        <w:rPr>
          <w:lang w:val="en-US"/>
        </w:rPr>
        <w:t>(1):e54707.</w:t>
      </w:r>
    </w:p>
    <w:p w:rsidR="00191C60" w:rsidRPr="00191C60" w:rsidRDefault="00191C60" w:rsidP="00191C60">
      <w:pPr>
        <w:pStyle w:val="NormalWeb"/>
      </w:pPr>
      <w:r w:rsidRPr="00191C60">
        <w:rPr>
          <w:lang w:val="en-US"/>
        </w:rPr>
        <w:t xml:space="preserve">7. Tiihonen J, Haukka J, Henriksson M, Cannon M, Kieseppä T, Laaksonen I, Sinivuo J, Lönnqvist J: </w:t>
      </w:r>
      <w:r w:rsidRPr="00191C60">
        <w:rPr>
          <w:b/>
          <w:bCs/>
          <w:lang w:val="en-US"/>
        </w:rPr>
        <w:t xml:space="preserve">Premorbid intellectual functioning in bipolar disorder and schizophrenia: results from a cohort study of male conscripts. </w:t>
      </w:r>
      <w:r w:rsidRPr="00191C60">
        <w:rPr>
          <w:i/>
          <w:iCs/>
        </w:rPr>
        <w:t xml:space="preserve">Am J Psychiatry </w:t>
      </w:r>
      <w:r w:rsidRPr="00191C60">
        <w:t xml:space="preserve">2005, </w:t>
      </w:r>
      <w:r w:rsidRPr="00191C60">
        <w:rPr>
          <w:b/>
          <w:bCs/>
        </w:rPr>
        <w:t>162</w:t>
      </w:r>
      <w:r w:rsidRPr="00191C60">
        <w:t>(10):1904-1910.</w:t>
      </w:r>
    </w:p>
    <w:p w:rsidR="00191C60" w:rsidRPr="00191C60" w:rsidRDefault="00191C60" w:rsidP="00191C60">
      <w:pPr>
        <w:rPr>
          <w:rFonts w:ascii="Times New Roman" w:hAnsi="Times New Roman" w:cs="Times New Roman"/>
          <w:sz w:val="24"/>
          <w:szCs w:val="24"/>
          <w:lang w:val="en-US"/>
        </w:rPr>
      </w:pPr>
      <w:r w:rsidRPr="00191C60">
        <w:rPr>
          <w:rFonts w:ascii="Times New Roman" w:eastAsia="Times New Roman" w:hAnsi="Times New Roman" w:cs="Times New Roman"/>
          <w:sz w:val="24"/>
          <w:szCs w:val="24"/>
        </w:rPr>
        <w:t> </w:t>
      </w:r>
      <w:r w:rsidRPr="00191C60">
        <w:rPr>
          <w:rFonts w:ascii="Times New Roman" w:hAnsi="Times New Roman" w:cs="Times New Roman"/>
          <w:sz w:val="24"/>
          <w:szCs w:val="24"/>
          <w:lang w:val="en-US"/>
        </w:rPr>
        <w:fldChar w:fldCharType="end"/>
      </w:r>
    </w:p>
    <w:sectPr w:rsidR="00191C60" w:rsidRPr="00191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F2B"/>
    <w:rsid w:val="00001E5E"/>
    <w:rsid w:val="00020837"/>
    <w:rsid w:val="00026295"/>
    <w:rsid w:val="0003292A"/>
    <w:rsid w:val="00040101"/>
    <w:rsid w:val="00040D42"/>
    <w:rsid w:val="000410F9"/>
    <w:rsid w:val="000415EF"/>
    <w:rsid w:val="00042BCD"/>
    <w:rsid w:val="000508BB"/>
    <w:rsid w:val="000533A4"/>
    <w:rsid w:val="000538FD"/>
    <w:rsid w:val="0005461D"/>
    <w:rsid w:val="000548B2"/>
    <w:rsid w:val="00056FD0"/>
    <w:rsid w:val="0006343C"/>
    <w:rsid w:val="00080EE6"/>
    <w:rsid w:val="000859A3"/>
    <w:rsid w:val="00090CE1"/>
    <w:rsid w:val="00096C59"/>
    <w:rsid w:val="00097A2A"/>
    <w:rsid w:val="000A42AB"/>
    <w:rsid w:val="000A4599"/>
    <w:rsid w:val="000A59DC"/>
    <w:rsid w:val="000A6411"/>
    <w:rsid w:val="000A75BE"/>
    <w:rsid w:val="000B1689"/>
    <w:rsid w:val="000B20B8"/>
    <w:rsid w:val="000B304F"/>
    <w:rsid w:val="000B4CAF"/>
    <w:rsid w:val="000B60A6"/>
    <w:rsid w:val="000B7BEE"/>
    <w:rsid w:val="000C0664"/>
    <w:rsid w:val="000C26BC"/>
    <w:rsid w:val="000C5410"/>
    <w:rsid w:val="000C54DE"/>
    <w:rsid w:val="000D1027"/>
    <w:rsid w:val="000D2245"/>
    <w:rsid w:val="000D38AF"/>
    <w:rsid w:val="000D3E19"/>
    <w:rsid w:val="000E0188"/>
    <w:rsid w:val="000E15F4"/>
    <w:rsid w:val="000E2CC3"/>
    <w:rsid w:val="000E683F"/>
    <w:rsid w:val="000E7833"/>
    <w:rsid w:val="000F15CF"/>
    <w:rsid w:val="000F2F4B"/>
    <w:rsid w:val="000F5389"/>
    <w:rsid w:val="00100324"/>
    <w:rsid w:val="001040EB"/>
    <w:rsid w:val="00114539"/>
    <w:rsid w:val="0012180B"/>
    <w:rsid w:val="00126CAE"/>
    <w:rsid w:val="00126F1B"/>
    <w:rsid w:val="00143AEE"/>
    <w:rsid w:val="00145300"/>
    <w:rsid w:val="00151554"/>
    <w:rsid w:val="00153DA9"/>
    <w:rsid w:val="00153DCC"/>
    <w:rsid w:val="00166FAA"/>
    <w:rsid w:val="00171533"/>
    <w:rsid w:val="001733B8"/>
    <w:rsid w:val="00173E0C"/>
    <w:rsid w:val="00174FF6"/>
    <w:rsid w:val="001771C0"/>
    <w:rsid w:val="001867A3"/>
    <w:rsid w:val="00191C60"/>
    <w:rsid w:val="00194A00"/>
    <w:rsid w:val="001A0AE5"/>
    <w:rsid w:val="001A3B89"/>
    <w:rsid w:val="001A5FAC"/>
    <w:rsid w:val="001C2888"/>
    <w:rsid w:val="001C390C"/>
    <w:rsid w:val="001C5739"/>
    <w:rsid w:val="001C67D9"/>
    <w:rsid w:val="001D08EA"/>
    <w:rsid w:val="001D15A6"/>
    <w:rsid w:val="001D23E7"/>
    <w:rsid w:val="001D24B7"/>
    <w:rsid w:val="001E0794"/>
    <w:rsid w:val="001E0FA2"/>
    <w:rsid w:val="001F22D9"/>
    <w:rsid w:val="00204DDD"/>
    <w:rsid w:val="00206E74"/>
    <w:rsid w:val="00206F8A"/>
    <w:rsid w:val="00210750"/>
    <w:rsid w:val="0021081B"/>
    <w:rsid w:val="00217462"/>
    <w:rsid w:val="002225F6"/>
    <w:rsid w:val="00224EAB"/>
    <w:rsid w:val="0022598A"/>
    <w:rsid w:val="002274CD"/>
    <w:rsid w:val="002275D0"/>
    <w:rsid w:val="00232DB3"/>
    <w:rsid w:val="00237F36"/>
    <w:rsid w:val="00244302"/>
    <w:rsid w:val="00247769"/>
    <w:rsid w:val="00250E16"/>
    <w:rsid w:val="00251E4F"/>
    <w:rsid w:val="002533F2"/>
    <w:rsid w:val="00254F84"/>
    <w:rsid w:val="0026305C"/>
    <w:rsid w:val="00267D5A"/>
    <w:rsid w:val="00271366"/>
    <w:rsid w:val="00277BB6"/>
    <w:rsid w:val="002817B4"/>
    <w:rsid w:val="0028305F"/>
    <w:rsid w:val="002851C7"/>
    <w:rsid w:val="00285C1F"/>
    <w:rsid w:val="00293B30"/>
    <w:rsid w:val="00295F34"/>
    <w:rsid w:val="002A0012"/>
    <w:rsid w:val="002B22DE"/>
    <w:rsid w:val="002C7507"/>
    <w:rsid w:val="002D7861"/>
    <w:rsid w:val="002E3BEB"/>
    <w:rsid w:val="002F290E"/>
    <w:rsid w:val="003000F5"/>
    <w:rsid w:val="003003AF"/>
    <w:rsid w:val="00301DC0"/>
    <w:rsid w:val="0030449D"/>
    <w:rsid w:val="00305E3C"/>
    <w:rsid w:val="00306D66"/>
    <w:rsid w:val="00310EB0"/>
    <w:rsid w:val="00311408"/>
    <w:rsid w:val="00313E56"/>
    <w:rsid w:val="003151A7"/>
    <w:rsid w:val="00317E78"/>
    <w:rsid w:val="00320E72"/>
    <w:rsid w:val="00321980"/>
    <w:rsid w:val="00321EAC"/>
    <w:rsid w:val="0033269D"/>
    <w:rsid w:val="00343931"/>
    <w:rsid w:val="00344F85"/>
    <w:rsid w:val="00350818"/>
    <w:rsid w:val="0035142E"/>
    <w:rsid w:val="00352206"/>
    <w:rsid w:val="00360BBC"/>
    <w:rsid w:val="00361DB5"/>
    <w:rsid w:val="00363B0F"/>
    <w:rsid w:val="003651E7"/>
    <w:rsid w:val="00365F30"/>
    <w:rsid w:val="0036752E"/>
    <w:rsid w:val="00371B17"/>
    <w:rsid w:val="00377320"/>
    <w:rsid w:val="00382FF7"/>
    <w:rsid w:val="003845B7"/>
    <w:rsid w:val="00386BE6"/>
    <w:rsid w:val="003A285C"/>
    <w:rsid w:val="003B2D8E"/>
    <w:rsid w:val="003B49E2"/>
    <w:rsid w:val="003C5045"/>
    <w:rsid w:val="003D4DD3"/>
    <w:rsid w:val="003D68F4"/>
    <w:rsid w:val="003E0657"/>
    <w:rsid w:val="003E278D"/>
    <w:rsid w:val="003E39A8"/>
    <w:rsid w:val="003E45E1"/>
    <w:rsid w:val="003E49E5"/>
    <w:rsid w:val="003F1686"/>
    <w:rsid w:val="003F1CEC"/>
    <w:rsid w:val="003F593E"/>
    <w:rsid w:val="003F6CBC"/>
    <w:rsid w:val="004039A5"/>
    <w:rsid w:val="00405907"/>
    <w:rsid w:val="00406D1B"/>
    <w:rsid w:val="00412EFF"/>
    <w:rsid w:val="00417ACE"/>
    <w:rsid w:val="00431FD8"/>
    <w:rsid w:val="0043308E"/>
    <w:rsid w:val="00435302"/>
    <w:rsid w:val="004446E5"/>
    <w:rsid w:val="00446198"/>
    <w:rsid w:val="00453997"/>
    <w:rsid w:val="00471FB5"/>
    <w:rsid w:val="00472CEF"/>
    <w:rsid w:val="004762B3"/>
    <w:rsid w:val="00480AFD"/>
    <w:rsid w:val="00480F8C"/>
    <w:rsid w:val="004814F6"/>
    <w:rsid w:val="0048561C"/>
    <w:rsid w:val="00490FA9"/>
    <w:rsid w:val="0049420A"/>
    <w:rsid w:val="00495DDC"/>
    <w:rsid w:val="00497643"/>
    <w:rsid w:val="00497B72"/>
    <w:rsid w:val="004A4FF9"/>
    <w:rsid w:val="004A550D"/>
    <w:rsid w:val="004A5D14"/>
    <w:rsid w:val="004A684D"/>
    <w:rsid w:val="004A7238"/>
    <w:rsid w:val="004B38E9"/>
    <w:rsid w:val="004C1EBA"/>
    <w:rsid w:val="004C2011"/>
    <w:rsid w:val="004C49CE"/>
    <w:rsid w:val="004C5903"/>
    <w:rsid w:val="004D390C"/>
    <w:rsid w:val="004E3724"/>
    <w:rsid w:val="004E51F7"/>
    <w:rsid w:val="004F28B5"/>
    <w:rsid w:val="004F5BDC"/>
    <w:rsid w:val="005041E7"/>
    <w:rsid w:val="00504314"/>
    <w:rsid w:val="005060D2"/>
    <w:rsid w:val="0050716D"/>
    <w:rsid w:val="0051168E"/>
    <w:rsid w:val="00511E7C"/>
    <w:rsid w:val="0052014A"/>
    <w:rsid w:val="00524F8F"/>
    <w:rsid w:val="00524F97"/>
    <w:rsid w:val="00534529"/>
    <w:rsid w:val="00541CB5"/>
    <w:rsid w:val="00543ECC"/>
    <w:rsid w:val="005520EB"/>
    <w:rsid w:val="005547A4"/>
    <w:rsid w:val="0056000D"/>
    <w:rsid w:val="00564CF9"/>
    <w:rsid w:val="00565B44"/>
    <w:rsid w:val="00567969"/>
    <w:rsid w:val="0057090F"/>
    <w:rsid w:val="00575637"/>
    <w:rsid w:val="00575757"/>
    <w:rsid w:val="005757C1"/>
    <w:rsid w:val="00577C8B"/>
    <w:rsid w:val="005839E1"/>
    <w:rsid w:val="00584907"/>
    <w:rsid w:val="00594571"/>
    <w:rsid w:val="00596063"/>
    <w:rsid w:val="00596A5A"/>
    <w:rsid w:val="005972D9"/>
    <w:rsid w:val="005A1507"/>
    <w:rsid w:val="005A15F0"/>
    <w:rsid w:val="005A1865"/>
    <w:rsid w:val="005A29E8"/>
    <w:rsid w:val="005B1EB5"/>
    <w:rsid w:val="005B382F"/>
    <w:rsid w:val="005B4C9F"/>
    <w:rsid w:val="005B6B90"/>
    <w:rsid w:val="005B7184"/>
    <w:rsid w:val="005E1378"/>
    <w:rsid w:val="005E3C67"/>
    <w:rsid w:val="005E4CD0"/>
    <w:rsid w:val="005F0893"/>
    <w:rsid w:val="005F21E4"/>
    <w:rsid w:val="005F52AB"/>
    <w:rsid w:val="005F5380"/>
    <w:rsid w:val="005F72C7"/>
    <w:rsid w:val="00604F54"/>
    <w:rsid w:val="006179CD"/>
    <w:rsid w:val="006205B2"/>
    <w:rsid w:val="006250BC"/>
    <w:rsid w:val="0063508F"/>
    <w:rsid w:val="00641BA6"/>
    <w:rsid w:val="00670150"/>
    <w:rsid w:val="006731AB"/>
    <w:rsid w:val="00674AA1"/>
    <w:rsid w:val="00680C5B"/>
    <w:rsid w:val="006907BD"/>
    <w:rsid w:val="0069088A"/>
    <w:rsid w:val="00694ABD"/>
    <w:rsid w:val="0069543E"/>
    <w:rsid w:val="006A6AAA"/>
    <w:rsid w:val="006B1F07"/>
    <w:rsid w:val="006B656B"/>
    <w:rsid w:val="006E1251"/>
    <w:rsid w:val="006E5843"/>
    <w:rsid w:val="006F7D43"/>
    <w:rsid w:val="00700AE1"/>
    <w:rsid w:val="0070459F"/>
    <w:rsid w:val="00706B48"/>
    <w:rsid w:val="00707C41"/>
    <w:rsid w:val="00710912"/>
    <w:rsid w:val="007112B8"/>
    <w:rsid w:val="00711E3F"/>
    <w:rsid w:val="007157AB"/>
    <w:rsid w:val="00732075"/>
    <w:rsid w:val="00732DCE"/>
    <w:rsid w:val="00733092"/>
    <w:rsid w:val="00733411"/>
    <w:rsid w:val="0074078D"/>
    <w:rsid w:val="00741A0A"/>
    <w:rsid w:val="007459D9"/>
    <w:rsid w:val="00757CE3"/>
    <w:rsid w:val="0076086A"/>
    <w:rsid w:val="00762738"/>
    <w:rsid w:val="0076345D"/>
    <w:rsid w:val="00765ACB"/>
    <w:rsid w:val="00767C6D"/>
    <w:rsid w:val="00771B9D"/>
    <w:rsid w:val="0077688B"/>
    <w:rsid w:val="0078142E"/>
    <w:rsid w:val="00783D50"/>
    <w:rsid w:val="007845EA"/>
    <w:rsid w:val="00786884"/>
    <w:rsid w:val="00790B98"/>
    <w:rsid w:val="00793CCC"/>
    <w:rsid w:val="007974B6"/>
    <w:rsid w:val="007A3A20"/>
    <w:rsid w:val="007A4ECF"/>
    <w:rsid w:val="007A63B7"/>
    <w:rsid w:val="007B2C13"/>
    <w:rsid w:val="007B573D"/>
    <w:rsid w:val="007B63E2"/>
    <w:rsid w:val="007B6F45"/>
    <w:rsid w:val="007C2612"/>
    <w:rsid w:val="007C5262"/>
    <w:rsid w:val="007D0968"/>
    <w:rsid w:val="007D34AE"/>
    <w:rsid w:val="007D6281"/>
    <w:rsid w:val="007E0EFF"/>
    <w:rsid w:val="007E60F4"/>
    <w:rsid w:val="007E6FB3"/>
    <w:rsid w:val="007E78F7"/>
    <w:rsid w:val="007F5FAB"/>
    <w:rsid w:val="00810BDA"/>
    <w:rsid w:val="00822FB3"/>
    <w:rsid w:val="0082386C"/>
    <w:rsid w:val="00825687"/>
    <w:rsid w:val="0082730B"/>
    <w:rsid w:val="008323C1"/>
    <w:rsid w:val="00841E41"/>
    <w:rsid w:val="008510FF"/>
    <w:rsid w:val="008539E5"/>
    <w:rsid w:val="008573A5"/>
    <w:rsid w:val="00861704"/>
    <w:rsid w:val="008618FF"/>
    <w:rsid w:val="008648E1"/>
    <w:rsid w:val="00866717"/>
    <w:rsid w:val="008736D0"/>
    <w:rsid w:val="008840E7"/>
    <w:rsid w:val="008A34D6"/>
    <w:rsid w:val="008A3B46"/>
    <w:rsid w:val="008B2E91"/>
    <w:rsid w:val="008B4D4A"/>
    <w:rsid w:val="008B77EC"/>
    <w:rsid w:val="008C0552"/>
    <w:rsid w:val="008C1CAA"/>
    <w:rsid w:val="008D16E5"/>
    <w:rsid w:val="008D3BC5"/>
    <w:rsid w:val="008E6E54"/>
    <w:rsid w:val="008F161C"/>
    <w:rsid w:val="008F6EC3"/>
    <w:rsid w:val="00901D8A"/>
    <w:rsid w:val="009040DE"/>
    <w:rsid w:val="00904880"/>
    <w:rsid w:val="00913916"/>
    <w:rsid w:val="0091766E"/>
    <w:rsid w:val="009279E2"/>
    <w:rsid w:val="00930655"/>
    <w:rsid w:val="00933367"/>
    <w:rsid w:val="009336C0"/>
    <w:rsid w:val="00935689"/>
    <w:rsid w:val="009458D4"/>
    <w:rsid w:val="00947835"/>
    <w:rsid w:val="009523F4"/>
    <w:rsid w:val="0095710D"/>
    <w:rsid w:val="00961ACB"/>
    <w:rsid w:val="0097537D"/>
    <w:rsid w:val="00975B4B"/>
    <w:rsid w:val="009851CF"/>
    <w:rsid w:val="0098701B"/>
    <w:rsid w:val="009946A4"/>
    <w:rsid w:val="00996065"/>
    <w:rsid w:val="00997BF2"/>
    <w:rsid w:val="009A00E3"/>
    <w:rsid w:val="009A2E2E"/>
    <w:rsid w:val="009A3C6F"/>
    <w:rsid w:val="009A5A44"/>
    <w:rsid w:val="009A5B70"/>
    <w:rsid w:val="009A7C37"/>
    <w:rsid w:val="009B7B19"/>
    <w:rsid w:val="009B7B2C"/>
    <w:rsid w:val="009C0B9C"/>
    <w:rsid w:val="009C1438"/>
    <w:rsid w:val="009D319A"/>
    <w:rsid w:val="009D3B86"/>
    <w:rsid w:val="009E5C8D"/>
    <w:rsid w:val="009F5F42"/>
    <w:rsid w:val="00A04F1F"/>
    <w:rsid w:val="00A13799"/>
    <w:rsid w:val="00A14DFF"/>
    <w:rsid w:val="00A2395E"/>
    <w:rsid w:val="00A34CD3"/>
    <w:rsid w:val="00A353C0"/>
    <w:rsid w:val="00A35C0C"/>
    <w:rsid w:val="00A371A7"/>
    <w:rsid w:val="00A45A93"/>
    <w:rsid w:val="00A47282"/>
    <w:rsid w:val="00A5748F"/>
    <w:rsid w:val="00A63686"/>
    <w:rsid w:val="00A64F51"/>
    <w:rsid w:val="00A67215"/>
    <w:rsid w:val="00A721DF"/>
    <w:rsid w:val="00A81118"/>
    <w:rsid w:val="00A85AC7"/>
    <w:rsid w:val="00A86D5F"/>
    <w:rsid w:val="00AA5E54"/>
    <w:rsid w:val="00AB0D85"/>
    <w:rsid w:val="00AB2315"/>
    <w:rsid w:val="00AC073D"/>
    <w:rsid w:val="00AC3C83"/>
    <w:rsid w:val="00AC5E6D"/>
    <w:rsid w:val="00AE0B1B"/>
    <w:rsid w:val="00AE509E"/>
    <w:rsid w:val="00AE6CFE"/>
    <w:rsid w:val="00AF2052"/>
    <w:rsid w:val="00AF6726"/>
    <w:rsid w:val="00B022CC"/>
    <w:rsid w:val="00B03EFE"/>
    <w:rsid w:val="00B06ED7"/>
    <w:rsid w:val="00B10D05"/>
    <w:rsid w:val="00B10FB5"/>
    <w:rsid w:val="00B1354F"/>
    <w:rsid w:val="00B14246"/>
    <w:rsid w:val="00B157EA"/>
    <w:rsid w:val="00B16DD1"/>
    <w:rsid w:val="00B20BF2"/>
    <w:rsid w:val="00B2580F"/>
    <w:rsid w:val="00B25852"/>
    <w:rsid w:val="00B30761"/>
    <w:rsid w:val="00B43857"/>
    <w:rsid w:val="00B52BD1"/>
    <w:rsid w:val="00B544B9"/>
    <w:rsid w:val="00B6102A"/>
    <w:rsid w:val="00B61434"/>
    <w:rsid w:val="00B63B42"/>
    <w:rsid w:val="00B67553"/>
    <w:rsid w:val="00B70421"/>
    <w:rsid w:val="00B75277"/>
    <w:rsid w:val="00B94093"/>
    <w:rsid w:val="00B9594F"/>
    <w:rsid w:val="00BA0191"/>
    <w:rsid w:val="00BA1B86"/>
    <w:rsid w:val="00BA26AE"/>
    <w:rsid w:val="00BA5645"/>
    <w:rsid w:val="00BA709D"/>
    <w:rsid w:val="00BC065C"/>
    <w:rsid w:val="00BC49E3"/>
    <w:rsid w:val="00BD07B6"/>
    <w:rsid w:val="00BD25BD"/>
    <w:rsid w:val="00BE1389"/>
    <w:rsid w:val="00BE6C90"/>
    <w:rsid w:val="00BF2773"/>
    <w:rsid w:val="00BF31D2"/>
    <w:rsid w:val="00BF60A7"/>
    <w:rsid w:val="00C00AE1"/>
    <w:rsid w:val="00C02FF1"/>
    <w:rsid w:val="00C030D5"/>
    <w:rsid w:val="00C1122E"/>
    <w:rsid w:val="00C20F2B"/>
    <w:rsid w:val="00C260D6"/>
    <w:rsid w:val="00C26115"/>
    <w:rsid w:val="00C263E5"/>
    <w:rsid w:val="00C4424C"/>
    <w:rsid w:val="00C57BB7"/>
    <w:rsid w:val="00C6680B"/>
    <w:rsid w:val="00C66EE7"/>
    <w:rsid w:val="00C72AB6"/>
    <w:rsid w:val="00C7417E"/>
    <w:rsid w:val="00C750D4"/>
    <w:rsid w:val="00C757D1"/>
    <w:rsid w:val="00C8150B"/>
    <w:rsid w:val="00C82361"/>
    <w:rsid w:val="00C8297E"/>
    <w:rsid w:val="00C90F2A"/>
    <w:rsid w:val="00C953A2"/>
    <w:rsid w:val="00CA1181"/>
    <w:rsid w:val="00CA558E"/>
    <w:rsid w:val="00CA6B7B"/>
    <w:rsid w:val="00CB4868"/>
    <w:rsid w:val="00CB5BCD"/>
    <w:rsid w:val="00CC019C"/>
    <w:rsid w:val="00CC104A"/>
    <w:rsid w:val="00CC4442"/>
    <w:rsid w:val="00CC4BF4"/>
    <w:rsid w:val="00CC7020"/>
    <w:rsid w:val="00CD042F"/>
    <w:rsid w:val="00CD717A"/>
    <w:rsid w:val="00CE1258"/>
    <w:rsid w:val="00CE1732"/>
    <w:rsid w:val="00CE380D"/>
    <w:rsid w:val="00CE70D9"/>
    <w:rsid w:val="00CF1764"/>
    <w:rsid w:val="00CF6EA3"/>
    <w:rsid w:val="00D07F01"/>
    <w:rsid w:val="00D10929"/>
    <w:rsid w:val="00D12338"/>
    <w:rsid w:val="00D147D1"/>
    <w:rsid w:val="00D15234"/>
    <w:rsid w:val="00D162B6"/>
    <w:rsid w:val="00D20A0F"/>
    <w:rsid w:val="00D220D4"/>
    <w:rsid w:val="00D36137"/>
    <w:rsid w:val="00D44A78"/>
    <w:rsid w:val="00D4735A"/>
    <w:rsid w:val="00D50FAE"/>
    <w:rsid w:val="00D57DAE"/>
    <w:rsid w:val="00D602E3"/>
    <w:rsid w:val="00D64268"/>
    <w:rsid w:val="00D67012"/>
    <w:rsid w:val="00D6706F"/>
    <w:rsid w:val="00D677E9"/>
    <w:rsid w:val="00D70947"/>
    <w:rsid w:val="00D73E01"/>
    <w:rsid w:val="00D74C23"/>
    <w:rsid w:val="00D75692"/>
    <w:rsid w:val="00D75B37"/>
    <w:rsid w:val="00D76F31"/>
    <w:rsid w:val="00D77380"/>
    <w:rsid w:val="00DA2496"/>
    <w:rsid w:val="00DA7A29"/>
    <w:rsid w:val="00DA7DFC"/>
    <w:rsid w:val="00DB29CB"/>
    <w:rsid w:val="00DB5D1E"/>
    <w:rsid w:val="00DC00E0"/>
    <w:rsid w:val="00DC20EA"/>
    <w:rsid w:val="00DE2D80"/>
    <w:rsid w:val="00DE38D7"/>
    <w:rsid w:val="00DE62A8"/>
    <w:rsid w:val="00DF1445"/>
    <w:rsid w:val="00DF1660"/>
    <w:rsid w:val="00E009A7"/>
    <w:rsid w:val="00E04A4E"/>
    <w:rsid w:val="00E059D1"/>
    <w:rsid w:val="00E0622A"/>
    <w:rsid w:val="00E062DB"/>
    <w:rsid w:val="00E07BA7"/>
    <w:rsid w:val="00E10158"/>
    <w:rsid w:val="00E13549"/>
    <w:rsid w:val="00E17430"/>
    <w:rsid w:val="00E242DE"/>
    <w:rsid w:val="00E24625"/>
    <w:rsid w:val="00E324C2"/>
    <w:rsid w:val="00E33C13"/>
    <w:rsid w:val="00E347BD"/>
    <w:rsid w:val="00E42868"/>
    <w:rsid w:val="00E43F26"/>
    <w:rsid w:val="00E54BA0"/>
    <w:rsid w:val="00E54F5F"/>
    <w:rsid w:val="00E60AC2"/>
    <w:rsid w:val="00E63276"/>
    <w:rsid w:val="00E63CDC"/>
    <w:rsid w:val="00E64508"/>
    <w:rsid w:val="00E67924"/>
    <w:rsid w:val="00E67AC1"/>
    <w:rsid w:val="00E71901"/>
    <w:rsid w:val="00E740E4"/>
    <w:rsid w:val="00E85B97"/>
    <w:rsid w:val="00E85BE6"/>
    <w:rsid w:val="00E901FD"/>
    <w:rsid w:val="00E91732"/>
    <w:rsid w:val="00EA35C3"/>
    <w:rsid w:val="00EA751A"/>
    <w:rsid w:val="00EB159D"/>
    <w:rsid w:val="00EB174F"/>
    <w:rsid w:val="00EB5969"/>
    <w:rsid w:val="00EB6F13"/>
    <w:rsid w:val="00ED09B5"/>
    <w:rsid w:val="00ED2027"/>
    <w:rsid w:val="00ED2648"/>
    <w:rsid w:val="00ED27A4"/>
    <w:rsid w:val="00ED2814"/>
    <w:rsid w:val="00ED4B77"/>
    <w:rsid w:val="00ED57CA"/>
    <w:rsid w:val="00EE50E2"/>
    <w:rsid w:val="00EE56A4"/>
    <w:rsid w:val="00EE5964"/>
    <w:rsid w:val="00EE687C"/>
    <w:rsid w:val="00EF33AD"/>
    <w:rsid w:val="00EF4EAA"/>
    <w:rsid w:val="00F001C6"/>
    <w:rsid w:val="00F21275"/>
    <w:rsid w:val="00F21285"/>
    <w:rsid w:val="00F21C34"/>
    <w:rsid w:val="00F23737"/>
    <w:rsid w:val="00F26CC3"/>
    <w:rsid w:val="00F30D14"/>
    <w:rsid w:val="00F31758"/>
    <w:rsid w:val="00F36833"/>
    <w:rsid w:val="00F37635"/>
    <w:rsid w:val="00F37FB1"/>
    <w:rsid w:val="00F4211B"/>
    <w:rsid w:val="00F466D7"/>
    <w:rsid w:val="00F50E1D"/>
    <w:rsid w:val="00F51B86"/>
    <w:rsid w:val="00F579D0"/>
    <w:rsid w:val="00F6153D"/>
    <w:rsid w:val="00F660E5"/>
    <w:rsid w:val="00F770A8"/>
    <w:rsid w:val="00F81B13"/>
    <w:rsid w:val="00F83481"/>
    <w:rsid w:val="00F974B3"/>
    <w:rsid w:val="00FA63D7"/>
    <w:rsid w:val="00FB64CE"/>
    <w:rsid w:val="00FC3219"/>
    <w:rsid w:val="00FC45B1"/>
    <w:rsid w:val="00FC6EE7"/>
    <w:rsid w:val="00FD5F4A"/>
    <w:rsid w:val="00FF3CC7"/>
    <w:rsid w:val="00FF491A"/>
    <w:rsid w:val="00FF4ED8"/>
    <w:rsid w:val="00FF4F81"/>
    <w:rsid w:val="00FF57C4"/>
    <w:rsid w:val="00FF5B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A4"/>
    <w:pPr>
      <w:ind w:left="720"/>
      <w:contextualSpacing/>
    </w:pPr>
  </w:style>
  <w:style w:type="paragraph" w:styleId="NormalWeb">
    <w:name w:val="Normal (Web)"/>
    <w:basedOn w:val="Normal"/>
    <w:uiPriority w:val="99"/>
    <w:semiHidden/>
    <w:unhideWhenUsed/>
    <w:rsid w:val="00C20F2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E6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8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A4"/>
    <w:pPr>
      <w:ind w:left="720"/>
      <w:contextualSpacing/>
    </w:pPr>
  </w:style>
  <w:style w:type="paragraph" w:styleId="NormalWeb">
    <w:name w:val="Normal (Web)"/>
    <w:basedOn w:val="Normal"/>
    <w:uiPriority w:val="99"/>
    <w:semiHidden/>
    <w:unhideWhenUsed/>
    <w:rsid w:val="00C20F2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E6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8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85553">
      <w:bodyDiv w:val="1"/>
      <w:marLeft w:val="0"/>
      <w:marRight w:val="0"/>
      <w:marTop w:val="0"/>
      <w:marBottom w:val="0"/>
      <w:divBdr>
        <w:top w:val="none" w:sz="0" w:space="0" w:color="auto"/>
        <w:left w:val="none" w:sz="0" w:space="0" w:color="auto"/>
        <w:bottom w:val="none" w:sz="0" w:space="0" w:color="auto"/>
        <w:right w:val="none" w:sz="0" w:space="0" w:color="auto"/>
      </w:divBdr>
    </w:div>
    <w:div w:id="706567921">
      <w:bodyDiv w:val="1"/>
      <w:marLeft w:val="0"/>
      <w:marRight w:val="0"/>
      <w:marTop w:val="0"/>
      <w:marBottom w:val="0"/>
      <w:divBdr>
        <w:top w:val="none" w:sz="0" w:space="0" w:color="auto"/>
        <w:left w:val="none" w:sz="0" w:space="0" w:color="auto"/>
        <w:bottom w:val="none" w:sz="0" w:space="0" w:color="auto"/>
        <w:right w:val="none" w:sz="0" w:space="0" w:color="auto"/>
      </w:divBdr>
    </w:div>
    <w:div w:id="1604873487">
      <w:bodyDiv w:val="1"/>
      <w:marLeft w:val="0"/>
      <w:marRight w:val="0"/>
      <w:marTop w:val="0"/>
      <w:marBottom w:val="0"/>
      <w:divBdr>
        <w:top w:val="none" w:sz="0" w:space="0" w:color="auto"/>
        <w:left w:val="none" w:sz="0" w:space="0" w:color="auto"/>
        <w:bottom w:val="none" w:sz="0" w:space="0" w:color="auto"/>
        <w:right w:val="none" w:sz="0" w:space="0" w:color="auto"/>
      </w:divBdr>
    </w:div>
    <w:div w:id="19416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_</vt:lpstr>
    </vt:vector>
  </TitlesOfParts>
  <Company>University of Jyväskylä</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Poranen-Clark Taina</dc:creator>
  <cp:lastModifiedBy>Karen Drake</cp:lastModifiedBy>
  <cp:revision>2</cp:revision>
  <dcterms:created xsi:type="dcterms:W3CDTF">2016-05-18T10:27:00Z</dcterms:created>
  <dcterms:modified xsi:type="dcterms:W3CDTF">2016-05-18T10:27:00Z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6971</vt:lpwstr>
  </property>
  <property fmtid="{D5CDD505-2E9C-101B-9397-08002B2CF9AE}" pid="3" name="WnCSubscriberId">
    <vt:lpwstr>2195</vt:lpwstr>
  </property>
  <property fmtid="{D5CDD505-2E9C-101B-9397-08002B2CF9AE}" pid="4" name="WnCOutputStyleId">
    <vt:lpwstr>1894</vt:lpwstr>
  </property>
  <property fmtid="{D5CDD505-2E9C-101B-9397-08002B2CF9AE}" pid="5" name="RWProductId">
    <vt:lpwstr>WnC</vt:lpwstr>
  </property>
  <property fmtid="{D5CDD505-2E9C-101B-9397-08002B2CF9AE}" pid="6" name="WnC4Folder">
    <vt:lpwstr/>
  </property>
</Properties>
</file>