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81A" w:rsidRPr="0012381A" w:rsidRDefault="0012381A" w:rsidP="0012381A">
      <w:pPr>
        <w:rPr>
          <w:b/>
          <w:sz w:val="24"/>
          <w:szCs w:val="24"/>
        </w:rPr>
      </w:pPr>
      <w:r w:rsidRPr="0012381A">
        <w:rPr>
          <w:b/>
          <w:sz w:val="24"/>
          <w:szCs w:val="24"/>
        </w:rPr>
        <w:t>Diabetic Medicine July 2016</w:t>
      </w:r>
    </w:p>
    <w:p w:rsidR="0012381A" w:rsidRPr="0012381A" w:rsidRDefault="0012381A" w:rsidP="0012381A">
      <w:pPr>
        <w:rPr>
          <w:b/>
          <w:sz w:val="24"/>
          <w:szCs w:val="24"/>
        </w:rPr>
      </w:pPr>
      <w:r w:rsidRPr="0012381A">
        <w:rPr>
          <w:b/>
          <w:sz w:val="24"/>
          <w:szCs w:val="24"/>
        </w:rPr>
        <w:t>Headlines</w:t>
      </w:r>
    </w:p>
    <w:p w:rsidR="0012381A" w:rsidRPr="0012381A" w:rsidRDefault="0012381A" w:rsidP="0012381A">
      <w:pPr>
        <w:rPr>
          <w:sz w:val="24"/>
          <w:szCs w:val="24"/>
        </w:rPr>
      </w:pPr>
    </w:p>
    <w:tbl>
      <w:tblPr>
        <w:tblStyle w:val="TableGrid"/>
        <w:tblW w:w="0" w:type="auto"/>
        <w:tblLook w:val="04A0" w:firstRow="1" w:lastRow="0" w:firstColumn="1" w:lastColumn="0" w:noHBand="0" w:noVBand="1"/>
      </w:tblPr>
      <w:tblGrid>
        <w:gridCol w:w="4165"/>
        <w:gridCol w:w="4125"/>
      </w:tblGrid>
      <w:tr w:rsidR="001F1CDF" w:rsidRPr="0012381A" w:rsidTr="00724613">
        <w:tc>
          <w:tcPr>
            <w:tcW w:w="4165" w:type="dxa"/>
          </w:tcPr>
          <w:p w:rsidR="001F1CDF" w:rsidRPr="001F1CDF" w:rsidRDefault="001F1CDF" w:rsidP="00724613">
            <w:pPr>
              <w:rPr>
                <w:sz w:val="22"/>
                <w:szCs w:val="22"/>
              </w:rPr>
            </w:pPr>
            <w:r w:rsidRPr="001F1CDF">
              <w:rPr>
                <w:sz w:val="22"/>
                <w:szCs w:val="22"/>
              </w:rPr>
              <w:t>Screening intervals for diabetic retinopathy</w:t>
            </w:r>
          </w:p>
        </w:tc>
        <w:tc>
          <w:tcPr>
            <w:tcW w:w="4125" w:type="dxa"/>
          </w:tcPr>
          <w:p w:rsidR="001F1CDF" w:rsidRPr="001F1CDF" w:rsidRDefault="001F1CDF" w:rsidP="00724613">
            <w:pPr>
              <w:rPr>
                <w:sz w:val="22"/>
                <w:szCs w:val="22"/>
              </w:rPr>
            </w:pPr>
            <w:r>
              <w:rPr>
                <w:sz w:val="22"/>
                <w:szCs w:val="22"/>
              </w:rPr>
              <w:t>Breastfeeding and glycaemic control</w:t>
            </w:r>
          </w:p>
        </w:tc>
      </w:tr>
      <w:tr w:rsidR="001F1CDF" w:rsidRPr="0012381A" w:rsidTr="00724613">
        <w:tc>
          <w:tcPr>
            <w:tcW w:w="4165" w:type="dxa"/>
          </w:tcPr>
          <w:p w:rsidR="001F1CDF" w:rsidRPr="001F1CDF" w:rsidRDefault="001F1CDF" w:rsidP="00724613">
            <w:pPr>
              <w:rPr>
                <w:sz w:val="22"/>
                <w:szCs w:val="22"/>
              </w:rPr>
            </w:pPr>
            <w:proofErr w:type="spellStart"/>
            <w:r>
              <w:rPr>
                <w:sz w:val="22"/>
                <w:szCs w:val="22"/>
              </w:rPr>
              <w:t>Hyperglycaemia</w:t>
            </w:r>
            <w:proofErr w:type="spellEnd"/>
            <w:r>
              <w:rPr>
                <w:sz w:val="22"/>
                <w:szCs w:val="22"/>
              </w:rPr>
              <w:t xml:space="preserve"> in pregnancy and risk of atherosclerosis</w:t>
            </w:r>
          </w:p>
        </w:tc>
        <w:tc>
          <w:tcPr>
            <w:tcW w:w="4125" w:type="dxa"/>
          </w:tcPr>
          <w:p w:rsidR="001F1CDF" w:rsidRPr="001F1CDF" w:rsidRDefault="00476DB0" w:rsidP="00476DB0">
            <w:pPr>
              <w:rPr>
                <w:sz w:val="22"/>
                <w:szCs w:val="22"/>
              </w:rPr>
            </w:pPr>
            <w:r>
              <w:rPr>
                <w:sz w:val="22"/>
                <w:szCs w:val="22"/>
              </w:rPr>
              <w:t xml:space="preserve">Sex of the offspring and risk of future maternal risk of type 2 diabetes </w:t>
            </w:r>
          </w:p>
        </w:tc>
      </w:tr>
      <w:tr w:rsidR="001F1CDF" w:rsidRPr="0012381A" w:rsidTr="00724613">
        <w:tc>
          <w:tcPr>
            <w:tcW w:w="4165" w:type="dxa"/>
          </w:tcPr>
          <w:p w:rsidR="001F1CDF" w:rsidRPr="001F1CDF" w:rsidRDefault="001F1CDF" w:rsidP="001F1CDF">
            <w:pPr>
              <w:rPr>
                <w:sz w:val="22"/>
                <w:szCs w:val="22"/>
              </w:rPr>
            </w:pPr>
            <w:r>
              <w:rPr>
                <w:sz w:val="22"/>
                <w:szCs w:val="22"/>
              </w:rPr>
              <w:t>Using dogs to detect hypoglycaemia</w:t>
            </w:r>
          </w:p>
        </w:tc>
        <w:tc>
          <w:tcPr>
            <w:tcW w:w="4125" w:type="dxa"/>
          </w:tcPr>
          <w:p w:rsidR="001F1CDF" w:rsidRPr="001F1CDF" w:rsidRDefault="00476DB0" w:rsidP="00724613">
            <w:pPr>
              <w:rPr>
                <w:sz w:val="22"/>
                <w:szCs w:val="22"/>
              </w:rPr>
            </w:pPr>
            <w:r>
              <w:rPr>
                <w:sz w:val="22"/>
                <w:szCs w:val="22"/>
              </w:rPr>
              <w:t xml:space="preserve">HNF1A-MODY and </w:t>
            </w:r>
            <w:proofErr w:type="spellStart"/>
            <w:r>
              <w:rPr>
                <w:sz w:val="22"/>
                <w:szCs w:val="22"/>
              </w:rPr>
              <w:t>sulphonylurea</w:t>
            </w:r>
            <w:proofErr w:type="spellEnd"/>
            <w:r>
              <w:rPr>
                <w:sz w:val="22"/>
                <w:szCs w:val="22"/>
              </w:rPr>
              <w:t xml:space="preserve"> treatment</w:t>
            </w:r>
          </w:p>
        </w:tc>
      </w:tr>
    </w:tbl>
    <w:p w:rsidR="0012381A" w:rsidRPr="0012381A" w:rsidRDefault="0012381A" w:rsidP="0012381A">
      <w:pPr>
        <w:rPr>
          <w:sz w:val="24"/>
          <w:szCs w:val="24"/>
        </w:rPr>
      </w:pPr>
    </w:p>
    <w:p w:rsidR="0012381A" w:rsidRPr="0012381A" w:rsidRDefault="0012381A" w:rsidP="0012381A">
      <w:pPr>
        <w:shd w:val="clear" w:color="auto" w:fill="FFFFFF"/>
        <w:spacing w:line="225" w:lineRule="atLeast"/>
        <w:textAlignment w:val="baseline"/>
        <w:rPr>
          <w:rFonts w:cs="Times New Roman"/>
          <w:b/>
          <w:bCs/>
          <w:sz w:val="24"/>
          <w:szCs w:val="24"/>
          <w:bdr w:val="none" w:sz="0" w:space="0" w:color="auto" w:frame="1"/>
        </w:rPr>
      </w:pPr>
      <w:r w:rsidRPr="0012381A">
        <w:rPr>
          <w:sz w:val="24"/>
          <w:szCs w:val="24"/>
        </w:rPr>
        <w:t>Artwork</w:t>
      </w:r>
      <w:r w:rsidRPr="0012381A">
        <w:rPr>
          <w:rFonts w:cs="Times New Roman"/>
          <w:b/>
          <w:bCs/>
          <w:sz w:val="24"/>
          <w:szCs w:val="24"/>
          <w:bdr w:val="none" w:sz="0" w:space="0" w:color="auto" w:frame="1"/>
        </w:rPr>
        <w:t xml:space="preserve"> </w:t>
      </w:r>
    </w:p>
    <w:p w:rsidR="0012381A" w:rsidRPr="0012381A" w:rsidRDefault="0012381A" w:rsidP="0012381A">
      <w:pPr>
        <w:rPr>
          <w:rFonts w:eastAsia="Times New Roman" w:cs="Lucida Grande"/>
          <w:b/>
          <w:bCs/>
          <w:kern w:val="36"/>
          <w:sz w:val="24"/>
          <w:szCs w:val="24"/>
        </w:rPr>
      </w:pPr>
      <w:r w:rsidRPr="0012381A">
        <w:rPr>
          <w:rFonts w:eastAsia="Times New Roman" w:cs="Lucida Grande"/>
          <w:b/>
          <w:bCs/>
          <w:kern w:val="36"/>
          <w:sz w:val="24"/>
          <w:szCs w:val="24"/>
        </w:rPr>
        <w:t>Title: Diabetic Pre-proliferative retinopathy</w:t>
      </w:r>
    </w:p>
    <w:p w:rsidR="0012381A" w:rsidRPr="0012381A" w:rsidRDefault="0012381A" w:rsidP="0012381A">
      <w:pPr>
        <w:rPr>
          <w:rFonts w:eastAsia="Times New Roman" w:cs="Lucida Grande"/>
          <w:b/>
          <w:bCs/>
          <w:kern w:val="36"/>
          <w:sz w:val="24"/>
          <w:szCs w:val="24"/>
        </w:rPr>
      </w:pPr>
      <w:r w:rsidRPr="0012381A">
        <w:rPr>
          <w:rFonts w:eastAsia="Times New Roman" w:cs="Lucida Grande"/>
          <w:b/>
          <w:bCs/>
          <w:noProof/>
          <w:kern w:val="36"/>
          <w:sz w:val="24"/>
          <w:szCs w:val="24"/>
        </w:rPr>
        <w:drawing>
          <wp:inline distT="0" distB="0" distL="0" distR="0" wp14:anchorId="37A5DC46" wp14:editId="71004A02">
            <wp:extent cx="5270500" cy="4916810"/>
            <wp:effectExtent l="0" t="0" r="6350" b="0"/>
            <wp:docPr id="2" name="Picture 2" descr="\\soton.ac.uk\ude\personalfiles\users\righ\mydocuments\PC files\Essential Endocrinology\2006 Edition\Photos\Plate 14.4 Preproliferati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righ\mydocuments\PC files\Essential Endocrinology\2006 Edition\Photos\Plate 14.4 Preproliferative.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4916810"/>
                    </a:xfrm>
                    <a:prstGeom prst="rect">
                      <a:avLst/>
                    </a:prstGeom>
                    <a:noFill/>
                    <a:ln>
                      <a:noFill/>
                    </a:ln>
                  </pic:spPr>
                </pic:pic>
              </a:graphicData>
            </a:graphic>
          </wp:inline>
        </w:drawing>
      </w:r>
    </w:p>
    <w:p w:rsidR="0012381A" w:rsidRPr="0012381A" w:rsidRDefault="0012381A" w:rsidP="0012381A">
      <w:pPr>
        <w:rPr>
          <w:rFonts w:eastAsia="Times New Roman" w:cs="Lucida Grande"/>
          <w:b/>
          <w:bCs/>
          <w:kern w:val="36"/>
          <w:sz w:val="24"/>
          <w:szCs w:val="24"/>
        </w:rPr>
      </w:pPr>
    </w:p>
    <w:p w:rsidR="0012381A" w:rsidRPr="0012381A" w:rsidRDefault="0012381A" w:rsidP="0012381A">
      <w:pPr>
        <w:rPr>
          <w:rFonts w:eastAsia="Times New Roman" w:cs="Lucida Grande"/>
          <w:kern w:val="36"/>
          <w:sz w:val="24"/>
          <w:szCs w:val="24"/>
        </w:rPr>
      </w:pPr>
      <w:r w:rsidRPr="0012381A">
        <w:rPr>
          <w:rFonts w:eastAsia="Times New Roman" w:cs="Lucida Grande"/>
          <w:kern w:val="36"/>
          <w:sz w:val="24"/>
          <w:szCs w:val="24"/>
        </w:rPr>
        <w:lastRenderedPageBreak/>
        <w:t xml:space="preserve">This figure comes from Essential Endocrinology and Diabetes. </w:t>
      </w:r>
      <w:proofErr w:type="gramStart"/>
      <w:r w:rsidRPr="0012381A">
        <w:rPr>
          <w:rFonts w:eastAsia="Times New Roman" w:cs="Lucida Grande"/>
          <w:kern w:val="36"/>
          <w:sz w:val="24"/>
          <w:szCs w:val="24"/>
        </w:rPr>
        <w:t>6</w:t>
      </w:r>
      <w:r w:rsidRPr="0012381A">
        <w:rPr>
          <w:rFonts w:eastAsia="Times New Roman" w:cs="Lucida Grande"/>
          <w:kern w:val="36"/>
          <w:sz w:val="24"/>
          <w:szCs w:val="24"/>
          <w:vertAlign w:val="superscript"/>
        </w:rPr>
        <w:t>th</w:t>
      </w:r>
      <w:r w:rsidRPr="0012381A">
        <w:rPr>
          <w:rFonts w:eastAsia="Times New Roman" w:cs="Lucida Grande"/>
          <w:kern w:val="36"/>
          <w:sz w:val="24"/>
          <w:szCs w:val="24"/>
        </w:rPr>
        <w:t xml:space="preserve"> Edition.</w:t>
      </w:r>
      <w:proofErr w:type="gramEnd"/>
      <w:r w:rsidRPr="0012381A">
        <w:rPr>
          <w:rFonts w:eastAsia="Times New Roman" w:cs="Lucida Grande"/>
          <w:kern w:val="36"/>
          <w:sz w:val="24"/>
          <w:szCs w:val="24"/>
        </w:rPr>
        <w:t xml:space="preserve"> </w:t>
      </w:r>
      <w:proofErr w:type="gramStart"/>
      <w:r w:rsidRPr="0012381A">
        <w:rPr>
          <w:rFonts w:eastAsia="Times New Roman" w:cs="Lucida Grande"/>
          <w:kern w:val="36"/>
          <w:sz w:val="24"/>
          <w:szCs w:val="24"/>
        </w:rPr>
        <w:t>Holt and Hanley.</w:t>
      </w:r>
      <w:proofErr w:type="gramEnd"/>
      <w:r w:rsidRPr="0012381A">
        <w:rPr>
          <w:rFonts w:eastAsia="Times New Roman" w:cs="Lucida Grande"/>
          <w:kern w:val="36"/>
          <w:sz w:val="24"/>
          <w:szCs w:val="24"/>
        </w:rPr>
        <w:t xml:space="preserve"> As Wiley published this, I hope it will not be too difficult to get a higher resolution photo than the one inserted into this file</w:t>
      </w:r>
    </w:p>
    <w:p w:rsidR="0012381A" w:rsidRPr="0012381A" w:rsidRDefault="0012381A" w:rsidP="0012381A">
      <w:pPr>
        <w:rPr>
          <w:rFonts w:eastAsia="Times New Roman" w:cs="Lucida Grande"/>
          <w:kern w:val="36"/>
          <w:sz w:val="24"/>
          <w:szCs w:val="24"/>
        </w:rPr>
      </w:pPr>
    </w:p>
    <w:p w:rsidR="0012381A" w:rsidRPr="0012381A" w:rsidRDefault="0012381A" w:rsidP="002D5E24">
      <w:pPr>
        <w:autoSpaceDE w:val="0"/>
        <w:autoSpaceDN w:val="0"/>
        <w:adjustRightInd w:val="0"/>
        <w:spacing w:after="0" w:line="240" w:lineRule="auto"/>
        <w:rPr>
          <w:rFonts w:cs="AGaramondPro-Italic"/>
          <w:i/>
          <w:iCs/>
          <w:sz w:val="18"/>
          <w:szCs w:val="18"/>
        </w:rPr>
      </w:pPr>
      <w:r w:rsidRPr="0012381A">
        <w:rPr>
          <w:rFonts w:cs="AGaramondPro-Italic"/>
          <w:i/>
          <w:iCs/>
          <w:sz w:val="18"/>
          <w:szCs w:val="18"/>
        </w:rPr>
        <w:t xml:space="preserve">Library of Congress </w:t>
      </w:r>
      <w:proofErr w:type="spellStart"/>
      <w:r w:rsidRPr="0012381A">
        <w:rPr>
          <w:rFonts w:cs="AGaramondPro-Italic"/>
          <w:i/>
          <w:iCs/>
          <w:sz w:val="18"/>
          <w:szCs w:val="18"/>
        </w:rPr>
        <w:t>Cataloging</w:t>
      </w:r>
      <w:proofErr w:type="spellEnd"/>
      <w:r w:rsidRPr="0012381A">
        <w:rPr>
          <w:rFonts w:cs="AGaramondPro-Italic"/>
          <w:i/>
          <w:iCs/>
          <w:sz w:val="18"/>
          <w:szCs w:val="18"/>
        </w:rPr>
        <w:t>-in-Publication Data</w:t>
      </w:r>
    </w:p>
    <w:p w:rsidR="0012381A" w:rsidRPr="0012381A" w:rsidRDefault="0012381A" w:rsidP="002D5E24">
      <w:pPr>
        <w:autoSpaceDE w:val="0"/>
        <w:autoSpaceDN w:val="0"/>
        <w:adjustRightInd w:val="0"/>
        <w:spacing w:after="0" w:line="240" w:lineRule="auto"/>
        <w:rPr>
          <w:rFonts w:cs="AGaramondPro-Regular"/>
          <w:sz w:val="18"/>
          <w:szCs w:val="18"/>
        </w:rPr>
      </w:pPr>
      <w:r w:rsidRPr="0012381A">
        <w:rPr>
          <w:rFonts w:cs="AGaramondPro-Regular"/>
          <w:sz w:val="18"/>
          <w:szCs w:val="18"/>
        </w:rPr>
        <w:t>Holt, Richard I. G.</w:t>
      </w:r>
    </w:p>
    <w:p w:rsidR="0012381A" w:rsidRPr="0012381A" w:rsidRDefault="0012381A" w:rsidP="002D5E24">
      <w:pPr>
        <w:autoSpaceDE w:val="0"/>
        <w:autoSpaceDN w:val="0"/>
        <w:adjustRightInd w:val="0"/>
        <w:spacing w:after="0" w:line="240" w:lineRule="auto"/>
        <w:rPr>
          <w:rFonts w:cs="AGaramondPro-Regular"/>
          <w:sz w:val="18"/>
          <w:szCs w:val="18"/>
        </w:rPr>
      </w:pPr>
      <w:proofErr w:type="gramStart"/>
      <w:r w:rsidRPr="0012381A">
        <w:rPr>
          <w:rFonts w:cs="AGaramondPro-Regular"/>
          <w:sz w:val="18"/>
          <w:szCs w:val="18"/>
        </w:rPr>
        <w:t>Essential endocrinology and diabetes.</w:t>
      </w:r>
      <w:proofErr w:type="gramEnd"/>
      <w:r w:rsidRPr="0012381A">
        <w:rPr>
          <w:rFonts w:cs="AGaramondPro-Regular"/>
          <w:sz w:val="18"/>
          <w:szCs w:val="18"/>
        </w:rPr>
        <w:t xml:space="preserve"> – 6th ed. / Richard I.G. Holt, Neil A. Hanley.</w:t>
      </w:r>
    </w:p>
    <w:p w:rsidR="0012381A" w:rsidRPr="0012381A" w:rsidRDefault="0012381A" w:rsidP="002D5E24">
      <w:pPr>
        <w:autoSpaceDE w:val="0"/>
        <w:autoSpaceDN w:val="0"/>
        <w:adjustRightInd w:val="0"/>
        <w:spacing w:after="0" w:line="240" w:lineRule="auto"/>
        <w:rPr>
          <w:rFonts w:cs="AGaramondPro-Regular"/>
          <w:sz w:val="18"/>
          <w:szCs w:val="18"/>
        </w:rPr>
      </w:pPr>
      <w:proofErr w:type="gramStart"/>
      <w:r w:rsidRPr="0012381A">
        <w:rPr>
          <w:rFonts w:cs="AGaramondPro-Regular"/>
          <w:sz w:val="18"/>
          <w:szCs w:val="18"/>
        </w:rPr>
        <w:t>p. ;</w:t>
      </w:r>
      <w:proofErr w:type="gramEnd"/>
      <w:r w:rsidRPr="0012381A">
        <w:rPr>
          <w:rFonts w:cs="AGaramondPro-Regular"/>
          <w:sz w:val="18"/>
          <w:szCs w:val="18"/>
        </w:rPr>
        <w:t xml:space="preserve"> cm. – (Essentials)</w:t>
      </w:r>
    </w:p>
    <w:p w:rsidR="0012381A" w:rsidRPr="0012381A" w:rsidRDefault="0012381A" w:rsidP="002D5E24">
      <w:pPr>
        <w:autoSpaceDE w:val="0"/>
        <w:autoSpaceDN w:val="0"/>
        <w:adjustRightInd w:val="0"/>
        <w:spacing w:after="0" w:line="240" w:lineRule="auto"/>
        <w:rPr>
          <w:rFonts w:cs="AGaramondPro-Regular"/>
          <w:sz w:val="18"/>
          <w:szCs w:val="18"/>
        </w:rPr>
      </w:pPr>
      <w:proofErr w:type="gramStart"/>
      <w:r w:rsidRPr="0012381A">
        <w:rPr>
          <w:rFonts w:cs="AGaramondPro-Regular"/>
          <w:sz w:val="18"/>
          <w:szCs w:val="18"/>
        </w:rPr>
        <w:t>Includes bibliographical references and index.</w:t>
      </w:r>
      <w:proofErr w:type="gramEnd"/>
    </w:p>
    <w:p w:rsidR="0012381A" w:rsidRPr="0012381A" w:rsidRDefault="0012381A" w:rsidP="002D5E24">
      <w:pPr>
        <w:autoSpaceDE w:val="0"/>
        <w:autoSpaceDN w:val="0"/>
        <w:adjustRightInd w:val="0"/>
        <w:spacing w:after="0" w:line="240" w:lineRule="auto"/>
        <w:rPr>
          <w:rFonts w:cs="AGaramondPro-Regular"/>
          <w:sz w:val="18"/>
          <w:szCs w:val="18"/>
        </w:rPr>
      </w:pPr>
      <w:r w:rsidRPr="0012381A">
        <w:rPr>
          <w:rFonts w:cs="AGaramondPro-Regular"/>
          <w:sz w:val="18"/>
          <w:szCs w:val="18"/>
        </w:rPr>
        <w:t>ISBN-13: 978-1-4443-3004-5 (</w:t>
      </w:r>
      <w:proofErr w:type="spellStart"/>
      <w:r w:rsidRPr="0012381A">
        <w:rPr>
          <w:rFonts w:cs="AGaramondPro-Regular"/>
          <w:sz w:val="18"/>
          <w:szCs w:val="18"/>
        </w:rPr>
        <w:t>pbk</w:t>
      </w:r>
      <w:proofErr w:type="spellEnd"/>
      <w:proofErr w:type="gramStart"/>
      <w:r w:rsidRPr="0012381A">
        <w:rPr>
          <w:rFonts w:cs="AGaramondPro-Regular"/>
          <w:sz w:val="18"/>
          <w:szCs w:val="18"/>
        </w:rPr>
        <w:t>. :</w:t>
      </w:r>
      <w:proofErr w:type="gramEnd"/>
      <w:r w:rsidRPr="0012381A">
        <w:rPr>
          <w:rFonts w:cs="AGaramondPro-Regular"/>
          <w:sz w:val="18"/>
          <w:szCs w:val="18"/>
        </w:rPr>
        <w:t xml:space="preserve"> </w:t>
      </w:r>
      <w:proofErr w:type="spellStart"/>
      <w:r w:rsidRPr="0012381A">
        <w:rPr>
          <w:rFonts w:cs="AGaramondPro-Regular"/>
          <w:sz w:val="18"/>
          <w:szCs w:val="18"/>
        </w:rPr>
        <w:t>alk</w:t>
      </w:r>
      <w:proofErr w:type="spellEnd"/>
      <w:r w:rsidRPr="0012381A">
        <w:rPr>
          <w:rFonts w:cs="AGaramondPro-Regular"/>
          <w:sz w:val="18"/>
          <w:szCs w:val="18"/>
        </w:rPr>
        <w:t>. paper)</w:t>
      </w:r>
    </w:p>
    <w:p w:rsidR="0012381A" w:rsidRPr="0012381A" w:rsidRDefault="0012381A" w:rsidP="002D5E24">
      <w:pPr>
        <w:autoSpaceDE w:val="0"/>
        <w:autoSpaceDN w:val="0"/>
        <w:adjustRightInd w:val="0"/>
        <w:spacing w:after="0" w:line="240" w:lineRule="auto"/>
        <w:rPr>
          <w:rFonts w:cs="AGaramondPro-Regular"/>
          <w:sz w:val="18"/>
          <w:szCs w:val="18"/>
        </w:rPr>
      </w:pPr>
      <w:r w:rsidRPr="0012381A">
        <w:rPr>
          <w:rFonts w:cs="AGaramondPro-Regular"/>
          <w:sz w:val="18"/>
          <w:szCs w:val="18"/>
        </w:rPr>
        <w:t>ISBN-10: 1-4443-3004-7 (</w:t>
      </w:r>
      <w:proofErr w:type="spellStart"/>
      <w:r w:rsidRPr="0012381A">
        <w:rPr>
          <w:rFonts w:cs="AGaramondPro-Regular"/>
          <w:sz w:val="18"/>
          <w:szCs w:val="18"/>
        </w:rPr>
        <w:t>pbk</w:t>
      </w:r>
      <w:proofErr w:type="spellEnd"/>
      <w:proofErr w:type="gramStart"/>
      <w:r w:rsidRPr="0012381A">
        <w:rPr>
          <w:rFonts w:cs="AGaramondPro-Regular"/>
          <w:sz w:val="18"/>
          <w:szCs w:val="18"/>
        </w:rPr>
        <w:t>. :</w:t>
      </w:r>
      <w:proofErr w:type="gramEnd"/>
      <w:r w:rsidRPr="0012381A">
        <w:rPr>
          <w:rFonts w:cs="AGaramondPro-Regular"/>
          <w:sz w:val="18"/>
          <w:szCs w:val="18"/>
        </w:rPr>
        <w:t xml:space="preserve"> </w:t>
      </w:r>
      <w:proofErr w:type="spellStart"/>
      <w:r w:rsidRPr="0012381A">
        <w:rPr>
          <w:rFonts w:cs="AGaramondPro-Regular"/>
          <w:sz w:val="18"/>
          <w:szCs w:val="18"/>
        </w:rPr>
        <w:t>alk</w:t>
      </w:r>
      <w:proofErr w:type="spellEnd"/>
      <w:r w:rsidRPr="0012381A">
        <w:rPr>
          <w:rFonts w:cs="AGaramondPro-Regular"/>
          <w:sz w:val="18"/>
          <w:szCs w:val="18"/>
        </w:rPr>
        <w:t xml:space="preserve">. paper) 1. </w:t>
      </w:r>
      <w:proofErr w:type="gramStart"/>
      <w:r w:rsidRPr="0012381A">
        <w:rPr>
          <w:rFonts w:cs="AGaramondPro-Regular"/>
          <w:sz w:val="18"/>
          <w:szCs w:val="18"/>
        </w:rPr>
        <w:t>Endocrinology–Case studies.</w:t>
      </w:r>
      <w:proofErr w:type="gramEnd"/>
      <w:r w:rsidRPr="0012381A">
        <w:rPr>
          <w:rFonts w:cs="AGaramondPro-Regular"/>
          <w:sz w:val="18"/>
          <w:szCs w:val="18"/>
        </w:rPr>
        <w:t xml:space="preserve"> 2. Diabetes–Case studies. I. Hanley,</w:t>
      </w:r>
    </w:p>
    <w:p w:rsidR="0012381A" w:rsidRPr="0012381A" w:rsidRDefault="0012381A" w:rsidP="002D5E24">
      <w:pPr>
        <w:autoSpaceDE w:val="0"/>
        <w:autoSpaceDN w:val="0"/>
        <w:adjustRightInd w:val="0"/>
        <w:spacing w:after="0" w:line="240" w:lineRule="auto"/>
        <w:rPr>
          <w:rFonts w:cs="AGaramondPro-Regular"/>
          <w:sz w:val="18"/>
          <w:szCs w:val="18"/>
        </w:rPr>
      </w:pPr>
      <w:r w:rsidRPr="0012381A">
        <w:rPr>
          <w:rFonts w:cs="AGaramondPro-Regular"/>
          <w:sz w:val="18"/>
          <w:szCs w:val="18"/>
        </w:rPr>
        <w:t xml:space="preserve">Neil A. II. </w:t>
      </w:r>
      <w:proofErr w:type="gramStart"/>
      <w:r w:rsidRPr="0012381A">
        <w:rPr>
          <w:rFonts w:cs="AGaramondPro-Regular"/>
          <w:sz w:val="18"/>
          <w:szCs w:val="18"/>
        </w:rPr>
        <w:t>Title.</w:t>
      </w:r>
      <w:proofErr w:type="gramEnd"/>
      <w:r w:rsidRPr="0012381A">
        <w:rPr>
          <w:rFonts w:cs="AGaramondPro-Regular"/>
          <w:sz w:val="18"/>
          <w:szCs w:val="18"/>
        </w:rPr>
        <w:t xml:space="preserve"> III. Series: Essentials (Wiley-Blackwell)</w:t>
      </w:r>
    </w:p>
    <w:p w:rsidR="0012381A" w:rsidRPr="0012381A" w:rsidRDefault="0012381A" w:rsidP="002D5E24">
      <w:pPr>
        <w:autoSpaceDE w:val="0"/>
        <w:autoSpaceDN w:val="0"/>
        <w:adjustRightInd w:val="0"/>
        <w:spacing w:after="0" w:line="240" w:lineRule="auto"/>
        <w:rPr>
          <w:rFonts w:cs="AGaramondPro-Regular"/>
          <w:sz w:val="18"/>
          <w:szCs w:val="18"/>
        </w:rPr>
      </w:pPr>
      <w:r w:rsidRPr="0012381A">
        <w:rPr>
          <w:rFonts w:cs="AGaramondPro-Regular"/>
          <w:sz w:val="18"/>
          <w:szCs w:val="18"/>
          <w:lang w:val="fr-FR"/>
        </w:rPr>
        <w:t>[DNLM: 1. Endocrine Glands–</w:t>
      </w:r>
      <w:proofErr w:type="spellStart"/>
      <w:r w:rsidRPr="0012381A">
        <w:rPr>
          <w:rFonts w:cs="AGaramondPro-Regular"/>
          <w:sz w:val="18"/>
          <w:szCs w:val="18"/>
          <w:lang w:val="fr-FR"/>
        </w:rPr>
        <w:t>physiology</w:t>
      </w:r>
      <w:proofErr w:type="spellEnd"/>
      <w:r w:rsidRPr="0012381A">
        <w:rPr>
          <w:rFonts w:cs="AGaramondPro-Regular"/>
          <w:sz w:val="18"/>
          <w:szCs w:val="18"/>
          <w:lang w:val="fr-FR"/>
        </w:rPr>
        <w:t xml:space="preserve">. 2. </w:t>
      </w:r>
      <w:proofErr w:type="spellStart"/>
      <w:r w:rsidRPr="0012381A">
        <w:rPr>
          <w:rFonts w:cs="AGaramondPro-Regular"/>
          <w:sz w:val="18"/>
          <w:szCs w:val="18"/>
          <w:lang w:val="fr-FR"/>
        </w:rPr>
        <w:t>Diabetes</w:t>
      </w:r>
      <w:proofErr w:type="spellEnd"/>
      <w:r w:rsidRPr="0012381A">
        <w:rPr>
          <w:rFonts w:cs="AGaramondPro-Regular"/>
          <w:sz w:val="18"/>
          <w:szCs w:val="18"/>
          <w:lang w:val="fr-FR"/>
        </w:rPr>
        <w:t xml:space="preserve"> </w:t>
      </w:r>
      <w:proofErr w:type="spellStart"/>
      <w:r w:rsidRPr="0012381A">
        <w:rPr>
          <w:rFonts w:cs="AGaramondPro-Regular"/>
          <w:sz w:val="18"/>
          <w:szCs w:val="18"/>
          <w:lang w:val="fr-FR"/>
        </w:rPr>
        <w:t>Mellitus</w:t>
      </w:r>
      <w:proofErr w:type="spellEnd"/>
      <w:r w:rsidRPr="0012381A">
        <w:rPr>
          <w:rFonts w:cs="AGaramondPro-Regular"/>
          <w:sz w:val="18"/>
          <w:szCs w:val="18"/>
          <w:lang w:val="fr-FR"/>
        </w:rPr>
        <w:t xml:space="preserve">. </w:t>
      </w:r>
      <w:r w:rsidRPr="0012381A">
        <w:rPr>
          <w:rFonts w:cs="AGaramondPro-Regular"/>
          <w:sz w:val="18"/>
          <w:szCs w:val="18"/>
        </w:rPr>
        <w:t>3. Endocrine System Diseases. 4. Hormones–</w:t>
      </w:r>
    </w:p>
    <w:p w:rsidR="0012381A" w:rsidRPr="0012381A" w:rsidRDefault="0012381A" w:rsidP="002D5E24">
      <w:pPr>
        <w:autoSpaceDE w:val="0"/>
        <w:autoSpaceDN w:val="0"/>
        <w:adjustRightInd w:val="0"/>
        <w:spacing w:after="0" w:line="240" w:lineRule="auto"/>
        <w:rPr>
          <w:rFonts w:cs="AGaramondPro-Regular"/>
          <w:sz w:val="18"/>
          <w:szCs w:val="18"/>
        </w:rPr>
      </w:pPr>
      <w:proofErr w:type="gramStart"/>
      <w:r w:rsidRPr="0012381A">
        <w:rPr>
          <w:rFonts w:cs="AGaramondPro-Regular"/>
          <w:sz w:val="18"/>
          <w:szCs w:val="18"/>
        </w:rPr>
        <w:t>physiology</w:t>
      </w:r>
      <w:proofErr w:type="gramEnd"/>
      <w:r w:rsidRPr="0012381A">
        <w:rPr>
          <w:rFonts w:cs="AGaramondPro-Regular"/>
          <w:sz w:val="18"/>
          <w:szCs w:val="18"/>
        </w:rPr>
        <w:t>. WK 100]</w:t>
      </w:r>
    </w:p>
    <w:p w:rsidR="0012381A" w:rsidRPr="0012381A" w:rsidRDefault="0012381A" w:rsidP="002D5E24">
      <w:pPr>
        <w:autoSpaceDE w:val="0"/>
        <w:autoSpaceDN w:val="0"/>
        <w:adjustRightInd w:val="0"/>
        <w:spacing w:after="0" w:line="240" w:lineRule="auto"/>
        <w:rPr>
          <w:rFonts w:cs="AGaramondPro-Regular"/>
          <w:sz w:val="18"/>
          <w:szCs w:val="18"/>
        </w:rPr>
      </w:pPr>
      <w:r w:rsidRPr="0012381A">
        <w:rPr>
          <w:rFonts w:cs="AGaramondPro-Regular"/>
          <w:sz w:val="18"/>
          <w:szCs w:val="18"/>
        </w:rPr>
        <w:t>RC648.H65 2012</w:t>
      </w:r>
    </w:p>
    <w:p w:rsidR="0012381A" w:rsidRPr="0012381A" w:rsidRDefault="0012381A" w:rsidP="002D5E24">
      <w:pPr>
        <w:spacing w:after="0" w:line="240" w:lineRule="auto"/>
        <w:rPr>
          <w:rFonts w:eastAsia="Times New Roman" w:cs="Lucida Grande"/>
          <w:kern w:val="36"/>
          <w:sz w:val="24"/>
          <w:szCs w:val="24"/>
        </w:rPr>
      </w:pPr>
      <w:r w:rsidRPr="0012381A">
        <w:rPr>
          <w:rFonts w:cs="AGaramondPro-Regular"/>
          <w:sz w:val="18"/>
          <w:szCs w:val="18"/>
        </w:rPr>
        <w:t>616.4–dc23</w:t>
      </w:r>
    </w:p>
    <w:p w:rsidR="0012381A" w:rsidRPr="0012381A" w:rsidRDefault="0012381A" w:rsidP="0012381A">
      <w:pPr>
        <w:rPr>
          <w:color w:val="1F497D"/>
          <w:sz w:val="24"/>
          <w:szCs w:val="24"/>
        </w:rPr>
      </w:pPr>
    </w:p>
    <w:p w:rsidR="0012381A" w:rsidRPr="0012381A" w:rsidRDefault="0012381A" w:rsidP="0012381A">
      <w:pPr>
        <w:rPr>
          <w:color w:val="1F497D"/>
          <w:sz w:val="24"/>
          <w:szCs w:val="24"/>
        </w:rPr>
      </w:pPr>
    </w:p>
    <w:p w:rsidR="0012381A" w:rsidRPr="0012381A" w:rsidRDefault="0012381A" w:rsidP="0012381A">
      <w:pPr>
        <w:rPr>
          <w:rFonts w:cs="Helvetica"/>
          <w:b/>
          <w:bCs/>
          <w:color w:val="1A1818"/>
        </w:rPr>
      </w:pPr>
      <w:r w:rsidRPr="0012381A">
        <w:rPr>
          <w:rFonts w:cs="Helvetica"/>
          <w:b/>
          <w:bCs/>
          <w:color w:val="1A1818"/>
        </w:rPr>
        <w:t>Caption: Diabetic Pre-proliferative retinopathy</w:t>
      </w:r>
    </w:p>
    <w:p w:rsidR="0012381A" w:rsidRPr="0012381A" w:rsidRDefault="0012381A" w:rsidP="0012381A">
      <w:pPr>
        <w:rPr>
          <w:rFonts w:cs="Lucida Sans Unicode"/>
          <w:b/>
          <w:bCs/>
          <w:color w:val="1A1818"/>
          <w:sz w:val="18"/>
          <w:szCs w:val="18"/>
        </w:rPr>
      </w:pPr>
    </w:p>
    <w:p w:rsidR="0012381A" w:rsidRPr="0012381A" w:rsidRDefault="0012381A" w:rsidP="0012381A">
      <w:pPr>
        <w:rPr>
          <w:b/>
          <w:sz w:val="24"/>
          <w:szCs w:val="24"/>
        </w:rPr>
      </w:pPr>
      <w:r w:rsidRPr="0012381A">
        <w:rPr>
          <w:b/>
          <w:sz w:val="24"/>
          <w:szCs w:val="24"/>
        </w:rPr>
        <w:t>Free articles</w:t>
      </w:r>
    </w:p>
    <w:p w:rsidR="0012381A" w:rsidRPr="0012381A" w:rsidRDefault="0012381A" w:rsidP="0012381A">
      <w:pPr>
        <w:rPr>
          <w:sz w:val="24"/>
          <w:szCs w:val="24"/>
        </w:rPr>
      </w:pPr>
    </w:p>
    <w:p w:rsidR="0012381A" w:rsidRPr="0012381A" w:rsidRDefault="0012381A" w:rsidP="0012381A">
      <w:pPr>
        <w:pStyle w:val="ListParagraph"/>
        <w:numPr>
          <w:ilvl w:val="0"/>
          <w:numId w:val="1"/>
        </w:numPr>
        <w:rPr>
          <w:sz w:val="28"/>
          <w:szCs w:val="28"/>
        </w:rPr>
      </w:pPr>
      <w:r w:rsidRPr="0012381A">
        <w:rPr>
          <w:sz w:val="28"/>
          <w:szCs w:val="28"/>
        </w:rPr>
        <w:t>Editorial plus</w:t>
      </w:r>
    </w:p>
    <w:p w:rsidR="001F1CDF" w:rsidRDefault="001F1CDF" w:rsidP="0012381A">
      <w:pPr>
        <w:rPr>
          <w:b/>
          <w:sz w:val="28"/>
          <w:szCs w:val="28"/>
        </w:rPr>
      </w:pPr>
    </w:p>
    <w:tbl>
      <w:tblPr>
        <w:tblW w:w="10110" w:type="dxa"/>
        <w:tblInd w:w="93" w:type="dxa"/>
        <w:tblLook w:val="04A0" w:firstRow="1" w:lastRow="0" w:firstColumn="1" w:lastColumn="0" w:noHBand="0" w:noVBand="1"/>
      </w:tblPr>
      <w:tblGrid>
        <w:gridCol w:w="1160"/>
        <w:gridCol w:w="1676"/>
        <w:gridCol w:w="1831"/>
        <w:gridCol w:w="5443"/>
      </w:tblGrid>
      <w:tr w:rsidR="001F1CDF" w:rsidRPr="001F1CDF" w:rsidTr="001F1CDF">
        <w:trPr>
          <w:trHeight w:val="255"/>
        </w:trPr>
        <w:tc>
          <w:tcPr>
            <w:tcW w:w="1160" w:type="dxa"/>
            <w:tcBorders>
              <w:top w:val="nil"/>
              <w:left w:val="nil"/>
              <w:bottom w:val="nil"/>
              <w:right w:val="nil"/>
            </w:tcBorders>
            <w:shd w:val="clear" w:color="000000" w:fill="FFFF00"/>
            <w:noWrap/>
            <w:vAlign w:val="bottom"/>
            <w:hideMark/>
          </w:tcPr>
          <w:p w:rsidR="001F1CDF" w:rsidRPr="001F1CDF" w:rsidRDefault="001F1CDF" w:rsidP="001F1CDF">
            <w:pPr>
              <w:spacing w:after="0" w:line="240" w:lineRule="auto"/>
              <w:rPr>
                <w:rFonts w:eastAsia="Times New Roman" w:cs="Tahoma"/>
                <w:sz w:val="20"/>
                <w:szCs w:val="20"/>
              </w:rPr>
            </w:pPr>
            <w:r w:rsidRPr="001F1CDF">
              <w:rPr>
                <w:rFonts w:eastAsia="Times New Roman" w:cs="Tahoma"/>
                <w:sz w:val="20"/>
                <w:szCs w:val="20"/>
              </w:rPr>
              <w:t>DME13021</w:t>
            </w:r>
          </w:p>
        </w:tc>
        <w:tc>
          <w:tcPr>
            <w:tcW w:w="1676" w:type="dxa"/>
            <w:tcBorders>
              <w:top w:val="nil"/>
              <w:left w:val="nil"/>
              <w:bottom w:val="nil"/>
              <w:right w:val="nil"/>
            </w:tcBorders>
            <w:shd w:val="clear" w:color="auto" w:fill="auto"/>
            <w:noWrap/>
            <w:vAlign w:val="bottom"/>
            <w:hideMark/>
          </w:tcPr>
          <w:p w:rsidR="001F1CDF" w:rsidRPr="001F1CDF" w:rsidRDefault="001F1CDF" w:rsidP="001F1CDF">
            <w:pPr>
              <w:spacing w:after="0" w:line="240" w:lineRule="auto"/>
              <w:rPr>
                <w:rFonts w:eastAsia="Times New Roman" w:cs="Tahoma"/>
                <w:sz w:val="20"/>
                <w:szCs w:val="20"/>
              </w:rPr>
            </w:pPr>
            <w:r w:rsidRPr="001F1CDF">
              <w:rPr>
                <w:rFonts w:eastAsia="Times New Roman" w:cs="Tahoma"/>
                <w:sz w:val="20"/>
                <w:szCs w:val="20"/>
              </w:rPr>
              <w:t>DME-2014-01033.R2</w:t>
            </w:r>
          </w:p>
        </w:tc>
        <w:tc>
          <w:tcPr>
            <w:tcW w:w="1831" w:type="dxa"/>
            <w:tcBorders>
              <w:top w:val="nil"/>
              <w:left w:val="nil"/>
              <w:bottom w:val="nil"/>
              <w:right w:val="nil"/>
            </w:tcBorders>
            <w:shd w:val="clear" w:color="auto" w:fill="auto"/>
            <w:noWrap/>
            <w:vAlign w:val="bottom"/>
            <w:hideMark/>
          </w:tcPr>
          <w:p w:rsidR="001F1CDF" w:rsidRPr="001F1CDF" w:rsidRDefault="001F1CDF" w:rsidP="001F1CDF">
            <w:pPr>
              <w:spacing w:after="0" w:line="240" w:lineRule="auto"/>
              <w:rPr>
                <w:rFonts w:eastAsia="Times New Roman" w:cs="Tahoma"/>
                <w:sz w:val="20"/>
                <w:szCs w:val="20"/>
              </w:rPr>
            </w:pPr>
            <w:proofErr w:type="spellStart"/>
            <w:r w:rsidRPr="001F1CDF">
              <w:rPr>
                <w:rFonts w:eastAsia="Times New Roman" w:cs="Tahoma"/>
                <w:sz w:val="20"/>
                <w:szCs w:val="20"/>
              </w:rPr>
              <w:t>Wilding,J</w:t>
            </w:r>
            <w:proofErr w:type="spellEnd"/>
            <w:r w:rsidRPr="001F1CDF">
              <w:rPr>
                <w:rFonts w:eastAsia="Times New Roman" w:cs="Tahoma"/>
                <w:sz w:val="20"/>
                <w:szCs w:val="20"/>
              </w:rPr>
              <w:t xml:space="preserve"> P H</w:t>
            </w:r>
          </w:p>
        </w:tc>
        <w:tc>
          <w:tcPr>
            <w:tcW w:w="5443" w:type="dxa"/>
            <w:tcBorders>
              <w:top w:val="nil"/>
              <w:left w:val="nil"/>
              <w:bottom w:val="nil"/>
              <w:right w:val="nil"/>
            </w:tcBorders>
            <w:shd w:val="clear" w:color="auto" w:fill="auto"/>
            <w:noWrap/>
            <w:vAlign w:val="bottom"/>
            <w:hideMark/>
          </w:tcPr>
          <w:p w:rsidR="001F1CDF" w:rsidRPr="001F1CDF" w:rsidRDefault="001F1CDF" w:rsidP="001F1CDF">
            <w:pPr>
              <w:spacing w:after="0" w:line="240" w:lineRule="auto"/>
              <w:rPr>
                <w:rFonts w:eastAsia="Times New Roman" w:cs="Tahoma"/>
                <w:sz w:val="20"/>
                <w:szCs w:val="20"/>
              </w:rPr>
            </w:pPr>
            <w:r w:rsidRPr="001F1CDF">
              <w:rPr>
                <w:rFonts w:eastAsia="Times New Roman" w:cs="Tahoma"/>
                <w:sz w:val="20"/>
                <w:szCs w:val="20"/>
              </w:rPr>
              <w:t>Role of incretin-based therapies and sodium-glucose co-transporter-2 inhibitors as adjuncts to insulin therapy in Type 2 diabetes, with special reference to insulin</w:t>
            </w:r>
          </w:p>
        </w:tc>
      </w:tr>
      <w:tr w:rsidR="001F1CDF" w:rsidRPr="001F1CDF" w:rsidTr="001F1CDF">
        <w:trPr>
          <w:trHeight w:val="255"/>
        </w:trPr>
        <w:tc>
          <w:tcPr>
            <w:tcW w:w="1160" w:type="dxa"/>
            <w:tcBorders>
              <w:top w:val="nil"/>
              <w:left w:val="nil"/>
              <w:bottom w:val="nil"/>
              <w:right w:val="nil"/>
            </w:tcBorders>
            <w:shd w:val="clear" w:color="000000" w:fill="FFFF00"/>
            <w:noWrap/>
            <w:vAlign w:val="bottom"/>
            <w:hideMark/>
          </w:tcPr>
          <w:p w:rsidR="001F1CDF" w:rsidRPr="001F1CDF" w:rsidRDefault="001F1CDF" w:rsidP="001F1CDF">
            <w:pPr>
              <w:spacing w:after="0" w:line="240" w:lineRule="auto"/>
              <w:rPr>
                <w:rFonts w:eastAsia="Times New Roman" w:cs="Tahoma"/>
                <w:sz w:val="20"/>
                <w:szCs w:val="20"/>
              </w:rPr>
            </w:pPr>
            <w:r w:rsidRPr="001F1CDF">
              <w:rPr>
                <w:rFonts w:eastAsia="Times New Roman" w:cs="Tahoma"/>
                <w:sz w:val="20"/>
                <w:szCs w:val="20"/>
              </w:rPr>
              <w:t>DME13129</w:t>
            </w:r>
          </w:p>
        </w:tc>
        <w:tc>
          <w:tcPr>
            <w:tcW w:w="1676" w:type="dxa"/>
            <w:tcBorders>
              <w:top w:val="nil"/>
              <w:left w:val="nil"/>
              <w:bottom w:val="nil"/>
              <w:right w:val="nil"/>
            </w:tcBorders>
            <w:shd w:val="clear" w:color="auto" w:fill="auto"/>
            <w:noWrap/>
            <w:vAlign w:val="bottom"/>
            <w:hideMark/>
          </w:tcPr>
          <w:p w:rsidR="001F1CDF" w:rsidRPr="001F1CDF" w:rsidRDefault="001F1CDF" w:rsidP="001F1CDF">
            <w:pPr>
              <w:spacing w:after="0" w:line="240" w:lineRule="auto"/>
              <w:rPr>
                <w:rFonts w:eastAsia="Times New Roman" w:cs="Tahoma"/>
                <w:sz w:val="20"/>
                <w:szCs w:val="20"/>
              </w:rPr>
            </w:pPr>
            <w:r w:rsidRPr="001F1CDF">
              <w:rPr>
                <w:rFonts w:eastAsia="Times New Roman" w:cs="Tahoma"/>
                <w:sz w:val="20"/>
                <w:szCs w:val="20"/>
              </w:rPr>
              <w:t>DME-2015-00904.R1</w:t>
            </w:r>
          </w:p>
        </w:tc>
        <w:tc>
          <w:tcPr>
            <w:tcW w:w="1831" w:type="dxa"/>
            <w:tcBorders>
              <w:top w:val="nil"/>
              <w:left w:val="nil"/>
              <w:bottom w:val="nil"/>
              <w:right w:val="nil"/>
            </w:tcBorders>
            <w:shd w:val="clear" w:color="auto" w:fill="auto"/>
            <w:noWrap/>
            <w:vAlign w:val="bottom"/>
            <w:hideMark/>
          </w:tcPr>
          <w:p w:rsidR="001F1CDF" w:rsidRPr="001F1CDF" w:rsidRDefault="001F1CDF" w:rsidP="001F1CDF">
            <w:pPr>
              <w:spacing w:after="0" w:line="240" w:lineRule="auto"/>
              <w:rPr>
                <w:rFonts w:eastAsia="Times New Roman" w:cs="Tahoma"/>
                <w:sz w:val="20"/>
                <w:szCs w:val="20"/>
              </w:rPr>
            </w:pPr>
            <w:proofErr w:type="spellStart"/>
            <w:r w:rsidRPr="001F1CDF">
              <w:rPr>
                <w:rFonts w:eastAsia="Times New Roman" w:cs="Tahoma"/>
                <w:sz w:val="20"/>
                <w:szCs w:val="20"/>
              </w:rPr>
              <w:t>Scotland,Graham</w:t>
            </w:r>
            <w:proofErr w:type="spellEnd"/>
            <w:r w:rsidRPr="001F1CDF">
              <w:rPr>
                <w:rFonts w:eastAsia="Times New Roman" w:cs="Tahoma"/>
                <w:sz w:val="20"/>
                <w:szCs w:val="20"/>
              </w:rPr>
              <w:t xml:space="preserve"> S</w:t>
            </w:r>
          </w:p>
        </w:tc>
        <w:tc>
          <w:tcPr>
            <w:tcW w:w="5443" w:type="dxa"/>
            <w:tcBorders>
              <w:top w:val="nil"/>
              <w:left w:val="nil"/>
              <w:bottom w:val="nil"/>
              <w:right w:val="nil"/>
            </w:tcBorders>
            <w:shd w:val="clear" w:color="auto" w:fill="auto"/>
            <w:noWrap/>
            <w:vAlign w:val="bottom"/>
            <w:hideMark/>
          </w:tcPr>
          <w:p w:rsidR="001F1CDF" w:rsidRPr="001F1CDF" w:rsidRDefault="001F1CDF" w:rsidP="001F1CDF">
            <w:pPr>
              <w:spacing w:after="0" w:line="240" w:lineRule="auto"/>
              <w:rPr>
                <w:rFonts w:eastAsia="Times New Roman" w:cs="Tahoma"/>
                <w:sz w:val="20"/>
                <w:szCs w:val="20"/>
              </w:rPr>
            </w:pPr>
            <w:r w:rsidRPr="001F1CDF">
              <w:rPr>
                <w:rFonts w:eastAsia="Times New Roman" w:cs="Tahoma"/>
                <w:sz w:val="20"/>
                <w:szCs w:val="20"/>
              </w:rPr>
              <w:t>Modelling the cost-effectiveness of adopting risk-stratified approaches to extended screening intervals in the national diabetic retinopathy screening programme in Scotland</w:t>
            </w:r>
          </w:p>
        </w:tc>
      </w:tr>
      <w:tr w:rsidR="001F1CDF" w:rsidRPr="001F1CDF" w:rsidTr="001F1CDF">
        <w:trPr>
          <w:trHeight w:val="255"/>
        </w:trPr>
        <w:tc>
          <w:tcPr>
            <w:tcW w:w="1160" w:type="dxa"/>
            <w:tcBorders>
              <w:top w:val="nil"/>
              <w:left w:val="nil"/>
              <w:bottom w:val="nil"/>
              <w:right w:val="nil"/>
            </w:tcBorders>
            <w:shd w:val="clear" w:color="000000" w:fill="FFFF00"/>
            <w:noWrap/>
            <w:vAlign w:val="bottom"/>
            <w:hideMark/>
          </w:tcPr>
          <w:p w:rsidR="001F1CDF" w:rsidRPr="001F1CDF" w:rsidRDefault="001F1CDF" w:rsidP="001F1CDF">
            <w:pPr>
              <w:spacing w:after="0" w:line="240" w:lineRule="auto"/>
              <w:rPr>
                <w:rFonts w:eastAsia="Times New Roman" w:cs="Tahoma"/>
                <w:sz w:val="20"/>
                <w:szCs w:val="20"/>
              </w:rPr>
            </w:pPr>
            <w:r w:rsidRPr="001F1CDF">
              <w:rPr>
                <w:rFonts w:eastAsia="Times New Roman" w:cs="Tahoma"/>
                <w:sz w:val="20"/>
                <w:szCs w:val="20"/>
              </w:rPr>
              <w:t>DME13053</w:t>
            </w:r>
          </w:p>
        </w:tc>
        <w:tc>
          <w:tcPr>
            <w:tcW w:w="1676" w:type="dxa"/>
            <w:tcBorders>
              <w:top w:val="nil"/>
              <w:left w:val="nil"/>
              <w:bottom w:val="nil"/>
              <w:right w:val="nil"/>
            </w:tcBorders>
            <w:shd w:val="clear" w:color="auto" w:fill="auto"/>
            <w:noWrap/>
            <w:vAlign w:val="bottom"/>
            <w:hideMark/>
          </w:tcPr>
          <w:p w:rsidR="001F1CDF" w:rsidRPr="001F1CDF" w:rsidRDefault="001F1CDF" w:rsidP="001F1CDF">
            <w:pPr>
              <w:spacing w:after="0" w:line="240" w:lineRule="auto"/>
              <w:rPr>
                <w:rFonts w:eastAsia="Times New Roman" w:cs="Tahoma"/>
                <w:sz w:val="20"/>
                <w:szCs w:val="20"/>
              </w:rPr>
            </w:pPr>
            <w:r w:rsidRPr="001F1CDF">
              <w:rPr>
                <w:rFonts w:eastAsia="Times New Roman" w:cs="Tahoma"/>
                <w:sz w:val="20"/>
                <w:szCs w:val="20"/>
              </w:rPr>
              <w:t>DME-2015-00518.R2</w:t>
            </w:r>
          </w:p>
        </w:tc>
        <w:tc>
          <w:tcPr>
            <w:tcW w:w="1831" w:type="dxa"/>
            <w:tcBorders>
              <w:top w:val="nil"/>
              <w:left w:val="nil"/>
              <w:bottom w:val="nil"/>
              <w:right w:val="nil"/>
            </w:tcBorders>
            <w:shd w:val="clear" w:color="auto" w:fill="auto"/>
            <w:noWrap/>
            <w:vAlign w:val="bottom"/>
            <w:hideMark/>
          </w:tcPr>
          <w:p w:rsidR="001F1CDF" w:rsidRPr="001F1CDF" w:rsidRDefault="001F1CDF" w:rsidP="001F1CDF">
            <w:pPr>
              <w:spacing w:after="0" w:line="240" w:lineRule="auto"/>
              <w:rPr>
                <w:rFonts w:eastAsia="Times New Roman" w:cs="Tahoma"/>
                <w:sz w:val="20"/>
                <w:szCs w:val="20"/>
              </w:rPr>
            </w:pPr>
            <w:proofErr w:type="spellStart"/>
            <w:r w:rsidRPr="001F1CDF">
              <w:rPr>
                <w:rFonts w:eastAsia="Times New Roman" w:cs="Tahoma"/>
                <w:sz w:val="20"/>
                <w:szCs w:val="20"/>
              </w:rPr>
              <w:t>Oke,Jason</w:t>
            </w:r>
            <w:proofErr w:type="spellEnd"/>
            <w:r w:rsidRPr="001F1CDF">
              <w:rPr>
                <w:rFonts w:eastAsia="Times New Roman" w:cs="Tahoma"/>
                <w:sz w:val="20"/>
                <w:szCs w:val="20"/>
              </w:rPr>
              <w:t xml:space="preserve"> Lee</w:t>
            </w:r>
          </w:p>
        </w:tc>
        <w:tc>
          <w:tcPr>
            <w:tcW w:w="5443" w:type="dxa"/>
            <w:tcBorders>
              <w:top w:val="nil"/>
              <w:left w:val="nil"/>
              <w:bottom w:val="nil"/>
              <w:right w:val="nil"/>
            </w:tcBorders>
            <w:shd w:val="clear" w:color="auto" w:fill="auto"/>
            <w:noWrap/>
            <w:vAlign w:val="bottom"/>
            <w:hideMark/>
          </w:tcPr>
          <w:p w:rsidR="001F1CDF" w:rsidRPr="001F1CDF" w:rsidRDefault="001F1CDF" w:rsidP="001F1CDF">
            <w:pPr>
              <w:spacing w:after="0" w:line="240" w:lineRule="auto"/>
              <w:rPr>
                <w:rFonts w:eastAsia="Times New Roman" w:cs="Tahoma"/>
                <w:sz w:val="20"/>
                <w:szCs w:val="20"/>
              </w:rPr>
            </w:pPr>
            <w:r w:rsidRPr="001F1CDF">
              <w:rPr>
                <w:rFonts w:eastAsia="Times New Roman" w:cs="Tahoma"/>
                <w:sz w:val="20"/>
                <w:szCs w:val="20"/>
              </w:rPr>
              <w:t>The use of statistical methodology to determine the accuracy of grading within a diabetic retinopathy screening programme.</w:t>
            </w:r>
          </w:p>
        </w:tc>
      </w:tr>
      <w:tr w:rsidR="001F1CDF" w:rsidRPr="001F1CDF" w:rsidTr="001F1CDF">
        <w:trPr>
          <w:trHeight w:val="255"/>
        </w:trPr>
        <w:tc>
          <w:tcPr>
            <w:tcW w:w="1160" w:type="dxa"/>
            <w:tcBorders>
              <w:top w:val="nil"/>
              <w:left w:val="nil"/>
              <w:bottom w:val="nil"/>
              <w:right w:val="nil"/>
            </w:tcBorders>
            <w:shd w:val="clear" w:color="000000" w:fill="FFFF00"/>
            <w:noWrap/>
            <w:vAlign w:val="bottom"/>
            <w:hideMark/>
          </w:tcPr>
          <w:p w:rsidR="001F1CDF" w:rsidRPr="001F1CDF" w:rsidRDefault="001F1CDF" w:rsidP="001F1CDF">
            <w:pPr>
              <w:spacing w:after="0" w:line="240" w:lineRule="auto"/>
              <w:rPr>
                <w:rFonts w:eastAsia="Times New Roman" w:cs="Tahoma"/>
                <w:sz w:val="20"/>
                <w:szCs w:val="20"/>
              </w:rPr>
            </w:pPr>
            <w:r w:rsidRPr="001F1CDF">
              <w:rPr>
                <w:rFonts w:eastAsia="Times New Roman" w:cs="Tahoma"/>
                <w:sz w:val="20"/>
                <w:szCs w:val="20"/>
              </w:rPr>
              <w:t>DME12957</w:t>
            </w:r>
          </w:p>
        </w:tc>
        <w:tc>
          <w:tcPr>
            <w:tcW w:w="1676" w:type="dxa"/>
            <w:tcBorders>
              <w:top w:val="nil"/>
              <w:left w:val="nil"/>
              <w:bottom w:val="nil"/>
              <w:right w:val="nil"/>
            </w:tcBorders>
            <w:shd w:val="clear" w:color="auto" w:fill="auto"/>
            <w:noWrap/>
            <w:vAlign w:val="bottom"/>
            <w:hideMark/>
          </w:tcPr>
          <w:p w:rsidR="001F1CDF" w:rsidRPr="001F1CDF" w:rsidRDefault="001F1CDF" w:rsidP="001F1CDF">
            <w:pPr>
              <w:spacing w:after="0" w:line="240" w:lineRule="auto"/>
              <w:rPr>
                <w:rFonts w:eastAsia="Times New Roman" w:cs="Tahoma"/>
                <w:sz w:val="20"/>
                <w:szCs w:val="20"/>
              </w:rPr>
            </w:pPr>
            <w:r w:rsidRPr="001F1CDF">
              <w:rPr>
                <w:rFonts w:eastAsia="Times New Roman" w:cs="Tahoma"/>
                <w:sz w:val="20"/>
                <w:szCs w:val="20"/>
              </w:rPr>
              <w:t>DME-2015-00157.R2</w:t>
            </w:r>
          </w:p>
        </w:tc>
        <w:tc>
          <w:tcPr>
            <w:tcW w:w="1831" w:type="dxa"/>
            <w:tcBorders>
              <w:top w:val="nil"/>
              <w:left w:val="nil"/>
              <w:bottom w:val="nil"/>
              <w:right w:val="nil"/>
            </w:tcBorders>
            <w:shd w:val="clear" w:color="auto" w:fill="auto"/>
            <w:noWrap/>
            <w:vAlign w:val="bottom"/>
            <w:hideMark/>
          </w:tcPr>
          <w:p w:rsidR="001F1CDF" w:rsidRPr="001F1CDF" w:rsidRDefault="001F1CDF" w:rsidP="001F1CDF">
            <w:pPr>
              <w:spacing w:after="0" w:line="240" w:lineRule="auto"/>
              <w:rPr>
                <w:rFonts w:eastAsia="Times New Roman" w:cs="Tahoma"/>
                <w:sz w:val="20"/>
                <w:szCs w:val="20"/>
              </w:rPr>
            </w:pPr>
            <w:proofErr w:type="spellStart"/>
            <w:r w:rsidRPr="001F1CDF">
              <w:rPr>
                <w:rFonts w:eastAsia="Times New Roman" w:cs="Tahoma"/>
                <w:sz w:val="20"/>
                <w:szCs w:val="20"/>
              </w:rPr>
              <w:t>Scanlon,Peter</w:t>
            </w:r>
            <w:proofErr w:type="spellEnd"/>
            <w:r w:rsidRPr="001F1CDF">
              <w:rPr>
                <w:rFonts w:eastAsia="Times New Roman" w:cs="Tahoma"/>
                <w:sz w:val="20"/>
                <w:szCs w:val="20"/>
              </w:rPr>
              <w:t xml:space="preserve"> H</w:t>
            </w:r>
          </w:p>
        </w:tc>
        <w:tc>
          <w:tcPr>
            <w:tcW w:w="5443" w:type="dxa"/>
            <w:tcBorders>
              <w:top w:val="nil"/>
              <w:left w:val="nil"/>
              <w:bottom w:val="nil"/>
              <w:right w:val="nil"/>
            </w:tcBorders>
            <w:shd w:val="clear" w:color="auto" w:fill="auto"/>
            <w:noWrap/>
            <w:vAlign w:val="bottom"/>
            <w:hideMark/>
          </w:tcPr>
          <w:p w:rsidR="001F1CDF" w:rsidRPr="001F1CDF" w:rsidRDefault="001F1CDF" w:rsidP="001F1CDF">
            <w:pPr>
              <w:spacing w:after="0" w:line="240" w:lineRule="auto"/>
              <w:rPr>
                <w:rFonts w:eastAsia="Times New Roman" w:cs="Tahoma"/>
                <w:sz w:val="20"/>
                <w:szCs w:val="20"/>
              </w:rPr>
            </w:pPr>
            <w:r w:rsidRPr="001F1CDF">
              <w:rPr>
                <w:rFonts w:eastAsia="Times New Roman" w:cs="Tahoma"/>
                <w:sz w:val="20"/>
                <w:szCs w:val="20"/>
              </w:rPr>
              <w:t>Screening Attendance, Age Group and Diabetic Retinopathy Level at First Screen</w:t>
            </w:r>
          </w:p>
        </w:tc>
      </w:tr>
    </w:tbl>
    <w:p w:rsidR="001F1CDF" w:rsidRDefault="001F1CDF" w:rsidP="0012381A">
      <w:pPr>
        <w:rPr>
          <w:b/>
          <w:sz w:val="28"/>
          <w:szCs w:val="28"/>
        </w:rPr>
      </w:pPr>
    </w:p>
    <w:p w:rsidR="001F1CDF" w:rsidRDefault="001F1CDF" w:rsidP="0012381A">
      <w:pPr>
        <w:rPr>
          <w:b/>
          <w:sz w:val="28"/>
          <w:szCs w:val="28"/>
        </w:rPr>
      </w:pPr>
    </w:p>
    <w:p w:rsidR="001F1CDF" w:rsidRDefault="001F1CDF">
      <w:pPr>
        <w:rPr>
          <w:b/>
          <w:sz w:val="28"/>
          <w:szCs w:val="28"/>
        </w:rPr>
      </w:pPr>
      <w:r>
        <w:rPr>
          <w:b/>
          <w:sz w:val="28"/>
          <w:szCs w:val="28"/>
        </w:rPr>
        <w:br w:type="page"/>
      </w:r>
    </w:p>
    <w:p w:rsidR="0012381A" w:rsidRPr="0012381A" w:rsidRDefault="0012381A" w:rsidP="0012381A">
      <w:pPr>
        <w:rPr>
          <w:b/>
          <w:sz w:val="28"/>
          <w:szCs w:val="28"/>
        </w:rPr>
      </w:pPr>
      <w:r w:rsidRPr="0012381A">
        <w:rPr>
          <w:b/>
          <w:sz w:val="28"/>
          <w:szCs w:val="28"/>
        </w:rPr>
        <w:lastRenderedPageBreak/>
        <w:t>Diabetic retinopathy: a success story for screening</w:t>
      </w:r>
    </w:p>
    <w:p w:rsidR="00846661" w:rsidRPr="0012381A" w:rsidRDefault="00A562DE" w:rsidP="0012381A">
      <w:pPr>
        <w:rPr>
          <w:sz w:val="24"/>
          <w:szCs w:val="24"/>
        </w:rPr>
      </w:pPr>
      <w:r w:rsidRPr="0012381A">
        <w:rPr>
          <w:sz w:val="24"/>
          <w:szCs w:val="24"/>
        </w:rPr>
        <w:t xml:space="preserve">The </w:t>
      </w:r>
      <w:r w:rsidR="00946972" w:rsidRPr="0012381A">
        <w:rPr>
          <w:sz w:val="24"/>
          <w:szCs w:val="24"/>
        </w:rPr>
        <w:t>NHS Diabetic Eye</w:t>
      </w:r>
      <w:r w:rsidRPr="0012381A">
        <w:rPr>
          <w:sz w:val="24"/>
          <w:szCs w:val="24"/>
        </w:rPr>
        <w:t xml:space="preserve"> </w:t>
      </w:r>
      <w:r w:rsidR="00946972" w:rsidRPr="0012381A">
        <w:rPr>
          <w:sz w:val="24"/>
          <w:szCs w:val="24"/>
        </w:rPr>
        <w:t>S</w:t>
      </w:r>
      <w:r w:rsidRPr="0012381A">
        <w:rPr>
          <w:sz w:val="24"/>
          <w:szCs w:val="24"/>
        </w:rPr>
        <w:t xml:space="preserve">creening </w:t>
      </w:r>
      <w:r w:rsidR="00846661" w:rsidRPr="0012381A">
        <w:rPr>
          <w:sz w:val="24"/>
          <w:szCs w:val="24"/>
        </w:rPr>
        <w:t>Programme</w:t>
      </w:r>
      <w:r w:rsidR="0012381A">
        <w:rPr>
          <w:sz w:val="24"/>
          <w:szCs w:val="24"/>
        </w:rPr>
        <w:t xml:space="preserve"> in the four nations of the </w:t>
      </w:r>
      <w:r w:rsidR="0012381A" w:rsidRPr="0012381A">
        <w:rPr>
          <w:sz w:val="24"/>
          <w:szCs w:val="24"/>
        </w:rPr>
        <w:t>United Kingdom</w:t>
      </w:r>
      <w:r w:rsidR="00137212" w:rsidRPr="0012381A">
        <w:rPr>
          <w:sz w:val="24"/>
          <w:szCs w:val="24"/>
        </w:rPr>
        <w:t xml:space="preserve"> </w:t>
      </w:r>
      <w:r w:rsidRPr="0012381A">
        <w:rPr>
          <w:sz w:val="24"/>
          <w:szCs w:val="24"/>
        </w:rPr>
        <w:t>has been a success story.</w:t>
      </w:r>
      <w:bookmarkStart w:id="0" w:name="_GoBack"/>
      <w:bookmarkEnd w:id="0"/>
    </w:p>
    <w:p w:rsidR="00A931BD" w:rsidRPr="0012381A" w:rsidRDefault="00137212" w:rsidP="00781295">
      <w:pPr>
        <w:rPr>
          <w:sz w:val="24"/>
          <w:szCs w:val="24"/>
        </w:rPr>
      </w:pPr>
      <w:r w:rsidRPr="0012381A">
        <w:rPr>
          <w:sz w:val="24"/>
          <w:szCs w:val="24"/>
        </w:rPr>
        <w:t>England and Wales have collected information on the number of people</w:t>
      </w:r>
      <w:r w:rsidR="00946972" w:rsidRPr="0012381A">
        <w:rPr>
          <w:sz w:val="24"/>
          <w:szCs w:val="24"/>
        </w:rPr>
        <w:t xml:space="preserve"> losing their sight</w:t>
      </w:r>
      <w:r w:rsidRPr="0012381A">
        <w:rPr>
          <w:sz w:val="24"/>
          <w:szCs w:val="24"/>
        </w:rPr>
        <w:t xml:space="preserve"> for over 150 years with specific causes identified since 1930</w:t>
      </w:r>
      <w:r w:rsidR="00946972" w:rsidRPr="0012381A">
        <w:rPr>
          <w:sz w:val="24"/>
          <w:szCs w:val="24"/>
        </w:rPr>
        <w:t xml:space="preserve">. </w:t>
      </w:r>
      <w:r w:rsidRPr="0012381A">
        <w:rPr>
          <w:sz w:val="24"/>
          <w:szCs w:val="24"/>
        </w:rPr>
        <w:t>For many years, diabetic retinopathy ha</w:t>
      </w:r>
      <w:r w:rsidR="00781295">
        <w:rPr>
          <w:sz w:val="24"/>
          <w:szCs w:val="24"/>
        </w:rPr>
        <w:t>s</w:t>
      </w:r>
      <w:r w:rsidRPr="0012381A">
        <w:rPr>
          <w:sz w:val="24"/>
          <w:szCs w:val="24"/>
        </w:rPr>
        <w:t xml:space="preserve"> been the leading cause of blindness among people of working age</w:t>
      </w:r>
      <w:r w:rsidR="00A562DE" w:rsidRPr="0012381A">
        <w:rPr>
          <w:sz w:val="24"/>
          <w:szCs w:val="24"/>
        </w:rPr>
        <w:t xml:space="preserve"> </w:t>
      </w:r>
      <w:r w:rsidRPr="0012381A">
        <w:rPr>
          <w:sz w:val="24"/>
          <w:szCs w:val="24"/>
        </w:rPr>
        <w:t xml:space="preserve">but </w:t>
      </w:r>
      <w:r w:rsidR="00946972" w:rsidRPr="0012381A">
        <w:rPr>
          <w:sz w:val="24"/>
          <w:szCs w:val="24"/>
        </w:rPr>
        <w:t xml:space="preserve">data from 2009-2010 indicated that </w:t>
      </w:r>
      <w:r w:rsidR="00781295">
        <w:rPr>
          <w:sz w:val="24"/>
          <w:szCs w:val="24"/>
        </w:rPr>
        <w:t>more</w:t>
      </w:r>
      <w:r w:rsidR="00946972" w:rsidRPr="0012381A">
        <w:rPr>
          <w:sz w:val="24"/>
          <w:szCs w:val="24"/>
        </w:rPr>
        <w:t xml:space="preserve"> people </w:t>
      </w:r>
      <w:r w:rsidR="00781295">
        <w:rPr>
          <w:sz w:val="24"/>
          <w:szCs w:val="24"/>
        </w:rPr>
        <w:t>went</w:t>
      </w:r>
      <w:r w:rsidR="00946972" w:rsidRPr="0012381A">
        <w:rPr>
          <w:sz w:val="24"/>
          <w:szCs w:val="24"/>
        </w:rPr>
        <w:t xml:space="preserve"> blind from hereditary retinal disorders </w:t>
      </w:r>
      <w:r w:rsidR="00781295">
        <w:rPr>
          <w:sz w:val="24"/>
          <w:szCs w:val="24"/>
        </w:rPr>
        <w:t>than</w:t>
      </w:r>
      <w:r w:rsidR="00946972" w:rsidRPr="0012381A">
        <w:rPr>
          <w:sz w:val="24"/>
          <w:szCs w:val="24"/>
        </w:rPr>
        <w:t xml:space="preserve"> diabetes. In the decade between 1999-2000 and 2009-2010, the number of people who were registered blind as a result of diabetes fell from 290 (16.7% of all certifications) to 253 (15.8%) despite a marked rise in the prevalence of diabetes over the same period</w:t>
      </w:r>
      <w:r w:rsidR="00781295">
        <w:rPr>
          <w:sz w:val="24"/>
          <w:szCs w:val="24"/>
        </w:rPr>
        <w:t xml:space="preserve"> (1)</w:t>
      </w:r>
      <w:r w:rsidR="00946972" w:rsidRPr="0012381A">
        <w:rPr>
          <w:sz w:val="24"/>
          <w:szCs w:val="24"/>
        </w:rPr>
        <w:t>.</w:t>
      </w:r>
    </w:p>
    <w:p w:rsidR="00846661" w:rsidRPr="0012381A" w:rsidRDefault="00A931BD" w:rsidP="00781295">
      <w:pPr>
        <w:rPr>
          <w:sz w:val="24"/>
          <w:szCs w:val="24"/>
        </w:rPr>
      </w:pPr>
      <w:r w:rsidRPr="0012381A">
        <w:rPr>
          <w:sz w:val="24"/>
          <w:szCs w:val="24"/>
        </w:rPr>
        <w:t xml:space="preserve">Although </w:t>
      </w:r>
      <w:r w:rsidR="0012381A">
        <w:rPr>
          <w:sz w:val="24"/>
          <w:szCs w:val="24"/>
        </w:rPr>
        <w:t>examination</w:t>
      </w:r>
      <w:r w:rsidR="00846661" w:rsidRPr="0012381A">
        <w:rPr>
          <w:sz w:val="24"/>
          <w:szCs w:val="24"/>
        </w:rPr>
        <w:t xml:space="preserve"> for diabetic retinopathy has been undertaken for many years</w:t>
      </w:r>
      <w:r w:rsidRPr="0012381A">
        <w:rPr>
          <w:sz w:val="24"/>
          <w:szCs w:val="24"/>
        </w:rPr>
        <w:t>,</w:t>
      </w:r>
      <w:r w:rsidR="00846661" w:rsidRPr="0012381A">
        <w:rPr>
          <w:sz w:val="24"/>
          <w:szCs w:val="24"/>
        </w:rPr>
        <w:t xml:space="preserve"> formal national screening programmes in the UK only began </w:t>
      </w:r>
      <w:r w:rsidR="00717135" w:rsidRPr="0012381A">
        <w:rPr>
          <w:sz w:val="24"/>
          <w:szCs w:val="24"/>
        </w:rPr>
        <w:t>in 2002-2003</w:t>
      </w:r>
      <w:r w:rsidR="00846661" w:rsidRPr="0012381A">
        <w:rPr>
          <w:sz w:val="24"/>
          <w:szCs w:val="24"/>
        </w:rPr>
        <w:t xml:space="preserve">. </w:t>
      </w:r>
      <w:r w:rsidRPr="0012381A">
        <w:rPr>
          <w:sz w:val="24"/>
          <w:szCs w:val="24"/>
        </w:rPr>
        <w:t xml:space="preserve">The aim of these programmes was to ensure that all </w:t>
      </w:r>
      <w:r w:rsidRPr="0012381A">
        <w:rPr>
          <w:rStyle w:val="A0"/>
          <w:b w:val="0"/>
          <w:bCs w:val="0"/>
          <w:sz w:val="24"/>
          <w:szCs w:val="24"/>
        </w:rPr>
        <w:t>people with diabetes</w:t>
      </w:r>
      <w:r w:rsidRPr="0012381A">
        <w:rPr>
          <w:rStyle w:val="A0"/>
          <w:sz w:val="24"/>
          <w:szCs w:val="24"/>
        </w:rPr>
        <w:t xml:space="preserve"> </w:t>
      </w:r>
      <w:r w:rsidRPr="0012381A">
        <w:rPr>
          <w:sz w:val="24"/>
          <w:szCs w:val="24"/>
        </w:rPr>
        <w:t xml:space="preserve">over the age of 12 years </w:t>
      </w:r>
      <w:r w:rsidRPr="0012381A">
        <w:rPr>
          <w:rStyle w:val="A0"/>
          <w:b w:val="0"/>
          <w:bCs w:val="0"/>
          <w:sz w:val="24"/>
          <w:szCs w:val="24"/>
        </w:rPr>
        <w:t>receive regular eye screening as one of their essential free NHS checks and services and</w:t>
      </w:r>
      <w:r w:rsidRPr="0012381A">
        <w:rPr>
          <w:rStyle w:val="A0"/>
          <w:sz w:val="24"/>
          <w:szCs w:val="24"/>
        </w:rPr>
        <w:t xml:space="preserve"> </w:t>
      </w:r>
      <w:r w:rsidRPr="0012381A">
        <w:rPr>
          <w:sz w:val="24"/>
          <w:szCs w:val="24"/>
        </w:rPr>
        <w:t>in 2014-2015</w:t>
      </w:r>
      <w:r w:rsidR="00846661" w:rsidRPr="0012381A">
        <w:rPr>
          <w:sz w:val="24"/>
          <w:szCs w:val="24"/>
        </w:rPr>
        <w:t xml:space="preserve"> </w:t>
      </w:r>
      <w:r w:rsidRPr="0012381A">
        <w:rPr>
          <w:sz w:val="24"/>
          <w:szCs w:val="24"/>
        </w:rPr>
        <w:t>over 80% of all</w:t>
      </w:r>
      <w:r w:rsidR="00846661" w:rsidRPr="0012381A">
        <w:rPr>
          <w:sz w:val="24"/>
          <w:szCs w:val="24"/>
        </w:rPr>
        <w:t xml:space="preserve"> people with diabetes </w:t>
      </w:r>
      <w:r w:rsidRPr="0012381A">
        <w:rPr>
          <w:sz w:val="24"/>
          <w:szCs w:val="24"/>
        </w:rPr>
        <w:t>in England attended for</w:t>
      </w:r>
      <w:r w:rsidR="00846661" w:rsidRPr="0012381A">
        <w:rPr>
          <w:sz w:val="24"/>
          <w:szCs w:val="24"/>
        </w:rPr>
        <w:t xml:space="preserve"> screening. With robust referral </w:t>
      </w:r>
      <w:r w:rsidRPr="0012381A">
        <w:rPr>
          <w:sz w:val="24"/>
          <w:szCs w:val="24"/>
        </w:rPr>
        <w:t xml:space="preserve">pathways </w:t>
      </w:r>
      <w:r w:rsidR="00846661" w:rsidRPr="0012381A">
        <w:rPr>
          <w:sz w:val="24"/>
          <w:szCs w:val="24"/>
        </w:rPr>
        <w:t xml:space="preserve">and quality assurance, </w:t>
      </w:r>
      <w:r w:rsidRPr="0012381A">
        <w:rPr>
          <w:sz w:val="24"/>
          <w:szCs w:val="24"/>
        </w:rPr>
        <w:t xml:space="preserve">this has led to better identification and </w:t>
      </w:r>
      <w:r w:rsidR="0012381A">
        <w:rPr>
          <w:sz w:val="24"/>
          <w:szCs w:val="24"/>
        </w:rPr>
        <w:t xml:space="preserve">earlier </w:t>
      </w:r>
      <w:r w:rsidRPr="0012381A">
        <w:rPr>
          <w:sz w:val="24"/>
          <w:szCs w:val="24"/>
        </w:rPr>
        <w:t xml:space="preserve">treatment of one of the most devastating complications of diabetes. </w:t>
      </w:r>
    </w:p>
    <w:p w:rsidR="001F1CDF" w:rsidRDefault="0012381A" w:rsidP="001F1CDF">
      <w:pPr>
        <w:rPr>
          <w:sz w:val="24"/>
          <w:szCs w:val="24"/>
        </w:rPr>
      </w:pPr>
      <w:r>
        <w:rPr>
          <w:sz w:val="24"/>
          <w:szCs w:val="24"/>
        </w:rPr>
        <w:t>T</w:t>
      </w:r>
      <w:r w:rsidR="00A931BD" w:rsidRPr="0012381A">
        <w:rPr>
          <w:sz w:val="24"/>
          <w:szCs w:val="24"/>
        </w:rPr>
        <w:t>he risk of developing retinopathy differs according to the duration of diabetes, as well as glycaemic and b</w:t>
      </w:r>
      <w:r w:rsidR="00717135" w:rsidRPr="0012381A">
        <w:rPr>
          <w:sz w:val="24"/>
          <w:szCs w:val="24"/>
        </w:rPr>
        <w:t>lood pressure control</w:t>
      </w:r>
      <w:r>
        <w:rPr>
          <w:sz w:val="24"/>
          <w:szCs w:val="24"/>
        </w:rPr>
        <w:t>,</w:t>
      </w:r>
      <w:r w:rsidR="00717135" w:rsidRPr="0012381A">
        <w:rPr>
          <w:sz w:val="24"/>
          <w:szCs w:val="24"/>
        </w:rPr>
        <w:t xml:space="preserve"> and so the current annual screening intervals may not be appropriate for all. As the choice of annual screening was pragmatic, there have been calls to increase the time for those with uncomplicated, well controlled diabetes. In this issue, we have three articles that discuss the screening programme. In the first, Scotland </w:t>
      </w:r>
      <w:r w:rsidR="005175ED">
        <w:rPr>
          <w:sz w:val="24"/>
          <w:szCs w:val="24"/>
        </w:rPr>
        <w:t xml:space="preserve">and colleagues </w:t>
      </w:r>
      <w:r w:rsidR="00717135" w:rsidRPr="0012381A">
        <w:rPr>
          <w:sz w:val="24"/>
          <w:szCs w:val="24"/>
        </w:rPr>
        <w:t xml:space="preserve">demonstrate that biennial screening for those with type </w:t>
      </w:r>
      <w:proofErr w:type="gramStart"/>
      <w:r w:rsidR="00717135" w:rsidRPr="0012381A">
        <w:rPr>
          <w:sz w:val="24"/>
          <w:szCs w:val="24"/>
        </w:rPr>
        <w:t>2 diabetes</w:t>
      </w:r>
      <w:proofErr w:type="gramEnd"/>
      <w:r w:rsidR="00717135" w:rsidRPr="0012381A">
        <w:rPr>
          <w:sz w:val="24"/>
          <w:szCs w:val="24"/>
        </w:rPr>
        <w:t xml:space="preserve"> and no retinopathy is likely to deliver significant cost savings with only a minimal increase in the risk of adverse visual acuity and worsened quali</w:t>
      </w:r>
      <w:r>
        <w:rPr>
          <w:sz w:val="24"/>
          <w:szCs w:val="24"/>
        </w:rPr>
        <w:t>ty of life</w:t>
      </w:r>
      <w:r w:rsidR="00781295">
        <w:rPr>
          <w:sz w:val="24"/>
          <w:szCs w:val="24"/>
        </w:rPr>
        <w:t xml:space="preserve"> (2)</w:t>
      </w:r>
      <w:r>
        <w:rPr>
          <w:sz w:val="24"/>
          <w:szCs w:val="24"/>
        </w:rPr>
        <w:t>.</w:t>
      </w:r>
      <w:r w:rsidR="001F1CDF">
        <w:rPr>
          <w:sz w:val="24"/>
          <w:szCs w:val="24"/>
        </w:rPr>
        <w:t xml:space="preserve"> </w:t>
      </w:r>
    </w:p>
    <w:p w:rsidR="002D5E24" w:rsidRPr="002D5E24" w:rsidRDefault="002D5E24" w:rsidP="001F1CDF">
      <w:pPr>
        <w:rPr>
          <w:sz w:val="24"/>
          <w:szCs w:val="24"/>
        </w:rPr>
      </w:pPr>
      <w:r>
        <w:rPr>
          <w:sz w:val="24"/>
          <w:szCs w:val="24"/>
        </w:rPr>
        <w:t xml:space="preserve">Further evidence to increase the screening interval to 2 or 3 years comes from </w:t>
      </w:r>
      <w:proofErr w:type="spellStart"/>
      <w:r>
        <w:rPr>
          <w:sz w:val="24"/>
          <w:szCs w:val="24"/>
        </w:rPr>
        <w:t>Oke</w:t>
      </w:r>
      <w:proofErr w:type="spellEnd"/>
      <w:r>
        <w:rPr>
          <w:sz w:val="24"/>
          <w:szCs w:val="24"/>
        </w:rPr>
        <w:t xml:space="preserve"> and colleagues who used a statistical modelling approach to evaluate the accuracy of retinal screening</w:t>
      </w:r>
      <w:r w:rsidR="009F555A">
        <w:rPr>
          <w:sz w:val="24"/>
          <w:szCs w:val="24"/>
        </w:rPr>
        <w:t xml:space="preserve"> (3)</w:t>
      </w:r>
      <w:r>
        <w:rPr>
          <w:sz w:val="24"/>
          <w:szCs w:val="24"/>
        </w:rPr>
        <w:t>. Using data from the Gloucestershire Diabetic Eye Screening Programme, the authors estimated that 21.6% of all assessments were misclassified with 16.1% being over-graded a</w:t>
      </w:r>
      <w:r w:rsidRPr="002D5E24">
        <w:rPr>
          <w:sz w:val="24"/>
          <w:szCs w:val="24"/>
        </w:rPr>
        <w:t xml:space="preserve">nd 5.5% being under-graded.  Although misclassification of background retinopathy as no detectable retinopathy was relatively common (3.4% of all grading), the model predicted that this was </w:t>
      </w:r>
      <w:r w:rsidR="001F1CDF">
        <w:rPr>
          <w:sz w:val="24"/>
          <w:szCs w:val="24"/>
        </w:rPr>
        <w:t xml:space="preserve">highly </w:t>
      </w:r>
      <w:r w:rsidRPr="002D5E24">
        <w:rPr>
          <w:sz w:val="24"/>
          <w:szCs w:val="24"/>
        </w:rPr>
        <w:t>unlikely to lead to significant clinical delays in referral for sight threatening retinopathy.</w:t>
      </w:r>
    </w:p>
    <w:p w:rsidR="002D5E24" w:rsidRDefault="0012381A" w:rsidP="002D5E24">
      <w:pPr>
        <w:rPr>
          <w:sz w:val="24"/>
          <w:szCs w:val="24"/>
        </w:rPr>
      </w:pPr>
      <w:r w:rsidRPr="002D5E24">
        <w:rPr>
          <w:sz w:val="24"/>
          <w:szCs w:val="24"/>
        </w:rPr>
        <w:t xml:space="preserve">In the United Kingdom Prospective Diabetes Study, retinopathy was </w:t>
      </w:r>
      <w:r w:rsidRPr="002D5E24">
        <w:rPr>
          <w:rFonts w:cs="Arial"/>
          <w:sz w:val="24"/>
          <w:szCs w:val="24"/>
        </w:rPr>
        <w:t>present in 39% of men and 35% of women</w:t>
      </w:r>
      <w:r w:rsidR="005175ED" w:rsidRPr="002D5E24">
        <w:rPr>
          <w:rFonts w:cs="Arial"/>
          <w:sz w:val="24"/>
          <w:szCs w:val="24"/>
        </w:rPr>
        <w:t xml:space="preserve"> with newly diagnosed type 2 diabetes, with marked retinopathy in 8% of men and 4% of women. These findings have underpinned the need to register people with newly diagnosed diabetes with the </w:t>
      </w:r>
      <w:r w:rsidR="005175ED" w:rsidRPr="002D5E24">
        <w:rPr>
          <w:sz w:val="24"/>
          <w:szCs w:val="24"/>
        </w:rPr>
        <w:t xml:space="preserve">Diabetic Eye Screening Programme as soon as possible </w:t>
      </w:r>
      <w:r w:rsidR="005175ED" w:rsidRPr="002D5E24">
        <w:rPr>
          <w:sz w:val="24"/>
          <w:szCs w:val="24"/>
        </w:rPr>
        <w:lastRenderedPageBreak/>
        <w:t>after diagnosis. Using data from across the United Kingdom, Scanlon and colleagues describe how younger people are less likely to attend for screening promptly after registration and how this delay translates into a higher risk of retinopathy requiring</w:t>
      </w:r>
      <w:r w:rsidR="005175ED">
        <w:rPr>
          <w:sz w:val="24"/>
          <w:szCs w:val="24"/>
        </w:rPr>
        <w:t xml:space="preserve"> referral and treatment</w:t>
      </w:r>
      <w:r w:rsidR="009F555A">
        <w:rPr>
          <w:sz w:val="24"/>
          <w:szCs w:val="24"/>
        </w:rPr>
        <w:t xml:space="preserve"> (4)</w:t>
      </w:r>
      <w:r w:rsidR="005175ED">
        <w:rPr>
          <w:sz w:val="24"/>
          <w:szCs w:val="24"/>
        </w:rPr>
        <w:t xml:space="preserve">. </w:t>
      </w:r>
    </w:p>
    <w:p w:rsidR="0012381A" w:rsidRDefault="002D5E24" w:rsidP="00781295">
      <w:pPr>
        <w:rPr>
          <w:sz w:val="24"/>
          <w:szCs w:val="24"/>
        </w:rPr>
      </w:pPr>
      <w:r>
        <w:rPr>
          <w:sz w:val="24"/>
          <w:szCs w:val="24"/>
        </w:rPr>
        <w:t xml:space="preserve">While the reduction in the rates of blindness from diabetes is heartening, </w:t>
      </w:r>
      <w:r w:rsidR="00781295">
        <w:rPr>
          <w:sz w:val="24"/>
          <w:szCs w:val="24"/>
        </w:rPr>
        <w:t>further e</w:t>
      </w:r>
      <w:r w:rsidR="005175ED">
        <w:rPr>
          <w:sz w:val="24"/>
          <w:szCs w:val="24"/>
        </w:rPr>
        <w:t>fforts are needed to ensure that all people with diabetes understand the rationale for retinal screening and to encourage their attendance</w:t>
      </w:r>
      <w:r w:rsidR="00781295">
        <w:rPr>
          <w:sz w:val="24"/>
          <w:szCs w:val="24"/>
        </w:rPr>
        <w:t xml:space="preserve"> in order to make blindness from diabetes a thing of the past. A more rational targeting of the </w:t>
      </w:r>
      <w:r w:rsidR="00781295" w:rsidRPr="002D5E24">
        <w:rPr>
          <w:sz w:val="24"/>
          <w:szCs w:val="24"/>
        </w:rPr>
        <w:t>Diabetic Eye Screening Programme</w:t>
      </w:r>
      <w:r w:rsidR="00781295">
        <w:rPr>
          <w:sz w:val="24"/>
          <w:szCs w:val="24"/>
        </w:rPr>
        <w:t xml:space="preserve"> may help us to achieve this</w:t>
      </w:r>
      <w:r w:rsidR="005175ED">
        <w:rPr>
          <w:sz w:val="24"/>
          <w:szCs w:val="24"/>
        </w:rPr>
        <w:t>.</w:t>
      </w:r>
    </w:p>
    <w:p w:rsidR="00781295" w:rsidRDefault="00781295" w:rsidP="00781295">
      <w:pPr>
        <w:rPr>
          <w:sz w:val="24"/>
          <w:szCs w:val="24"/>
        </w:rPr>
      </w:pPr>
    </w:p>
    <w:p w:rsidR="00781295" w:rsidRPr="001F1CDF" w:rsidRDefault="00781295" w:rsidP="00781295">
      <w:pPr>
        <w:rPr>
          <w:sz w:val="24"/>
          <w:szCs w:val="24"/>
        </w:rPr>
      </w:pPr>
      <w:r w:rsidRPr="001F1CDF">
        <w:rPr>
          <w:sz w:val="24"/>
          <w:szCs w:val="24"/>
        </w:rPr>
        <w:t>Richard IG Holt</w:t>
      </w:r>
    </w:p>
    <w:p w:rsidR="00781295" w:rsidRDefault="00781295" w:rsidP="00781295">
      <w:pPr>
        <w:rPr>
          <w:sz w:val="24"/>
          <w:szCs w:val="24"/>
        </w:rPr>
      </w:pPr>
      <w:r w:rsidRPr="001F1CDF">
        <w:rPr>
          <w:sz w:val="24"/>
          <w:szCs w:val="24"/>
        </w:rPr>
        <w:t>Editor-in-Chief</w:t>
      </w:r>
    </w:p>
    <w:p w:rsidR="001F1CDF" w:rsidRPr="001F1CDF" w:rsidRDefault="001F1CDF" w:rsidP="00781295">
      <w:pPr>
        <w:rPr>
          <w:sz w:val="24"/>
          <w:szCs w:val="24"/>
        </w:rPr>
      </w:pPr>
    </w:p>
    <w:p w:rsidR="00781295" w:rsidRPr="001F1CDF" w:rsidRDefault="00781295" w:rsidP="00781295">
      <w:pPr>
        <w:pStyle w:val="ListParagraph"/>
        <w:numPr>
          <w:ilvl w:val="0"/>
          <w:numId w:val="3"/>
        </w:numPr>
        <w:autoSpaceDE w:val="0"/>
        <w:autoSpaceDN w:val="0"/>
        <w:adjustRightInd w:val="0"/>
      </w:pPr>
      <w:proofErr w:type="spellStart"/>
      <w:r w:rsidRPr="001F1CDF">
        <w:t>Liew</w:t>
      </w:r>
      <w:proofErr w:type="spellEnd"/>
      <w:r w:rsidRPr="001F1CDF">
        <w:t xml:space="preserve"> G, </w:t>
      </w:r>
      <w:proofErr w:type="spellStart"/>
      <w:r w:rsidRPr="001F1CDF">
        <w:t>Michaelides</w:t>
      </w:r>
      <w:proofErr w:type="spellEnd"/>
      <w:r w:rsidRPr="001F1CDF">
        <w:t xml:space="preserve"> M, Bunce C. </w:t>
      </w:r>
      <w:r w:rsidRPr="001F1CDF">
        <w:rPr>
          <w:rFonts w:cs="AdvTT03eea2a7.B"/>
        </w:rPr>
        <w:t>A comparison of the causes of blindness certi</w:t>
      </w:r>
      <w:r w:rsidRPr="001F1CDF">
        <w:rPr>
          <w:rFonts w:cs="AdvTT03eea2a7.B+fb"/>
        </w:rPr>
        <w:t>fi</w:t>
      </w:r>
      <w:r w:rsidRPr="001F1CDF">
        <w:rPr>
          <w:rFonts w:cs="AdvTT03eea2a7.B"/>
        </w:rPr>
        <w:t>cations in England and Wales in working age adults (16</w:t>
      </w:r>
      <w:r w:rsidRPr="001F1CDF">
        <w:rPr>
          <w:rFonts w:cs="AdvTT03eea2a7.B+20"/>
        </w:rPr>
        <w:t>–</w:t>
      </w:r>
      <w:r w:rsidRPr="001F1CDF">
        <w:rPr>
          <w:rFonts w:cs="AdvTT03eea2a7.B"/>
        </w:rPr>
        <w:t>64 years), 1999</w:t>
      </w:r>
      <w:r w:rsidRPr="001F1CDF">
        <w:rPr>
          <w:rFonts w:cs="AdvTT03eea2a7.B+20"/>
        </w:rPr>
        <w:t>–</w:t>
      </w:r>
      <w:r w:rsidRPr="001F1CDF">
        <w:rPr>
          <w:rFonts w:cs="AdvTT03eea2a7.B"/>
        </w:rPr>
        <w:t>2000 with 2009</w:t>
      </w:r>
      <w:r w:rsidRPr="001F1CDF">
        <w:rPr>
          <w:rFonts w:cs="AdvTT03eea2a7.B+20"/>
        </w:rPr>
        <w:t>–</w:t>
      </w:r>
      <w:r w:rsidRPr="001F1CDF">
        <w:rPr>
          <w:rFonts w:cs="AdvTT03eea2a7.B"/>
        </w:rPr>
        <w:t>2010</w:t>
      </w:r>
      <w:r w:rsidRPr="001F1CDF">
        <w:rPr>
          <w:rFonts w:cs="Arial"/>
        </w:rPr>
        <w:t xml:space="preserve"> BMJ Open. 2014 Feb 12</w:t>
      </w:r>
      <w:proofErr w:type="gramStart"/>
      <w:r w:rsidRPr="001F1CDF">
        <w:rPr>
          <w:rFonts w:cs="Arial"/>
        </w:rPr>
        <w:t>;4</w:t>
      </w:r>
      <w:proofErr w:type="gramEnd"/>
      <w:r w:rsidRPr="001F1CDF">
        <w:rPr>
          <w:rFonts w:cs="Arial"/>
        </w:rPr>
        <w:t xml:space="preserve">(2):e004015. </w:t>
      </w:r>
      <w:proofErr w:type="spellStart"/>
      <w:proofErr w:type="gramStart"/>
      <w:r w:rsidRPr="001F1CDF">
        <w:rPr>
          <w:rFonts w:cs="Arial"/>
        </w:rPr>
        <w:t>doi</w:t>
      </w:r>
      <w:proofErr w:type="spellEnd"/>
      <w:proofErr w:type="gramEnd"/>
      <w:r w:rsidRPr="001F1CDF">
        <w:rPr>
          <w:rFonts w:cs="Arial"/>
        </w:rPr>
        <w:t>: 10.1136/bmjopen-2013-004015.</w:t>
      </w:r>
    </w:p>
    <w:p w:rsidR="00781295" w:rsidRPr="001F1CDF" w:rsidRDefault="00781295" w:rsidP="00781295">
      <w:pPr>
        <w:pStyle w:val="ListParagraph"/>
        <w:numPr>
          <w:ilvl w:val="0"/>
          <w:numId w:val="3"/>
        </w:numPr>
        <w:autoSpaceDE w:val="0"/>
        <w:autoSpaceDN w:val="0"/>
        <w:adjustRightInd w:val="0"/>
      </w:pPr>
      <w:r w:rsidRPr="001F1CDF">
        <w:rPr>
          <w:rFonts w:cs="Arial"/>
        </w:rPr>
        <w:t xml:space="preserve">Scotland et al. </w:t>
      </w:r>
      <w:proofErr w:type="gramStart"/>
      <w:r w:rsidRPr="00781295">
        <w:rPr>
          <w:rFonts w:eastAsia="Times New Roman" w:cs="Tahoma"/>
        </w:rPr>
        <w:t>Modelling</w:t>
      </w:r>
      <w:proofErr w:type="gramEnd"/>
      <w:r w:rsidRPr="00781295">
        <w:rPr>
          <w:rFonts w:eastAsia="Times New Roman" w:cs="Tahoma"/>
        </w:rPr>
        <w:t xml:space="preserve"> the cost-effectiveness of adopting risk-stratified approaches to extended screening intervals in the national diabetic retinopathy screening programme in Scotland</w:t>
      </w:r>
      <w:r w:rsidRPr="001F1CDF">
        <w:rPr>
          <w:rFonts w:eastAsia="Times New Roman" w:cs="Tahoma"/>
        </w:rPr>
        <w:t xml:space="preserve">. </w:t>
      </w:r>
      <w:r w:rsidRPr="00781295">
        <w:rPr>
          <w:rFonts w:eastAsia="Times New Roman" w:cs="Tahoma"/>
        </w:rPr>
        <w:t>DME13129</w:t>
      </w:r>
      <w:r w:rsidRPr="001F1CDF">
        <w:rPr>
          <w:rFonts w:eastAsia="Times New Roman" w:cs="Tahoma"/>
        </w:rPr>
        <w:t xml:space="preserve">. </w:t>
      </w:r>
      <w:r w:rsidRPr="00781295">
        <w:rPr>
          <w:rFonts w:eastAsia="Times New Roman" w:cs="Tahoma"/>
        </w:rPr>
        <w:t>DME-2015-00904.R1</w:t>
      </w:r>
    </w:p>
    <w:p w:rsidR="001F1CDF" w:rsidRPr="001F1CDF" w:rsidRDefault="00781295" w:rsidP="001F1CDF">
      <w:pPr>
        <w:pStyle w:val="ListParagraph"/>
        <w:numPr>
          <w:ilvl w:val="0"/>
          <w:numId w:val="3"/>
        </w:numPr>
        <w:autoSpaceDE w:val="0"/>
        <w:autoSpaceDN w:val="0"/>
        <w:adjustRightInd w:val="0"/>
      </w:pPr>
      <w:proofErr w:type="spellStart"/>
      <w:r w:rsidRPr="001F1CDF">
        <w:rPr>
          <w:rFonts w:eastAsia="Times New Roman" w:cs="Tahoma"/>
          <w:lang w:eastAsia="zh-CN"/>
        </w:rPr>
        <w:t>Oke</w:t>
      </w:r>
      <w:proofErr w:type="spellEnd"/>
      <w:r w:rsidRPr="001F1CDF">
        <w:rPr>
          <w:rFonts w:eastAsia="Times New Roman" w:cs="Tahoma"/>
          <w:lang w:eastAsia="zh-CN"/>
        </w:rPr>
        <w:t xml:space="preserve"> et al. The use of statistical methodology to determine the accuracy of grading within a diabetic retinopathy screening programme. DME13053. DME-2015-00518.R2</w:t>
      </w:r>
    </w:p>
    <w:p w:rsidR="00A931BD" w:rsidRPr="001F1CDF" w:rsidRDefault="00781295" w:rsidP="001F1CDF">
      <w:pPr>
        <w:pStyle w:val="ListParagraph"/>
        <w:numPr>
          <w:ilvl w:val="0"/>
          <w:numId w:val="3"/>
        </w:numPr>
        <w:autoSpaceDE w:val="0"/>
        <w:autoSpaceDN w:val="0"/>
        <w:adjustRightInd w:val="0"/>
      </w:pPr>
      <w:r w:rsidRPr="001F1CDF">
        <w:rPr>
          <w:rFonts w:eastAsia="Times New Roman" w:cs="Tahoma"/>
          <w:lang w:eastAsia="zh-CN"/>
        </w:rPr>
        <w:t>Scanlon et al. Screening Attendance, Age Group and Diabetic Retinopathy Level at First Screen</w:t>
      </w:r>
      <w:r w:rsidR="001F1CDF" w:rsidRPr="001F1CDF">
        <w:rPr>
          <w:rFonts w:eastAsia="Times New Roman" w:cs="Tahoma"/>
          <w:lang w:eastAsia="zh-CN"/>
        </w:rPr>
        <w:t xml:space="preserve">. </w:t>
      </w:r>
      <w:r w:rsidR="001F1CDF" w:rsidRPr="001F1CDF">
        <w:rPr>
          <w:rFonts w:eastAsia="Times New Roman" w:cs="Tahoma"/>
        </w:rPr>
        <w:t>DME12957. DME-2015-00157.R2</w:t>
      </w:r>
    </w:p>
    <w:sectPr w:rsidR="00A931BD" w:rsidRPr="001F1C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Frutiger">
    <w:altName w:val="Frutige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panose1 w:val="00000000000000000000"/>
    <w:charset w:val="00"/>
    <w:family w:val="roman"/>
    <w:notTrueType/>
    <w:pitch w:val="default"/>
  </w:font>
  <w:font w:name="AGaramondPro-Italic">
    <w:panose1 w:val="00000000000000000000"/>
    <w:charset w:val="00"/>
    <w:family w:val="auto"/>
    <w:notTrueType/>
    <w:pitch w:val="default"/>
    <w:sig w:usb0="00000003" w:usb1="00000000" w:usb2="00000000" w:usb3="00000000" w:csb0="00000001" w:csb1="00000000"/>
  </w:font>
  <w:font w:name="AGaramondPro-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dvTT03eea2a7.B">
    <w:panose1 w:val="00000000000000000000"/>
    <w:charset w:val="00"/>
    <w:family w:val="roman"/>
    <w:notTrueType/>
    <w:pitch w:val="default"/>
    <w:sig w:usb0="00000003" w:usb1="00000000" w:usb2="00000000" w:usb3="00000000" w:csb0="00000001" w:csb1="00000000"/>
  </w:font>
  <w:font w:name="AdvTT03eea2a7.B+fb">
    <w:panose1 w:val="00000000000000000000"/>
    <w:charset w:val="00"/>
    <w:family w:val="auto"/>
    <w:notTrueType/>
    <w:pitch w:val="default"/>
    <w:sig w:usb0="00000003" w:usb1="00000000" w:usb2="00000000" w:usb3="00000000" w:csb0="00000001" w:csb1="00000000"/>
  </w:font>
  <w:font w:name="AdvTT03eea2a7.B+20">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262A0"/>
    <w:multiLevelType w:val="hybridMultilevel"/>
    <w:tmpl w:val="CF4293E8"/>
    <w:lvl w:ilvl="0" w:tplc="BC2EC9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361039"/>
    <w:multiLevelType w:val="hybridMultilevel"/>
    <w:tmpl w:val="BDD2CD0A"/>
    <w:lvl w:ilvl="0" w:tplc="BC2EC9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94D4ECB"/>
    <w:multiLevelType w:val="hybridMultilevel"/>
    <w:tmpl w:val="0B02B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2DE"/>
    <w:rsid w:val="0012381A"/>
    <w:rsid w:val="00137212"/>
    <w:rsid w:val="001F1CDF"/>
    <w:rsid w:val="00253D49"/>
    <w:rsid w:val="002D5E24"/>
    <w:rsid w:val="00476DB0"/>
    <w:rsid w:val="005175ED"/>
    <w:rsid w:val="00717135"/>
    <w:rsid w:val="00781295"/>
    <w:rsid w:val="00846661"/>
    <w:rsid w:val="00946972"/>
    <w:rsid w:val="009F555A"/>
    <w:rsid w:val="00A562DE"/>
    <w:rsid w:val="00A931BD"/>
    <w:rsid w:val="00B03358"/>
    <w:rsid w:val="00BB08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931BD"/>
    <w:pPr>
      <w:autoSpaceDE w:val="0"/>
      <w:autoSpaceDN w:val="0"/>
      <w:adjustRightInd w:val="0"/>
      <w:spacing w:after="0" w:line="240" w:lineRule="auto"/>
    </w:pPr>
    <w:rPr>
      <w:rFonts w:ascii="Frutiger" w:hAnsi="Frutiger" w:cs="Frutiger"/>
      <w:color w:val="000000"/>
      <w:sz w:val="24"/>
      <w:szCs w:val="24"/>
    </w:rPr>
  </w:style>
  <w:style w:type="character" w:customStyle="1" w:styleId="A0">
    <w:name w:val="A0"/>
    <w:uiPriority w:val="99"/>
    <w:rsid w:val="00A931BD"/>
    <w:rPr>
      <w:rFonts w:cs="Frutiger"/>
      <w:b/>
      <w:bCs/>
      <w:color w:val="221E1F"/>
      <w:sz w:val="28"/>
      <w:szCs w:val="28"/>
    </w:rPr>
  </w:style>
  <w:style w:type="table" w:styleId="TableGrid">
    <w:name w:val="Table Grid"/>
    <w:basedOn w:val="TableNormal"/>
    <w:uiPriority w:val="59"/>
    <w:rsid w:val="0012381A"/>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381A"/>
    <w:pPr>
      <w:spacing w:after="0" w:line="240" w:lineRule="auto"/>
      <w:ind w:left="720"/>
      <w:contextualSpacing/>
    </w:pPr>
    <w:rPr>
      <w:sz w:val="24"/>
      <w:szCs w:val="24"/>
      <w:lang w:eastAsia="en-US"/>
    </w:rPr>
  </w:style>
  <w:style w:type="paragraph" w:styleId="BalloonText">
    <w:name w:val="Balloon Text"/>
    <w:basedOn w:val="Normal"/>
    <w:link w:val="BalloonTextChar"/>
    <w:uiPriority w:val="99"/>
    <w:semiHidden/>
    <w:unhideWhenUsed/>
    <w:rsid w:val="00123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8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931BD"/>
    <w:pPr>
      <w:autoSpaceDE w:val="0"/>
      <w:autoSpaceDN w:val="0"/>
      <w:adjustRightInd w:val="0"/>
      <w:spacing w:after="0" w:line="240" w:lineRule="auto"/>
    </w:pPr>
    <w:rPr>
      <w:rFonts w:ascii="Frutiger" w:hAnsi="Frutiger" w:cs="Frutiger"/>
      <w:color w:val="000000"/>
      <w:sz w:val="24"/>
      <w:szCs w:val="24"/>
    </w:rPr>
  </w:style>
  <w:style w:type="character" w:customStyle="1" w:styleId="A0">
    <w:name w:val="A0"/>
    <w:uiPriority w:val="99"/>
    <w:rsid w:val="00A931BD"/>
    <w:rPr>
      <w:rFonts w:cs="Frutiger"/>
      <w:b/>
      <w:bCs/>
      <w:color w:val="221E1F"/>
      <w:sz w:val="28"/>
      <w:szCs w:val="28"/>
    </w:rPr>
  </w:style>
  <w:style w:type="table" w:styleId="TableGrid">
    <w:name w:val="Table Grid"/>
    <w:basedOn w:val="TableNormal"/>
    <w:uiPriority w:val="59"/>
    <w:rsid w:val="0012381A"/>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381A"/>
    <w:pPr>
      <w:spacing w:after="0" w:line="240" w:lineRule="auto"/>
      <w:ind w:left="720"/>
      <w:contextualSpacing/>
    </w:pPr>
    <w:rPr>
      <w:sz w:val="24"/>
      <w:szCs w:val="24"/>
      <w:lang w:eastAsia="en-US"/>
    </w:rPr>
  </w:style>
  <w:style w:type="paragraph" w:styleId="BalloonText">
    <w:name w:val="Balloon Text"/>
    <w:basedOn w:val="Normal"/>
    <w:link w:val="BalloonTextChar"/>
    <w:uiPriority w:val="99"/>
    <w:semiHidden/>
    <w:unhideWhenUsed/>
    <w:rsid w:val="00123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8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3074">
      <w:bodyDiv w:val="1"/>
      <w:marLeft w:val="0"/>
      <w:marRight w:val="0"/>
      <w:marTop w:val="0"/>
      <w:marBottom w:val="0"/>
      <w:divBdr>
        <w:top w:val="none" w:sz="0" w:space="0" w:color="auto"/>
        <w:left w:val="none" w:sz="0" w:space="0" w:color="auto"/>
        <w:bottom w:val="none" w:sz="0" w:space="0" w:color="auto"/>
        <w:right w:val="none" w:sz="0" w:space="0" w:color="auto"/>
      </w:divBdr>
    </w:div>
    <w:div w:id="1030378959">
      <w:bodyDiv w:val="1"/>
      <w:marLeft w:val="0"/>
      <w:marRight w:val="0"/>
      <w:marTop w:val="0"/>
      <w:marBottom w:val="0"/>
      <w:divBdr>
        <w:top w:val="none" w:sz="0" w:space="0" w:color="auto"/>
        <w:left w:val="none" w:sz="0" w:space="0" w:color="auto"/>
        <w:bottom w:val="none" w:sz="0" w:space="0" w:color="auto"/>
        <w:right w:val="none" w:sz="0" w:space="0" w:color="auto"/>
      </w:divBdr>
    </w:div>
    <w:div w:id="1685011766">
      <w:bodyDiv w:val="1"/>
      <w:marLeft w:val="0"/>
      <w:marRight w:val="0"/>
      <w:marTop w:val="0"/>
      <w:marBottom w:val="0"/>
      <w:divBdr>
        <w:top w:val="none" w:sz="0" w:space="0" w:color="auto"/>
        <w:left w:val="none" w:sz="0" w:space="0" w:color="auto"/>
        <w:bottom w:val="none" w:sz="0" w:space="0" w:color="auto"/>
        <w:right w:val="none" w:sz="0" w:space="0" w:color="auto"/>
      </w:divBdr>
    </w:div>
    <w:div w:id="206328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974</Words>
  <Characters>5557</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Holt R.I.G.</dc:creator>
  <cp:lastModifiedBy>de Montfalcon</cp:lastModifiedBy>
  <cp:revision>2</cp:revision>
  <dcterms:created xsi:type="dcterms:W3CDTF">2016-05-20T15:27:00Z</dcterms:created>
  <dcterms:modified xsi:type="dcterms:W3CDTF">2016-05-20T15:27:00Z</dcterms:modified>
</cp:coreProperties>
</file>