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ACC0D" w14:textId="58D3DD83" w:rsidR="00B7212F" w:rsidRPr="0019069B" w:rsidRDefault="00B7212F" w:rsidP="00B75DB1">
      <w:pPr>
        <w:spacing w:line="480" w:lineRule="auto"/>
        <w:jc w:val="both"/>
        <w:rPr>
          <w:b/>
          <w:sz w:val="26"/>
        </w:rPr>
      </w:pPr>
      <w:r w:rsidRPr="0019069B">
        <w:rPr>
          <w:b/>
          <w:sz w:val="26"/>
        </w:rPr>
        <w:t>Article type:</w:t>
      </w:r>
    </w:p>
    <w:p w14:paraId="4C32CE1E" w14:textId="01AA8A8F" w:rsidR="00B7212F" w:rsidRPr="00874415" w:rsidRDefault="00B7212F" w:rsidP="00B75DB1">
      <w:pPr>
        <w:spacing w:line="480" w:lineRule="auto"/>
        <w:jc w:val="both"/>
      </w:pPr>
      <w:r w:rsidRPr="009433A9">
        <w:t>Original</w:t>
      </w:r>
      <w:r w:rsidRPr="00874415">
        <w:t xml:space="preserve"> Article</w:t>
      </w:r>
    </w:p>
    <w:p w14:paraId="73735E25" w14:textId="77777777" w:rsidR="0081637E" w:rsidRPr="0019069B" w:rsidRDefault="0081637E" w:rsidP="00B75DB1">
      <w:pPr>
        <w:spacing w:line="480" w:lineRule="auto"/>
        <w:jc w:val="both"/>
        <w:rPr>
          <w:b/>
          <w:sz w:val="26"/>
        </w:rPr>
      </w:pPr>
      <w:r w:rsidRPr="0019069B">
        <w:rPr>
          <w:b/>
          <w:sz w:val="26"/>
        </w:rPr>
        <w:t>Title:</w:t>
      </w:r>
    </w:p>
    <w:p w14:paraId="2BEF9912" w14:textId="3061F7BF" w:rsidR="0081637E" w:rsidRPr="00B42111" w:rsidRDefault="0081637E" w:rsidP="00B75DB1">
      <w:pPr>
        <w:spacing w:line="480" w:lineRule="auto"/>
        <w:jc w:val="both"/>
      </w:pPr>
      <w:r>
        <w:t xml:space="preserve">Clinical activity </w:t>
      </w:r>
      <w:r w:rsidR="00D93D0B">
        <w:t>and safety of Pembrolizumab in I</w:t>
      </w:r>
      <w:r>
        <w:t>pilimumab pre-treated patients with uveal melanoma.</w:t>
      </w:r>
    </w:p>
    <w:p w14:paraId="44140C28" w14:textId="62747F29" w:rsidR="0081637E" w:rsidRPr="0019069B" w:rsidRDefault="00B7212F" w:rsidP="00B75DB1">
      <w:pPr>
        <w:spacing w:line="480" w:lineRule="auto"/>
        <w:jc w:val="both"/>
        <w:rPr>
          <w:b/>
          <w:sz w:val="26"/>
        </w:rPr>
      </w:pPr>
      <w:r w:rsidRPr="0019069B">
        <w:rPr>
          <w:b/>
          <w:sz w:val="26"/>
        </w:rPr>
        <w:t>Authors:</w:t>
      </w:r>
    </w:p>
    <w:p w14:paraId="6BF67DBA" w14:textId="72C10857" w:rsidR="007C63DD" w:rsidRDefault="007C63DD" w:rsidP="00B75DB1">
      <w:pPr>
        <w:spacing w:line="480" w:lineRule="auto"/>
        <w:ind w:firstLine="426"/>
      </w:pPr>
      <w:r>
        <w:t>Ioannis</w:t>
      </w:r>
      <w:r w:rsidR="00B7212F">
        <w:t xml:space="preserve"> Karydis</w:t>
      </w:r>
      <w:r w:rsidR="008D1BA0" w:rsidRPr="00874415">
        <w:rPr>
          <w:vertAlign w:val="superscript"/>
        </w:rPr>
        <w:t>1</w:t>
      </w:r>
      <w:r w:rsidR="00B7212F">
        <w:t xml:space="preserve">, </w:t>
      </w:r>
    </w:p>
    <w:p w14:paraId="47F3623B" w14:textId="2BD981EF" w:rsidR="00804C6A" w:rsidRDefault="00804C6A" w:rsidP="00B75DB1">
      <w:pPr>
        <w:spacing w:line="480" w:lineRule="auto"/>
        <w:ind w:firstLine="426"/>
      </w:pPr>
      <w:r>
        <w:t>Pui Ying Chan</w:t>
      </w:r>
      <w:r w:rsidRPr="00804C6A">
        <w:rPr>
          <w:vertAlign w:val="superscript"/>
        </w:rPr>
        <w:t>2</w:t>
      </w:r>
    </w:p>
    <w:p w14:paraId="1266D0AF" w14:textId="56D3D0AD" w:rsidR="007C63DD" w:rsidRDefault="007C63DD" w:rsidP="00B75DB1">
      <w:pPr>
        <w:spacing w:line="480" w:lineRule="auto"/>
        <w:ind w:firstLine="426"/>
      </w:pPr>
      <w:r>
        <w:t>Matthew</w:t>
      </w:r>
      <w:r w:rsidR="008D1BA0">
        <w:t xml:space="preserve"> Wheater</w:t>
      </w:r>
      <w:r w:rsidR="00804C6A">
        <w:rPr>
          <w:vertAlign w:val="superscript"/>
        </w:rPr>
        <w:t>3</w:t>
      </w:r>
      <w:r w:rsidR="008D1BA0">
        <w:t xml:space="preserve">, </w:t>
      </w:r>
    </w:p>
    <w:p w14:paraId="4CDD044E" w14:textId="3F79947C" w:rsidR="007C63DD" w:rsidRDefault="007C63DD" w:rsidP="00B75DB1">
      <w:pPr>
        <w:spacing w:line="480" w:lineRule="auto"/>
        <w:ind w:firstLine="426"/>
      </w:pPr>
      <w:r>
        <w:t>Edurne</w:t>
      </w:r>
      <w:r w:rsidR="008D1BA0">
        <w:t xml:space="preserve"> Arriola</w:t>
      </w:r>
      <w:r w:rsidR="00804C6A">
        <w:rPr>
          <w:vertAlign w:val="superscript"/>
        </w:rPr>
        <w:t>3</w:t>
      </w:r>
      <w:r w:rsidR="008D1BA0">
        <w:t>,</w:t>
      </w:r>
    </w:p>
    <w:p w14:paraId="36421ECE" w14:textId="5527CD42" w:rsidR="00804C6A" w:rsidRPr="00973148" w:rsidRDefault="00804C6A" w:rsidP="00B75DB1">
      <w:pPr>
        <w:spacing w:line="480" w:lineRule="auto"/>
        <w:ind w:firstLine="426"/>
      </w:pPr>
      <w:r>
        <w:t xml:space="preserve">Peter </w:t>
      </w:r>
      <w:r w:rsidR="00FF5409">
        <w:t xml:space="preserve">W. </w:t>
      </w:r>
      <w:r>
        <w:t>Szlosarek</w:t>
      </w:r>
      <w:r w:rsidRPr="00804C6A">
        <w:rPr>
          <w:vertAlign w:val="superscript"/>
        </w:rPr>
        <w:t>2</w:t>
      </w:r>
      <w:r w:rsidR="00973148">
        <w:rPr>
          <w:vertAlign w:val="superscript"/>
        </w:rPr>
        <w:t xml:space="preserve">,4 </w:t>
      </w:r>
      <w:r w:rsidR="00973148">
        <w:t>,</w:t>
      </w:r>
      <w:bookmarkStart w:id="0" w:name="_GoBack"/>
      <w:bookmarkEnd w:id="0"/>
    </w:p>
    <w:p w14:paraId="16970A3A" w14:textId="557AF254" w:rsidR="008D1BA0" w:rsidRDefault="007C63DD" w:rsidP="00B75DB1">
      <w:pPr>
        <w:spacing w:line="480" w:lineRule="auto"/>
        <w:ind w:firstLine="426"/>
      </w:pPr>
      <w:r>
        <w:t xml:space="preserve"> Christian</w:t>
      </w:r>
      <w:r w:rsidR="008D1BA0">
        <w:t xml:space="preserve"> H. Ottensmeier</w:t>
      </w:r>
      <w:r w:rsidR="008D1BA0" w:rsidRPr="00874415">
        <w:rPr>
          <w:vertAlign w:val="superscript"/>
        </w:rPr>
        <w:t>1</w:t>
      </w:r>
    </w:p>
    <w:p w14:paraId="5DEB0BB1" w14:textId="77777777" w:rsidR="008D1BA0" w:rsidRPr="0019069B" w:rsidRDefault="008D1BA0" w:rsidP="00B75DB1">
      <w:pPr>
        <w:spacing w:line="480" w:lineRule="auto"/>
        <w:rPr>
          <w:b/>
          <w:sz w:val="26"/>
        </w:rPr>
      </w:pPr>
      <w:r w:rsidRPr="0019069B">
        <w:rPr>
          <w:b/>
          <w:sz w:val="26"/>
        </w:rPr>
        <w:t>Affiliation List:</w:t>
      </w:r>
    </w:p>
    <w:p w14:paraId="364F928E" w14:textId="77777777" w:rsidR="00804C6A" w:rsidRPr="00804C6A" w:rsidRDefault="008D1BA0" w:rsidP="00804C6A">
      <w:pPr>
        <w:pStyle w:val="ListParagraph"/>
        <w:numPr>
          <w:ilvl w:val="0"/>
          <w:numId w:val="5"/>
        </w:numPr>
        <w:spacing w:line="480" w:lineRule="auto"/>
        <w:ind w:left="709" w:hanging="283"/>
        <w:rPr>
          <w:b/>
        </w:rPr>
      </w:pPr>
      <w:r>
        <w:t>Cancer Sciences</w:t>
      </w:r>
      <w:r w:rsidR="000F7C37">
        <w:t xml:space="preserve"> Academic</w:t>
      </w:r>
      <w:r>
        <w:t xml:space="preserve"> Unit ,</w:t>
      </w:r>
      <w:r w:rsidRPr="008D1BA0">
        <w:t xml:space="preserve"> </w:t>
      </w:r>
      <w:r>
        <w:t>University of Southampton,  Southampton, United Kingdom</w:t>
      </w:r>
    </w:p>
    <w:p w14:paraId="0C0A73C7" w14:textId="25B61BD8" w:rsidR="00804C6A" w:rsidRPr="00804C6A" w:rsidRDefault="00804C6A" w:rsidP="00804C6A">
      <w:pPr>
        <w:pStyle w:val="ListParagraph"/>
        <w:numPr>
          <w:ilvl w:val="0"/>
          <w:numId w:val="5"/>
        </w:numPr>
        <w:spacing w:line="480" w:lineRule="auto"/>
        <w:ind w:left="709" w:hanging="283"/>
      </w:pPr>
      <w:r w:rsidRPr="00804C6A">
        <w:t>Department of Medical Oncology, St Bartholomew's Hospital, London</w:t>
      </w:r>
    </w:p>
    <w:p w14:paraId="57C037F0" w14:textId="752740CA" w:rsidR="008D1BA0" w:rsidRPr="00973148" w:rsidRDefault="008D1BA0" w:rsidP="007C63DD">
      <w:pPr>
        <w:pStyle w:val="ListParagraph"/>
        <w:numPr>
          <w:ilvl w:val="0"/>
          <w:numId w:val="5"/>
        </w:numPr>
        <w:spacing w:line="480" w:lineRule="auto"/>
        <w:ind w:left="709" w:hanging="283"/>
        <w:rPr>
          <w:b/>
        </w:rPr>
      </w:pPr>
      <w:r>
        <w:t>Medical Oncology,</w:t>
      </w:r>
      <w:r w:rsidRPr="008D1BA0">
        <w:t xml:space="preserve"> </w:t>
      </w:r>
      <w:r>
        <w:t>University Hospital Southampton,  Southampton, United Kingdom</w:t>
      </w:r>
    </w:p>
    <w:p w14:paraId="545DF992" w14:textId="3F980AD1" w:rsidR="00973148" w:rsidRPr="00874415" w:rsidRDefault="00973148" w:rsidP="007C63DD">
      <w:pPr>
        <w:pStyle w:val="ListParagraph"/>
        <w:numPr>
          <w:ilvl w:val="0"/>
          <w:numId w:val="5"/>
        </w:numPr>
        <w:spacing w:line="480" w:lineRule="auto"/>
        <w:ind w:left="709" w:hanging="283"/>
        <w:rPr>
          <w:b/>
        </w:rPr>
      </w:pPr>
      <w:r>
        <w:t>Barts Cancer Institute, Queen Mary University of London</w:t>
      </w:r>
    </w:p>
    <w:p w14:paraId="3EF41788" w14:textId="7B0EE932" w:rsidR="008D1BA0" w:rsidRPr="0019069B" w:rsidRDefault="000B39EA" w:rsidP="00B75DB1">
      <w:pPr>
        <w:spacing w:line="480" w:lineRule="auto"/>
        <w:rPr>
          <w:b/>
          <w:sz w:val="26"/>
        </w:rPr>
      </w:pPr>
      <w:r w:rsidRPr="0019069B">
        <w:rPr>
          <w:b/>
          <w:sz w:val="26"/>
        </w:rPr>
        <w:t>Contact details for C</w:t>
      </w:r>
      <w:r w:rsidR="008D1BA0" w:rsidRPr="0019069B">
        <w:rPr>
          <w:b/>
          <w:sz w:val="26"/>
        </w:rPr>
        <w:t>orrespondence</w:t>
      </w:r>
      <w:r w:rsidRPr="0019069B">
        <w:rPr>
          <w:b/>
          <w:sz w:val="26"/>
        </w:rPr>
        <w:t>:</w:t>
      </w:r>
    </w:p>
    <w:p w14:paraId="35379A11" w14:textId="6D9A3ECD" w:rsidR="008D1BA0" w:rsidRPr="0019069B" w:rsidRDefault="000B39EA" w:rsidP="00B75DB1">
      <w:pPr>
        <w:spacing w:after="0" w:line="480" w:lineRule="auto"/>
        <w:ind w:firstLine="426"/>
        <w:rPr>
          <w:b/>
        </w:rPr>
      </w:pPr>
      <w:r w:rsidRPr="00874415">
        <w:rPr>
          <w:b/>
        </w:rPr>
        <w:t>Address:</w:t>
      </w:r>
      <w:r w:rsidR="0019069B">
        <w:rPr>
          <w:b/>
        </w:rPr>
        <w:tab/>
        <w:t xml:space="preserve">           </w:t>
      </w:r>
      <w:r w:rsidR="008D1BA0" w:rsidRPr="00874415">
        <w:t>Dr Ioannis Karydis</w:t>
      </w:r>
    </w:p>
    <w:p w14:paraId="1FB4A13E" w14:textId="36328E51" w:rsidR="008D1BA0" w:rsidRDefault="008D1BA0" w:rsidP="00B75DB1">
      <w:pPr>
        <w:spacing w:after="0" w:line="480" w:lineRule="auto"/>
        <w:ind w:firstLine="1985"/>
      </w:pPr>
      <w:r>
        <w:t>Cancer Sciences Unit,</w:t>
      </w:r>
      <w:r w:rsidRPr="008D1BA0">
        <w:t xml:space="preserve"> </w:t>
      </w:r>
      <w:r>
        <w:t>University of Southampton</w:t>
      </w:r>
    </w:p>
    <w:p w14:paraId="6F9A9047" w14:textId="77777777" w:rsidR="008D1BA0" w:rsidRDefault="008D1BA0" w:rsidP="00B75DB1">
      <w:pPr>
        <w:spacing w:after="0" w:line="480" w:lineRule="auto"/>
        <w:ind w:firstLine="1985"/>
      </w:pPr>
      <w:r>
        <w:t>MP 824, Somers Cancer Research Building</w:t>
      </w:r>
    </w:p>
    <w:p w14:paraId="179DDBF2" w14:textId="77777777" w:rsidR="008D1BA0" w:rsidRDefault="008D1BA0" w:rsidP="00B75DB1">
      <w:pPr>
        <w:spacing w:after="0" w:line="480" w:lineRule="auto"/>
        <w:ind w:firstLine="1985"/>
      </w:pPr>
      <w:r>
        <w:lastRenderedPageBreak/>
        <w:t>Southampton General Hospital</w:t>
      </w:r>
    </w:p>
    <w:p w14:paraId="1E0B98F9" w14:textId="77777777" w:rsidR="008D1BA0" w:rsidRDefault="008D1BA0" w:rsidP="00B75DB1">
      <w:pPr>
        <w:spacing w:after="0" w:line="480" w:lineRule="auto"/>
        <w:ind w:firstLine="1985"/>
      </w:pPr>
      <w:r>
        <w:t>Tremona Road</w:t>
      </w:r>
    </w:p>
    <w:p w14:paraId="055B8027" w14:textId="6F5BF0C1" w:rsidR="000B39EA" w:rsidRDefault="008D1BA0" w:rsidP="00B75DB1">
      <w:pPr>
        <w:spacing w:after="120" w:line="480" w:lineRule="auto"/>
        <w:ind w:firstLine="1985"/>
        <w:rPr>
          <w:b/>
        </w:rPr>
      </w:pPr>
      <w:r>
        <w:t>Southampton</w:t>
      </w:r>
      <w:r w:rsidR="000B39EA">
        <w:t xml:space="preserve">, </w:t>
      </w:r>
      <w:r w:rsidR="000B39EA" w:rsidRPr="000B39EA">
        <w:t xml:space="preserve">SO16 6YD </w:t>
      </w:r>
      <w:r w:rsidR="000B39EA">
        <w:t>, UK</w:t>
      </w:r>
    </w:p>
    <w:p w14:paraId="7805F376" w14:textId="5CB9B372" w:rsidR="000B39EA" w:rsidRDefault="000B39EA" w:rsidP="00B75DB1">
      <w:pPr>
        <w:spacing w:after="120" w:line="480" w:lineRule="auto"/>
        <w:ind w:firstLine="425"/>
        <w:rPr>
          <w:b/>
        </w:rPr>
      </w:pPr>
      <w:r>
        <w:rPr>
          <w:b/>
        </w:rPr>
        <w:t xml:space="preserve">e-mail:                   </w:t>
      </w:r>
      <w:r>
        <w:t>i.karydis@southampton.ac.uk</w:t>
      </w:r>
      <w:r w:rsidRPr="00874415">
        <w:rPr>
          <w:b/>
        </w:rPr>
        <w:t xml:space="preserve"> </w:t>
      </w:r>
    </w:p>
    <w:p w14:paraId="6C9FB54F" w14:textId="108EC698" w:rsidR="00B034B7" w:rsidRPr="00874415" w:rsidRDefault="000B39EA" w:rsidP="00B75DB1">
      <w:pPr>
        <w:spacing w:line="480" w:lineRule="auto"/>
        <w:ind w:firstLine="426"/>
        <w:rPr>
          <w:b/>
        </w:rPr>
      </w:pPr>
      <w:r>
        <w:rPr>
          <w:b/>
        </w:rPr>
        <w:t xml:space="preserve">Phone number :  </w:t>
      </w:r>
      <w:r>
        <w:t>023 8120 5161</w:t>
      </w:r>
      <w:r w:rsidRPr="00874415">
        <w:rPr>
          <w:b/>
        </w:rPr>
        <w:t xml:space="preserve"> </w:t>
      </w:r>
      <w:r w:rsidR="00B034B7" w:rsidRPr="00874415">
        <w:rPr>
          <w:b/>
        </w:rPr>
        <w:br w:type="page"/>
      </w:r>
    </w:p>
    <w:p w14:paraId="65874B14" w14:textId="77777777" w:rsidR="009433A9" w:rsidRDefault="009433A9">
      <w:pPr>
        <w:rPr>
          <w:b/>
          <w:sz w:val="28"/>
        </w:rPr>
      </w:pPr>
      <w:r>
        <w:rPr>
          <w:b/>
          <w:sz w:val="28"/>
        </w:rPr>
        <w:lastRenderedPageBreak/>
        <w:t>Keywords</w:t>
      </w:r>
    </w:p>
    <w:p w14:paraId="474365F0" w14:textId="77777777" w:rsidR="009433A9" w:rsidRDefault="009433A9">
      <w:r>
        <w:t>Pembrolizumab , uveal melanoma, metastases, immuno-oncology, anti-PD-1</w:t>
      </w:r>
    </w:p>
    <w:p w14:paraId="00003356" w14:textId="17147AB5" w:rsidR="009433A9" w:rsidRDefault="009433A9">
      <w:pPr>
        <w:rPr>
          <w:b/>
          <w:sz w:val="28"/>
        </w:rPr>
      </w:pPr>
      <w:r>
        <w:rPr>
          <w:b/>
          <w:sz w:val="28"/>
        </w:rPr>
        <w:t>L</w:t>
      </w:r>
      <w:r w:rsidRPr="009433A9">
        <w:rPr>
          <w:b/>
          <w:sz w:val="28"/>
        </w:rPr>
        <w:t xml:space="preserve">ist of abbreviations and </w:t>
      </w:r>
      <w:r w:rsidR="00A62226" w:rsidRPr="009433A9">
        <w:rPr>
          <w:b/>
          <w:sz w:val="28"/>
        </w:rPr>
        <w:t>acronyms:</w:t>
      </w:r>
    </w:p>
    <w:p w14:paraId="515E555B" w14:textId="77777777" w:rsidR="00A62226" w:rsidRDefault="00A62226" w:rsidP="00A62226">
      <w:r>
        <w:t>AE</w:t>
      </w:r>
      <w:r>
        <w:tab/>
        <w:t>Adverse Event</w:t>
      </w:r>
    </w:p>
    <w:p w14:paraId="2AFD5A14" w14:textId="77777777" w:rsidR="00A62226" w:rsidRDefault="00A62226" w:rsidP="00A62226">
      <w:r>
        <w:t xml:space="preserve">ALT </w:t>
      </w:r>
      <w:r>
        <w:tab/>
        <w:t>Alanine aminotransferase</w:t>
      </w:r>
    </w:p>
    <w:p w14:paraId="547578D2" w14:textId="77777777" w:rsidR="00A62226" w:rsidRDefault="00A62226" w:rsidP="00A62226">
      <w:r>
        <w:t xml:space="preserve">AST </w:t>
      </w:r>
      <w:r>
        <w:tab/>
        <w:t>Aspartate aminotransferase</w:t>
      </w:r>
    </w:p>
    <w:p w14:paraId="39A8FC09" w14:textId="77777777" w:rsidR="00A62226" w:rsidRDefault="00A62226" w:rsidP="00A62226">
      <w:r>
        <w:t>CM</w:t>
      </w:r>
      <w:r>
        <w:tab/>
        <w:t xml:space="preserve">Cutaneous Melanoma </w:t>
      </w:r>
    </w:p>
    <w:p w14:paraId="22D9C6C1" w14:textId="77777777" w:rsidR="00A62226" w:rsidRDefault="00A62226" w:rsidP="00A62226">
      <w:r>
        <w:t>CTCAE</w:t>
      </w:r>
      <w:r>
        <w:tab/>
        <w:t xml:space="preserve">Common Terminology Criteria for Adverse Events </w:t>
      </w:r>
    </w:p>
    <w:p w14:paraId="17AA99A8" w14:textId="77777777" w:rsidR="00A62226" w:rsidRDefault="00A62226" w:rsidP="00A62226">
      <w:r>
        <w:t>EAP</w:t>
      </w:r>
      <w:r>
        <w:tab/>
        <w:t xml:space="preserve">Expanded Access Programme </w:t>
      </w:r>
    </w:p>
    <w:p w14:paraId="44D7E237" w14:textId="5A4A06FD" w:rsidR="009E2EF1" w:rsidRDefault="009E2EF1" w:rsidP="00A62226">
      <w:r>
        <w:t>ECOG</w:t>
      </w:r>
      <w:r>
        <w:tab/>
        <w:t>Eastern Cooperative Oncology Group</w:t>
      </w:r>
    </w:p>
    <w:p w14:paraId="06D576B6" w14:textId="0914A15D" w:rsidR="00A62226" w:rsidRDefault="00A62226" w:rsidP="00A62226">
      <w:r>
        <w:t>irAE</w:t>
      </w:r>
      <w:r>
        <w:tab/>
        <w:t>immune-related AE</w:t>
      </w:r>
    </w:p>
    <w:p w14:paraId="4637CBD4" w14:textId="77777777" w:rsidR="00A62226" w:rsidRDefault="00A62226" w:rsidP="00A62226">
      <w:r>
        <w:t>irRC</w:t>
      </w:r>
      <w:r>
        <w:tab/>
        <w:t xml:space="preserve">immune-related Response Criteria </w:t>
      </w:r>
    </w:p>
    <w:p w14:paraId="1E13D6B9" w14:textId="34E9D171" w:rsidR="00A62226" w:rsidRDefault="00A62226" w:rsidP="00A62226">
      <w:r>
        <w:t>LDH</w:t>
      </w:r>
      <w:r>
        <w:tab/>
        <w:t>Lactate Dehydrogenase</w:t>
      </w:r>
    </w:p>
    <w:p w14:paraId="65936831" w14:textId="77777777" w:rsidR="00A62226" w:rsidRDefault="00A62226" w:rsidP="00A62226">
      <w:r>
        <w:t xml:space="preserve">OS  </w:t>
      </w:r>
      <w:r>
        <w:tab/>
        <w:t xml:space="preserve">Overall Survival </w:t>
      </w:r>
    </w:p>
    <w:p w14:paraId="50BF2B39" w14:textId="144F1D27" w:rsidR="00B370B5" w:rsidRDefault="00B370B5" w:rsidP="00A62226">
      <w:r>
        <w:t>PD</w:t>
      </w:r>
      <w:r>
        <w:tab/>
        <w:t>Progressive disease</w:t>
      </w:r>
    </w:p>
    <w:p w14:paraId="63111A62" w14:textId="77777777" w:rsidR="00A62226" w:rsidRDefault="00A62226" w:rsidP="00A62226">
      <w:r>
        <w:t>PFS</w:t>
      </w:r>
      <w:r>
        <w:tab/>
        <w:t xml:space="preserve">Progression Free Survival </w:t>
      </w:r>
    </w:p>
    <w:p w14:paraId="44DE4F31" w14:textId="77777777" w:rsidR="00953AC5" w:rsidRDefault="00A62226" w:rsidP="00A62226">
      <w:r>
        <w:t>PS</w:t>
      </w:r>
      <w:r>
        <w:tab/>
        <w:t>Performance Status</w:t>
      </w:r>
    </w:p>
    <w:p w14:paraId="222E01BD" w14:textId="4AA24C51" w:rsidR="00A62226" w:rsidRDefault="00953AC5" w:rsidP="00A62226">
      <w:r>
        <w:t>RFA</w:t>
      </w:r>
      <w:r>
        <w:tab/>
      </w:r>
      <w:r w:rsidRPr="00953AC5">
        <w:t>Radiofrequency ablation</w:t>
      </w:r>
    </w:p>
    <w:p w14:paraId="759F01CF" w14:textId="18850155" w:rsidR="00953AC5" w:rsidRDefault="00953AC5" w:rsidP="00A62226">
      <w:pPr>
        <w:rPr>
          <w:bCs/>
        </w:rPr>
      </w:pPr>
      <w:r w:rsidRPr="00953AC5">
        <w:rPr>
          <w:bCs/>
        </w:rPr>
        <w:t>SIRT</w:t>
      </w:r>
      <w:r>
        <w:rPr>
          <w:bCs/>
        </w:rPr>
        <w:tab/>
      </w:r>
      <w:r w:rsidRPr="00953AC5">
        <w:rPr>
          <w:bCs/>
        </w:rPr>
        <w:t>Selective internal radiation therapy</w:t>
      </w:r>
    </w:p>
    <w:p w14:paraId="63EDC397" w14:textId="5B2799E6" w:rsidR="00953AC5" w:rsidRDefault="00953AC5" w:rsidP="00A62226">
      <w:pPr>
        <w:rPr>
          <w:rStyle w:val="tgc"/>
        </w:rPr>
      </w:pPr>
      <w:r>
        <w:rPr>
          <w:bCs/>
        </w:rPr>
        <w:t>TACE</w:t>
      </w:r>
      <w:r>
        <w:rPr>
          <w:bCs/>
        </w:rPr>
        <w:tab/>
      </w:r>
      <w:r>
        <w:rPr>
          <w:rStyle w:val="tgc"/>
        </w:rPr>
        <w:t>Transcatheter arterial chemoembolization</w:t>
      </w:r>
    </w:p>
    <w:p w14:paraId="072E9E60" w14:textId="38F93338" w:rsidR="00953AC5" w:rsidRPr="00953AC5" w:rsidRDefault="00953AC5" w:rsidP="00A62226">
      <w:r>
        <w:rPr>
          <w:rStyle w:val="tgc"/>
        </w:rPr>
        <w:t>TIL</w:t>
      </w:r>
      <w:r>
        <w:rPr>
          <w:rStyle w:val="tgc"/>
        </w:rPr>
        <w:tab/>
        <w:t>Tumour infiltrating lymphocytes</w:t>
      </w:r>
    </w:p>
    <w:p w14:paraId="5A0564DC" w14:textId="77777777" w:rsidR="00A62226" w:rsidRDefault="00A62226" w:rsidP="00A62226">
      <w:r>
        <w:t>ULN</w:t>
      </w:r>
      <w:r>
        <w:tab/>
        <w:t>Upper Limit of Normal</w:t>
      </w:r>
    </w:p>
    <w:p w14:paraId="7E3B2A96" w14:textId="1BFB246A" w:rsidR="006573A3" w:rsidRDefault="00A62226" w:rsidP="00A62226">
      <w:pPr>
        <w:rPr>
          <w:b/>
          <w:sz w:val="28"/>
        </w:rPr>
      </w:pPr>
      <w:r>
        <w:t>UM</w:t>
      </w:r>
      <w:r>
        <w:tab/>
        <w:t xml:space="preserve">Uveal Melanoma </w:t>
      </w:r>
      <w:r w:rsidR="009433A9">
        <w:rPr>
          <w:b/>
          <w:sz w:val="28"/>
        </w:rPr>
        <w:br w:type="page"/>
      </w:r>
    </w:p>
    <w:p w14:paraId="50234335" w14:textId="094BCD74" w:rsidR="0081637E" w:rsidRPr="0019069B" w:rsidRDefault="00A62226" w:rsidP="00B75DB1">
      <w:pPr>
        <w:spacing w:line="480" w:lineRule="auto"/>
        <w:jc w:val="both"/>
        <w:rPr>
          <w:b/>
          <w:sz w:val="28"/>
        </w:rPr>
      </w:pPr>
      <w:r>
        <w:rPr>
          <w:b/>
          <w:sz w:val="28"/>
        </w:rPr>
        <w:lastRenderedPageBreak/>
        <w:t>Abstract</w:t>
      </w:r>
    </w:p>
    <w:p w14:paraId="73D61893" w14:textId="77777777" w:rsidR="0081637E" w:rsidRPr="000706AE" w:rsidRDefault="0081637E" w:rsidP="00B75DB1">
      <w:pPr>
        <w:spacing w:line="480" w:lineRule="auto"/>
        <w:jc w:val="both"/>
        <w:rPr>
          <w:b/>
        </w:rPr>
      </w:pPr>
      <w:r w:rsidRPr="000706AE">
        <w:rPr>
          <w:b/>
        </w:rPr>
        <w:t>Background:</w:t>
      </w:r>
    </w:p>
    <w:p w14:paraId="7779B4D0" w14:textId="0E7A7547" w:rsidR="0081637E" w:rsidRDefault="0081637E" w:rsidP="00B75DB1">
      <w:pPr>
        <w:spacing w:line="480" w:lineRule="auto"/>
        <w:jc w:val="both"/>
      </w:pPr>
      <w:r>
        <w:t>Untreated metastatic uveal melanoma</w:t>
      </w:r>
      <w:r w:rsidR="00175414">
        <w:t xml:space="preserve"> </w:t>
      </w:r>
      <w:r>
        <w:t>(“UM”) carries a grave prognosis. Unlike cutaneous melanoma</w:t>
      </w:r>
      <w:r w:rsidR="007B3181">
        <w:t xml:space="preserve"> </w:t>
      </w:r>
      <w:r>
        <w:t xml:space="preserve">(“CM”) there are no established treatments known to significantly </w:t>
      </w:r>
      <w:r w:rsidR="006F16D5">
        <w:t>improve outcomes</w:t>
      </w:r>
      <w:r>
        <w:t xml:space="preserve"> for a meaningful proportion of patients. Inhibition of the PD1-PDL1 axis has shown promise in the management of </w:t>
      </w:r>
      <w:r w:rsidR="006F16D5">
        <w:t>cutaneous melanoma and we here</w:t>
      </w:r>
      <w:r>
        <w:t xml:space="preserve"> report </w:t>
      </w:r>
      <w:r w:rsidR="003B09ED">
        <w:t xml:space="preserve">a two centre </w:t>
      </w:r>
      <w:r>
        <w:t xml:space="preserve">experience of UM patients receiving pembrolizumab. </w:t>
      </w:r>
    </w:p>
    <w:p w14:paraId="131A81AE" w14:textId="77777777" w:rsidR="0081637E" w:rsidRPr="000706AE" w:rsidRDefault="0081637E" w:rsidP="00B75DB1">
      <w:pPr>
        <w:spacing w:line="480" w:lineRule="auto"/>
        <w:jc w:val="both"/>
        <w:rPr>
          <w:b/>
        </w:rPr>
      </w:pPr>
      <w:r w:rsidRPr="000706AE">
        <w:rPr>
          <w:b/>
        </w:rPr>
        <w:t>Methods:</w:t>
      </w:r>
    </w:p>
    <w:p w14:paraId="7AEDBC43" w14:textId="7C8F4EE3" w:rsidR="0081637E" w:rsidRDefault="0081637E" w:rsidP="00B75DB1">
      <w:pPr>
        <w:spacing w:line="480" w:lineRule="auto"/>
        <w:jc w:val="both"/>
      </w:pPr>
      <w:r>
        <w:t xml:space="preserve">To assess the efficacy and safety of pembrolizumab we retrospectively analysed outcome data of </w:t>
      </w:r>
      <w:r w:rsidR="00804C6A">
        <w:t xml:space="preserve">25 </w:t>
      </w:r>
      <w:r w:rsidR="006F16D5">
        <w:t xml:space="preserve">consecutive UM </w:t>
      </w:r>
      <w:r>
        <w:t xml:space="preserve">patients participating in the </w:t>
      </w:r>
      <w:r w:rsidR="006F16D5">
        <w:t xml:space="preserve">MK3475 </w:t>
      </w:r>
      <w:r>
        <w:t xml:space="preserve">expanded access programme </w:t>
      </w:r>
      <w:r w:rsidR="006F16D5">
        <w:t>who received</w:t>
      </w:r>
      <w:r>
        <w:t xml:space="preserve"> pembrolizumab</w:t>
      </w:r>
      <w:r w:rsidR="006F16D5">
        <w:t xml:space="preserve"> at</w:t>
      </w:r>
      <w:r>
        <w:t xml:space="preserve"> 2mg/kg 3 weekly. Tumour assessment was evaluated using RECIST 1.1 </w:t>
      </w:r>
      <w:r w:rsidR="00404F19">
        <w:t xml:space="preserve">and immune-related Response </w:t>
      </w:r>
      <w:r w:rsidR="00F272F6">
        <w:t>Criteria (</w:t>
      </w:r>
      <w:r w:rsidR="00404F19">
        <w:t xml:space="preserve">“irRC”) </w:t>
      </w:r>
      <w:r>
        <w:t>by CT scanning</w:t>
      </w:r>
      <w:r w:rsidR="003B09ED">
        <w:t>.</w:t>
      </w:r>
      <w:r>
        <w:t xml:space="preserve"> </w:t>
      </w:r>
      <w:r w:rsidR="003B09ED">
        <w:t>T</w:t>
      </w:r>
      <w:r>
        <w:t>oxicity was recorded utilising</w:t>
      </w:r>
      <w:r w:rsidRPr="003B4254">
        <w:t xml:space="preserve"> Common Terminology Criteria for Adverse </w:t>
      </w:r>
      <w:r w:rsidR="000519D0" w:rsidRPr="003B4254">
        <w:t>Events</w:t>
      </w:r>
      <w:r w:rsidR="000519D0">
        <w:t xml:space="preserve"> (</w:t>
      </w:r>
      <w:r>
        <w:t>“CTCAE”) v4.03.</w:t>
      </w:r>
    </w:p>
    <w:p w14:paraId="0D5C3E32" w14:textId="77777777" w:rsidR="0081637E" w:rsidRPr="000706AE" w:rsidRDefault="0081637E" w:rsidP="00B75DB1">
      <w:pPr>
        <w:spacing w:line="480" w:lineRule="auto"/>
        <w:jc w:val="both"/>
        <w:rPr>
          <w:b/>
        </w:rPr>
      </w:pPr>
      <w:r w:rsidRPr="000706AE">
        <w:rPr>
          <w:b/>
        </w:rPr>
        <w:t>Results:</w:t>
      </w:r>
    </w:p>
    <w:p w14:paraId="26CAAE5A" w14:textId="057AAD46" w:rsidR="0081637E" w:rsidRPr="003B4254" w:rsidRDefault="00804C6A" w:rsidP="00B75DB1">
      <w:pPr>
        <w:spacing w:line="480" w:lineRule="auto"/>
        <w:jc w:val="both"/>
      </w:pPr>
      <w:r>
        <w:t>25</w:t>
      </w:r>
      <w:r w:rsidRPr="003B4254">
        <w:t xml:space="preserve"> </w:t>
      </w:r>
      <w:r w:rsidR="0081637E" w:rsidRPr="003B4254">
        <w:t xml:space="preserve">patients were identified receiving a median of </w:t>
      </w:r>
      <w:r w:rsidR="00347CE9">
        <w:t>6</w:t>
      </w:r>
      <w:r w:rsidR="00347CE9" w:rsidRPr="003B4254">
        <w:t xml:space="preserve"> </w:t>
      </w:r>
      <w:r w:rsidR="0081637E" w:rsidRPr="003B4254">
        <w:t>cycles of treatment.</w:t>
      </w:r>
      <w:r w:rsidR="007B3181">
        <w:t xml:space="preserve"> </w:t>
      </w:r>
      <w:r w:rsidR="00347CE9">
        <w:t>Two</w:t>
      </w:r>
      <w:r w:rsidR="00347CE9" w:rsidRPr="003B4254">
        <w:t xml:space="preserve"> </w:t>
      </w:r>
      <w:r w:rsidR="0081637E" w:rsidRPr="003B4254">
        <w:t>patient</w:t>
      </w:r>
      <w:r w:rsidR="00347CE9">
        <w:t>s</w:t>
      </w:r>
      <w:r w:rsidR="0081637E" w:rsidRPr="003B4254">
        <w:t xml:space="preserve"> </w:t>
      </w:r>
      <w:r w:rsidR="00F26A17">
        <w:t>achieved</w:t>
      </w:r>
      <w:r w:rsidR="00F26A17" w:rsidRPr="003B4254">
        <w:t xml:space="preserve"> </w:t>
      </w:r>
      <w:r w:rsidR="0081637E" w:rsidRPr="003B4254">
        <w:t xml:space="preserve">a partial response and </w:t>
      </w:r>
      <w:r w:rsidR="00347CE9">
        <w:t>6</w:t>
      </w:r>
      <w:r w:rsidR="00347CE9" w:rsidRPr="003B4254">
        <w:t xml:space="preserve"> </w:t>
      </w:r>
      <w:r w:rsidR="0081637E" w:rsidRPr="003B4254">
        <w:t>patients stable disease</w:t>
      </w:r>
      <w:r w:rsidR="00F26A17">
        <w:t>.</w:t>
      </w:r>
      <w:r w:rsidR="0081637E" w:rsidRPr="003B4254">
        <w:t xml:space="preserve"> After a median follow-up of </w:t>
      </w:r>
      <w:r w:rsidR="00347CE9">
        <w:t>225</w:t>
      </w:r>
      <w:r w:rsidR="00347CE9" w:rsidRPr="003B4254">
        <w:t xml:space="preserve"> </w:t>
      </w:r>
      <w:r w:rsidR="0081637E" w:rsidRPr="003B4254">
        <w:t xml:space="preserve">days median progression free </w:t>
      </w:r>
      <w:r w:rsidR="00347CE9">
        <w:t xml:space="preserve">survival was 91 days </w:t>
      </w:r>
      <w:r w:rsidR="0081637E" w:rsidRPr="003B4254">
        <w:t xml:space="preserve">and overall survival was not reached. There was a significant trend for improved outcomes in patients with extrahepatic disease progression as opposed to liver only </w:t>
      </w:r>
      <w:r w:rsidR="006F16D5">
        <w:t xml:space="preserve">progression </w:t>
      </w:r>
      <w:r w:rsidR="0081637E" w:rsidRPr="003B4254">
        <w:t xml:space="preserve">at the outset. </w:t>
      </w:r>
      <w:r w:rsidR="00FD2494">
        <w:t>5</w:t>
      </w:r>
      <w:r w:rsidR="00FD2494" w:rsidRPr="003B4254">
        <w:t xml:space="preserve"> </w:t>
      </w:r>
      <w:r w:rsidR="0081637E" w:rsidRPr="003B4254">
        <w:t>pati</w:t>
      </w:r>
      <w:r w:rsidR="006573A3">
        <w:t>ents experienced grade 3 or 4 adverse event</w:t>
      </w:r>
      <w:r w:rsidR="0081637E" w:rsidRPr="003B4254">
        <w:t>s</w:t>
      </w:r>
      <w:r w:rsidR="007B3181">
        <w:t xml:space="preserve">; </w:t>
      </w:r>
      <w:r w:rsidR="0081637E" w:rsidRPr="003B4254">
        <w:t>there were no treatment related deaths.</w:t>
      </w:r>
    </w:p>
    <w:p w14:paraId="488F7049" w14:textId="77777777" w:rsidR="0081637E" w:rsidRPr="000706AE" w:rsidRDefault="0081637E" w:rsidP="00B75DB1">
      <w:pPr>
        <w:spacing w:line="480" w:lineRule="auto"/>
        <w:jc w:val="both"/>
        <w:rPr>
          <w:b/>
        </w:rPr>
      </w:pPr>
      <w:r w:rsidRPr="000706AE">
        <w:rPr>
          <w:b/>
        </w:rPr>
        <w:t>Conclusions:</w:t>
      </w:r>
    </w:p>
    <w:p w14:paraId="6AD018A8" w14:textId="6964BC65" w:rsidR="00A72480" w:rsidRDefault="0081637E" w:rsidP="00B75DB1">
      <w:pPr>
        <w:spacing w:line="480" w:lineRule="auto"/>
        <w:jc w:val="both"/>
      </w:pPr>
      <w:r>
        <w:lastRenderedPageBreak/>
        <w:t xml:space="preserve">Pembrolizumab 2mg/kg q3w is a safe option in UM patients. Disease control rates, particularly in the subgroup of patients without progressive liver disease at the outset are promising; these results merit further investigation </w:t>
      </w:r>
      <w:r w:rsidR="007B3181">
        <w:t xml:space="preserve">in </w:t>
      </w:r>
      <w:r>
        <w:t>clinical trials possibly incorporating liver targeted treatment modalities.</w:t>
      </w:r>
      <w:r w:rsidR="00A72480">
        <w:br w:type="page"/>
      </w:r>
    </w:p>
    <w:p w14:paraId="186E755F" w14:textId="77777777" w:rsidR="00A72480" w:rsidRPr="00562EB5" w:rsidRDefault="00A72480" w:rsidP="00B75DB1">
      <w:pPr>
        <w:spacing w:line="480" w:lineRule="auto"/>
        <w:jc w:val="both"/>
        <w:rPr>
          <w:b/>
          <w:sz w:val="28"/>
          <w:szCs w:val="28"/>
        </w:rPr>
      </w:pPr>
      <w:r w:rsidRPr="00562EB5">
        <w:rPr>
          <w:b/>
          <w:sz w:val="28"/>
          <w:szCs w:val="28"/>
        </w:rPr>
        <w:lastRenderedPageBreak/>
        <w:t>Introduction</w:t>
      </w:r>
    </w:p>
    <w:p w14:paraId="3D3669B9" w14:textId="76E025CB" w:rsidR="00A72480" w:rsidRPr="00A72480" w:rsidRDefault="00887F43" w:rsidP="00B75DB1">
      <w:pPr>
        <w:spacing w:line="480" w:lineRule="auto"/>
        <w:jc w:val="both"/>
      </w:pPr>
      <w:r>
        <w:t xml:space="preserve">Uveal </w:t>
      </w:r>
      <w:r w:rsidR="00A72480" w:rsidRPr="00A72480">
        <w:t>Melanoma</w:t>
      </w:r>
      <w:r w:rsidRPr="00A72480">
        <w:t>(</w:t>
      </w:r>
      <w:r>
        <w:t>“</w:t>
      </w:r>
      <w:r w:rsidRPr="00A72480">
        <w:t>UM</w:t>
      </w:r>
      <w:r>
        <w:t>”</w:t>
      </w:r>
      <w:r w:rsidRPr="00A72480">
        <w:t>)</w:t>
      </w:r>
      <w:r w:rsidR="00A72480" w:rsidRPr="00A72480">
        <w:t xml:space="preserve"> is the most common malignancy of the eye;</w:t>
      </w:r>
      <w:r>
        <w:t xml:space="preserve"> it </w:t>
      </w:r>
      <w:r w:rsidR="00A72480" w:rsidRPr="00A72480">
        <w:t xml:space="preserve">is significantly rarer </w:t>
      </w:r>
      <w:r>
        <w:t>and</w:t>
      </w:r>
      <w:r w:rsidR="00A72480" w:rsidRPr="00A72480">
        <w:t xml:space="preserve"> carr</w:t>
      </w:r>
      <w:r>
        <w:t>ies</w:t>
      </w:r>
      <w:r w:rsidR="00A72480" w:rsidRPr="00A72480">
        <w:t xml:space="preserve"> a genetic profile that is markedly discordant from </w:t>
      </w:r>
      <w:r w:rsidRPr="00A72480">
        <w:t>cutaneous melanoma(</w:t>
      </w:r>
      <w:r>
        <w:t>“</w:t>
      </w:r>
      <w:r w:rsidRPr="00A72480">
        <w:t>CM</w:t>
      </w:r>
      <w:r>
        <w:t>”</w:t>
      </w:r>
      <w:r w:rsidRPr="00A72480">
        <w:t>)</w:t>
      </w:r>
      <w:r w:rsidR="009D57F3">
        <w:t>.</w:t>
      </w:r>
      <w:r w:rsidR="002C67CA">
        <w:t xml:space="preserve"> </w:t>
      </w:r>
      <w:r w:rsidR="002F33CD">
        <w:fldChar w:fldCharType="begin"/>
      </w:r>
      <w:r w:rsidR="009D57F3">
        <w:instrText xml:space="preserve"> ADDIN ZOTERO_ITEM CSL_CITATION {"citationID":"101mi7sldp","properties":{"formattedCitation":"{\\rtf \\super 1\\nosupersub{}}","plainCitation":"1"},"citationItems":[{"id":3993,"uris":["http://zotero.org/users/150865/items/NXA6BJJA"],"uri":["http://zotero.org/users/150865/items/NXA6BJJA"],"itemData":{"id":3993,"type":"article-journal","title":"Ocular melanoma and the BAP1 hereditary cancer syndrome: implications for the dermatologist","container-title":"International Journal of Dermatology","page":"657-663","volume":"53","issue":"6","source":"Wiley Online Library","abstract":"Ocular melanoma is a rare subtype of melanoma, which includes uveal melanoma (UM) and conjunctival melanoma. UM is associated with an increased risk of cutaneous melanoma (CM) in addition to mesothelioma, skin lesions such as epithelioid atypical Spitz tumors, and other internal malignancies due to a germline mutation of the BRCA1-associated protein 1 (BAP1) gene. Such familial risks are important for dermatologists to recognize when screening patients with a history of UM for CM and other malignancies. Molecular genetics further help to elucidate the connections between UM and CM by revealing similarities and differences in important mutations among the melanoma subtypes. Both UM and CM have been shown to harbor germline mutation of BAP1. However, somatic mutations in either GNAQ or GNA11 are unique to UM tumors and could be used as potential markers to differentiate UM from metastatic CM and act as direct therapeutic targets. However, CM-associated BRAF and CDKN2A mutations are rare in UM. This review addresses the clinical features, pathogenesis, and current treatment options of UM, focusing on UM and the BAP1 cancer syndrome to raise awareness of ocular melanoma and its greater role in the predisposition to a hereditary cancer syndrome.","DOI":"10.1111/ijd.12386","ISSN":"1365-4632","shortTitle":"Ocular melanoma and the BAP1 hereditary cancer syndrome","journalAbbreviation":"Int J Dermatol","language":"en","author":[{"family":"Martorano","given":"Lisa M."},{"family":"Winkelmann","given":"Richard R."},{"family":"Cebulla","given":"Colleen M."},{"family":"Abdel-Rahman","given":"Mohamed H."},{"family":"Campbell","given":"Shannon M."}],"issued":{"date-parts":[["2014",6,1]]}}}],"schema":"https://github.com/citation-style-language/schema/raw/master/csl-citation.json"} </w:instrText>
      </w:r>
      <w:r w:rsidR="002F33CD">
        <w:fldChar w:fldCharType="separate"/>
      </w:r>
      <w:r w:rsidR="009D57F3" w:rsidRPr="009D57F3">
        <w:rPr>
          <w:rFonts w:ascii="Calibri" w:hAnsi="Calibri" w:cs="Times New Roman"/>
          <w:szCs w:val="24"/>
          <w:vertAlign w:val="superscript"/>
        </w:rPr>
        <w:t>1</w:t>
      </w:r>
      <w:r w:rsidR="002F33CD">
        <w:fldChar w:fldCharType="end"/>
      </w:r>
      <w:r w:rsidR="00E26ECD" w:rsidRPr="00E26ECD">
        <w:t xml:space="preserve"> </w:t>
      </w:r>
      <w:r w:rsidR="00E26ECD" w:rsidRPr="00A72480">
        <w:t xml:space="preserve">UMs </w:t>
      </w:r>
      <w:r w:rsidR="00E26ECD">
        <w:t xml:space="preserve">typically </w:t>
      </w:r>
      <w:r w:rsidR="00E26ECD" w:rsidRPr="00A72480">
        <w:t>demonstrate a relatively lower degree of aneuploidy and genomic instability compared with other cancer types</w:t>
      </w:r>
      <w:r w:rsidR="00E26ECD">
        <w:t xml:space="preserve"> </w:t>
      </w:r>
      <w:r w:rsidR="00E26ECD">
        <w:fldChar w:fldCharType="begin"/>
      </w:r>
      <w:r w:rsidR="009D57F3">
        <w:instrText xml:space="preserve"> ADDIN ZOTERO_ITEM CSL_CITATION {"citationID":"vpio5vjge","properties":{"formattedCitation":"{\\rtf \\super 2\\uc0\\u8211{}4\\nosupersub{}}","plainCitation":"2–4"},"citationItems":[{"id":3974,"uris":["http://zotero.org/users/150865/items/EWZT4ICN"],"uri":["http://zotero.org/users/150865/items/EWZT4ICN"],"itemData":{"id":3974,"type":"article-journal","title":"Assessment of genomic instability in breast cancer and uveal melanoma by random amplified polymorphic DNA analysis","container-title":"International Journal of Cancer","page":"193-200","volume":"99","issue":"2","source":"Wiley Online Library","abstract":"Some types of cancer have been associated with abnormal DNA fingerprinting. We used random amplified polymorphic DNA (RAPD) to generate fingerprints that detect genomic alterations in human breast cancer. Primers were designed by choosing sequences involved in the development of DNA mutations. Seventeen primers in 44 different combinations were used to screen a total of 6 breast cancer DNA/normal DNA pairs and 6 uveal melanoma DNA/normal DNA pairs. Forty-five percent of these combinations reliably detected quantitative differences in the breast cancer pairs, while only 18% of these combinations detected differences in the uveal melanoma pairs. Fourteen (32%) and 12 (27%) primers generated a smear or did not produce any band patterns in the first and second cases, respectively. Taking into account the ability of RAPD to screen the whole genome, our results suggest that the genomic damage in breast cancer is significantly higher than in uveal melanoma. Our study confirms other reports that the molecular karyotypes produced with random priming, called amplotypes, are very useful for assessing genomic damage in cancer. © 2002 Wiley-Liss, Inc.","DOI":"10.1002/ijc.10297","ISSN":"1097-0215","journalAbbreviation":"Int. J. Cancer","language":"en","author":[{"family":"Papadopoulos","given":"Sarantos"},{"family":"Benter","given":"Thomas"},{"family":"Anastassiou","given":"Gerasimos"},{"family":"Pape","given":"Michael"},{"family":"Gerhard","given":"Schaller"},{"family":"Bornfeld","given":"Norbert"},{"family":"Ludwig","given":"Wolf-Dieter"},{"family":"Dörken","given":"Bernd"}],"issued":{"date-parts":[["2002",5,10]]}}},{"id":4492,"uris":["http://zotero.org/users/150865/items/XNFC9IZ5"],"uri":["http://zotero.org/users/150865/items/XNFC9IZ5"],"itemData":{"id":4492,"type":"article-journal","title":"Signatures of mutational processes in human cancer","container-title":"Nature","page":"415-421","volume":"500","issue":"7463","source":"www.nature.com","abstract":"All cancers are caused by somatic mutations; however, understanding of the biological processes generating these mutations is limited. The catalogue of somatic mutations from a cancer genome bears the signatures of the mutational processes that have been operative. Here we analysed 4,938,362 mutations from 7,042 cancers and extracted more than 20 distinct mutational signatures. Some are present in many cancer types, notably a signature attributed to the APOBEC family of cytidine deaminases, whereas others are confined to a single cancer class. Certain signatures are associated with age of the patient at cancer diagnosis, known mutagenic exposures or defects in DNA maintenance, but many are of cryptic origin. In addition to these genome-wide mutational signatures, hypermutation localized to small genomic regions, ‘kataegis’, is found in many cancer types. The results reveal the diversity of mutational processes underlying the development of cancer, with potential implications for understanding of cancer aetiology, prevention and therapy.","DOI":"10.1038/nature12477","ISSN":"0028-0836","journalAbbreviation":"Nature","language":"en","author":[{"family":"Alexandrov","given":"Ludmil B."},{"family":"Nik-Zainal","given":"Serena"},{"family":"Wedge","given":"David C."},{"family":"Aparicio","given":"Samuel A. J. R."},{"family":"Behjati","given":"Sam"},{"family":"Biankin","given":"Andrew V."},{"family":"Bignell","given":"Graham R."},{"family":"Bolli","given":"Niccolò"},{"family":"Borg","given":"Ake"},{"family":"Børresen-Dale","given":"Anne-Lise"},{"family":"Boyault","given":"Sandrine"},{"family":"Burkhardt","given":"Birgit"},{"family":"Butler","given":"Adam P."},{"family":"Caldas","given":"Carlos"},{"family":"Davies","given":"Helen R."},{"family":"Desmedt","given":"Christine"},{"family":"Eils","given":"Roland"},{"family":"Eyfjörd","given":"Jórunn Erla"},{"family":"Foekens","given":"John A."},{"family":"Greaves","given":"Mel"},{"family":"Hosoda","given":"Fumie"},{"family":"Hutter","given":"Barbara"},{"family":"Ilicic","given":"Tomislav"},{"family":"Imbeaud","given":"Sandrine"},{"family":"Imielinsk","given":"Marcin"},{"family":"Jäger","given":"Natalie"},{"family":"Jones","given":"David T. W."},{"family":"Jones","given":"David"},{"family":"Knappskog","given":"Stian"},{"family":"Kool","given":"Marcel"},{"family":"Lakhani","given":"Sunil R."},{"family":"López-Otín","given":"Carlos"},{"family":"Martin","given":"Sancha"},{"family":"Munshi","given":"Nikhil C."},{"family":"Nakamura","given":"Hiromi"},{"family":"Northcott","given":"Paul A."},{"family":"Pajic","given":"Marina"},{"family":"Papaemmanuil","given":"Elli"},{"family":"Paradiso","given":"Angelo"},{"family":"Pearson","given":"John V."},{"family":"Puente","given":"Xose S."},{"family":"Raine","given":"Keiran"},{"family":"Ramakrishna","given":"Manasa"},{"family":"Richardson","given":"Andrea L."},{"family":"Richter","given":"Julia"},{"family":"Rosenstiel","given":"Philip"},{"family":"Schlesner","given":"Matthias"},{"family":"Schumacher","given":"Ton N."},{"family":"Span","given":"Paul N."},{"family":"Teague","given":"Jon W."},{"family":"Totoki","given":"Yasushi"},{"family":"Tutt","given":"Andrew N. J."},{"family":"Valdés-Mas","given":"Rafael"},{"family":"Buuren","given":"Marit M.","non-dropping-particle":"van"},{"family":"Veer","given":"Laura","dropping-particle":"van ’t"},{"family":"Vincent-Salomon","given":"Anne"},{"family":"Waddell","given":"Nicola"},{"family":"Yates","given":"Lucy R."},{"literal":"Australian Pancreatic Cancer Genome Initiative"},{"literal":"ICGC Breast Cancer Consortium"},{"literal":"ICGC MMML-Seq Consortium"},{"literal":"Icgc PedBrain"},{"family":"Zucman-Rossi","given":"Jessica"},{"family":"Andrew Futreal","given":"P."},{"family":"McDermott","given":"Ultan"},{"family":"Lichter","given":"Peter"},{"family":"Meyerson","given":"Matthew"},{"family":"Grimmond","given":"Sean M."},{"family":"Siebert","given":"Reiner"},{"family":"Campo","given":"Elías"},{"family":"Shibata","given":"Tatsuhiro"},{"family":"Pfister","given":"Stefan M."},{"family":"Campbell","given":"Peter J."},{"family":"Stratton","given":"Michael R."}],"issued":{"date-parts":[["2013",8,22]]}}},{"id":3951,"uris":["http://zotero.org/users/150865/items/25R3RWID"],"uri":["http://zotero.org/users/150865/items/25R3RWID"],"itemData":{"id":3951,"type":"article-journal","title":"The genetics of uveal melanoma: an emerging framework for targeted therapy","container-title":"Pigment Cell &amp; Melanoma Research","page":"171-181","volume":"25","issue":"2","source":"Wiley Online Library","abstract":"Uveal melanoma is the second most common form of melanoma and the most common primary intraocular malignancy. Until recently, very little was known about the genetics of this aggressive cancer. Mutations in oncogenes and tumor suppressors that are common in other cancers are conspicuously absent in uveal melanoma. In recent years, however, uveal melanoma has begun to yield its secrets, and a fascinating picture is emerging of how it develops and progresses. Mutations in the Gq alpha subunits, encoded by GNAQ and GNA11, appear to be early or perhaps initiating events that require further mutations for malignant transformation. On the other hand, mutations in the BRCA1-associated protein-1 (BAP1) appear to occur later and demarcate a molecular brink beyond which metastasis becomes highly likely. BAP1 mutations can also occur in the germline, leading to a distinctive cancer predisposition syndrome. These mutations appear to be key events that provide the potential for targeted therapy. This article will review the genetic findings in uveal melanoma over the past two decades and suggest important areas for future work.","DOI":"10.1111/j.1755-148X.2012.00979.x","ISSN":"1755-148X","shortTitle":"The genetics of uveal melanoma","language":"en","author":[{"family":"Harbour","given":"J. William"}],"issued":{"date-parts":[["2012",3,1]]}}}],"schema":"https://github.com/citation-style-language/schema/raw/master/csl-citation.json"} </w:instrText>
      </w:r>
      <w:r w:rsidR="00E26ECD">
        <w:fldChar w:fldCharType="separate"/>
      </w:r>
      <w:r w:rsidR="009D57F3" w:rsidRPr="009D57F3">
        <w:rPr>
          <w:rFonts w:ascii="Calibri" w:hAnsi="Calibri" w:cs="Times New Roman"/>
          <w:szCs w:val="24"/>
          <w:vertAlign w:val="superscript"/>
        </w:rPr>
        <w:t>2–4</w:t>
      </w:r>
      <w:r w:rsidR="00E26ECD">
        <w:fldChar w:fldCharType="end"/>
      </w:r>
      <w:r w:rsidR="00E26ECD">
        <w:t xml:space="preserve"> </w:t>
      </w:r>
      <w:r w:rsidR="002F33CD">
        <w:t xml:space="preserve"> </w:t>
      </w:r>
      <w:r w:rsidR="00E26ECD">
        <w:t>and a</w:t>
      </w:r>
      <w:r w:rsidR="00E26ECD" w:rsidRPr="00A72480">
        <w:t xml:space="preserve"> </w:t>
      </w:r>
      <w:r w:rsidR="00A72480" w:rsidRPr="00A72480">
        <w:t>mutational load significantly lower than CM</w:t>
      </w:r>
      <w:r w:rsidR="009D57F3">
        <w:t>.</w:t>
      </w:r>
      <w:r w:rsidR="00901161">
        <w:t xml:space="preserve"> </w:t>
      </w:r>
      <w:r w:rsidR="00BE07ED">
        <w:fldChar w:fldCharType="begin"/>
      </w:r>
      <w:r w:rsidR="009D57F3">
        <w:instrText xml:space="preserve"> ADDIN ZOTERO_ITEM CSL_CITATION {"citationID":"8qzL41X6","properties":{"formattedCitation":"{\\rtf \\super 5,6\\nosupersub{}}","plainCitation":"5,6"},"citationItems":[{"id":4514,"uris":["http://zotero.org/users/150865/items/9B465PMC"],"uri":["http://zotero.org/users/150865/items/9B465PMC"],"itemData":{"id":4514,"type":"article-journal","title":"COSMIC: exploring the world's knowledge of somatic mutations in human cancer","container-title":"Nucleic Acids Research","page":"D805-D811","volume":"43","issue":"D1","source":"nar.oxfordjournals.org","abstract":"COSMIC, the Catalogue Of Somatic Mutations In Cancer (http://cancer.sanger.ac.uk) is the world's largest and most comprehensive resource for exploring the impact of somatic mutations in human cancer. Our latest release (v70; Aug 2014) describes 2 002 811 coding point mutations in over one million tumor samples and across most human genes. To emphasize depth of knowledge on known cancer genes, mutation information is curated manually from the scientific literature, allowing very precise definitions of disease types and patient details. Combination of almost 20 000 published studies gives substantial resolution of how mutations and phenotypes relate in human cancer, providing insights into the stratification of mutations and biomarkers across cancer patient populations. Conversely, our curation of cancer genomes (over 12 000) emphasizes knowledge breadth, driving discovery of unrecognized cancer-driving hotspots and molecular targets. Our high-resolution curation approach is globally unique, giving substantial insight into molecular biomarkers in human oncology. In addition, COSMIC also details more than six million noncoding mutations, 10 534 gene fusions, 61 299 genome rearrangements, 695 504 abnormal copy number segments and 60 119 787 abnormal expression variants. All these types of somatic mutation are annotated to both the human genome and each affected coding gene, then correlated across disease and mutation types.","DOI":"10.1093/nar/gku1075","ISSN":"0305-1048, 1362-4962","note":"PMID: 25355519","shortTitle":"COSMIC","journalAbbreviation":"Nucl. Acids Res.","language":"en","author":[{"family":"Forbes","given":"Simon A."},{"family":"Beare","given":"David"},{"family":"Gunasekaran","given":"Prasad"},{"family":"Leung","given":"Kenric"},{"family":"Bindal","given":"Nidhi"},{"family":"Boutselakis","given":"Harry"},{"family":"Ding","given":"Minjie"},{"family":"Bamford","given":"Sally"},{"family":"Cole","given":"Charlotte"},{"family":"Ward","given":"Sari"},{"family":"Kok","given":"Chai Yin"},{"family":"Jia","given":"Mingming"},{"family":"De","given":"Tisham"},{"family":"Teague","given":"Jon W."},{"family":"Stratton","given":"Michael R."},{"family":"McDermott","given":"Ultan"},{"family":"Campbell","given":"Peter J."}],"issued":{"date-parts":[["2015",1,28]]},"PMID":"25355519"}},{"id":4501,"uris":["http://zotero.org/users/150865/items/RE9RZ2R4"],"uri":["http://zotero.org/users/150865/items/RE9RZ2R4"],"itemData":{"id":4501,"type":"article-journal","title":"Uveal melanoma hepatic metastases mutation spectrum analysis using targeted next-generation sequencing of 400 cancer genes","container-title":"British Journal of Ophthalmology","page":"437-439","volume":"99","issue":"4","source":"bjo.bmj.com","abstract":"Aims Uveal melanoma (UM) is the most common malignant tumour of the eye. Diagnosis often occurs late in the course of disease, and prognosis is generally poor. Recently, recurrent somatic mutations were described, unravelling additional specific altered pathways in UM. Targeted next-generation sequencing (NGS) can now be applied to an accurate and fast identification of somatic mutations in cancer. The aim of the present study was to characterise the mutation pattern of five UM hepatic metastases with well-defined clinical and pathological features.\nMethods We analysed the UM mutation spectrum using targeted NGS on 409 cancer genes.\nResults Four previous reported genes were found to be recurrently mutated. All tumours presented mutually exclusive GNA11 or GNAQ missense mutations. BAP1 loss-of-function mutations were found in three UMs. SF3B1 missense mutations were found in the two UMs with no BAP1 mutations. We then searched for additional mutation targets. We identified the Arg505Cys mutation in the tumour suppressor FBXW7. The same mutation was previously described in different cancer types, and FBXW7 was recently reported to be mutated in UM exomes.\nConclusions Further studies are required to confirm FBXW7 implication in UM tumorigenesis. Elucidating the molecular mechanisms underlying UM tumorigenesis holds the promise for novel and effective targeted UM therapies.","DOI":"10.1136/bjophthalmol-2014-305371","ISSN":", 1468-2079","note":"PMID: 25361747","journalAbbreviation":"Br J Ophthalmol","language":"en","author":[{"family":"Luscan","given":"A."},{"family":"Just","given":"P. A."},{"family":"Briand","given":"A."},{"family":"Roziers","given":"C. Burin","dropping-particle":"des"},{"family":"Goussard","given":"P."},{"family":"Nitschké","given":"P."},{"family":"Vidaud","given":"M."},{"family":"Avril","given":"M. F."},{"family":"Terris","given":"B."},{"family":"Pasmant","given":"E."}],"issued":{"date-parts":[["2015",1,4]]},"PMID":"25361747"}}],"schema":"https://github.com/citation-style-language/schema/raw/master/csl-citation.json"} </w:instrText>
      </w:r>
      <w:r w:rsidR="00BE07ED">
        <w:fldChar w:fldCharType="separate"/>
      </w:r>
      <w:r w:rsidR="009D57F3" w:rsidRPr="009D57F3">
        <w:rPr>
          <w:rFonts w:ascii="Calibri" w:hAnsi="Calibri" w:cs="Times New Roman"/>
          <w:szCs w:val="24"/>
          <w:vertAlign w:val="superscript"/>
        </w:rPr>
        <w:t>5,6</w:t>
      </w:r>
      <w:r w:rsidR="00BE07ED">
        <w:fldChar w:fldCharType="end"/>
      </w:r>
      <w:r w:rsidR="00A72480" w:rsidRPr="00A72480">
        <w:t xml:space="preserve"> </w:t>
      </w:r>
    </w:p>
    <w:p w14:paraId="6B82BBB8" w14:textId="7BB4EC60" w:rsidR="00A72480" w:rsidRPr="00A72480" w:rsidRDefault="00A72480" w:rsidP="00B75DB1">
      <w:pPr>
        <w:spacing w:line="480" w:lineRule="auto"/>
        <w:jc w:val="both"/>
        <w:rPr>
          <w:rFonts w:eastAsia="Times New Roman" w:cs="Times New Roman"/>
          <w:b/>
          <w:i/>
          <w:iCs/>
        </w:rPr>
      </w:pPr>
      <w:r w:rsidRPr="00A72480">
        <w:t>Even in the pre-immunotherapy and targeted therapy era</w:t>
      </w:r>
      <w:r w:rsidR="00B034B7">
        <w:t>,</w:t>
      </w:r>
      <w:r w:rsidRPr="00A72480">
        <w:t xml:space="preserve"> outcomes of metastatic UM were worse t</w:t>
      </w:r>
      <w:r w:rsidR="00625A04">
        <w:t>han metastatic CM</w:t>
      </w:r>
      <w:r w:rsidRPr="00A72480">
        <w:t xml:space="preserve"> with median survival in unselected series as low as 4 months</w:t>
      </w:r>
      <w:r w:rsidR="009D57F3">
        <w:t>.</w:t>
      </w:r>
      <w:r w:rsidR="002C67CA">
        <w:t xml:space="preserve"> </w:t>
      </w:r>
      <w:r w:rsidR="00625A04">
        <w:fldChar w:fldCharType="begin"/>
      </w:r>
      <w:r w:rsidR="009D57F3">
        <w:instrText xml:space="preserve"> ADDIN ZOTERO_ITEM CSL_CITATION {"citationID":"30a2sbsr2","properties":{"formattedCitation":"{\\rtf \\super 7\\nosupersub{}}","plainCitation":"7"},"citationItems":[{"id":4523,"uris":["http://zotero.org/users/150865/items/9RUM7X93"],"uri":["http://zotero.org/users/150865/items/9RUM7X93"],"itemData":{"id":4523,"type":"article-journal","title":"Development of metastatic disease after enrollment in the COMS trials for treatment of choroidal melanoma: Collaborative Ocular Melanoma Study Group Report No. 26","container-title":"Archives of Ophthalmology (Chicago, Ill.: 1960)","page":"1639-1643","volume":"123","issue":"12","source":"PubMed","abstract":"OBJECTIVE: To describe the time between treatment for choroidal melanoma and first diagnosis of metastatic disease, sites of metastasis, treatments for metastasis, and time between diagnosis of metastasis and death.\nDESIGN: Prospective, longitudinal follow-up of patients diagnosed with choroidal melanoma who were enrolled in 2 randomized trials conducted by the Collaborative Ocular Melanoma Study Group.\nMETHODS: Systemic and laboratory evaluations were performed during follow-up according to a standard protocol for 2320 patients enrolled in the Collaborative Ocular Melanoma Study trials without evidence of melanoma metastasis or other primary cancer at baseline.\nRESULTS: Seven hundred thirty-nine patients were diagnosed with at least 1 site of metastasis during follow-up after treatment for choroidal melanoma. Five- and 10-year cumulative metastasis rates were 25% (95% confidence interval, 23%-27%) and 34% (95% confidence interval, 32%-37%), respectively. Liver was the most common site (89%). The death rate following the report of melanoma metastasis was 80% at 1 year (95% confidence interval, 77%-83%) and 92% at 2 years (95% confidence interval, 89%-94%). Overall survival after metastasis did not vary by baseline size of primary tumor nor treatment for metastasis (when known). Long-term survival after diagnosis of metastasis was uncommon; only 8 patients survived 5 or more years.\nCONCLUSION: Metastasis rate increased significantly with increasing primary tumor dimensions at time of patient enrollment. Prognosis after metastatic disease remains poor. Effective methods are needed to prevent, diagnose, and treat metastasis from choroidal melanoma.","DOI":"10.1001/archopht.123.12.1639","ISSN":"0003-9950","note":"PMID: 16344433","shortTitle":"Development of metastatic disease after enrollment in the COMS trials for treatment of choroidal melanoma","journalAbbreviation":"Arch. Ophthalmol.","language":"eng","author":[{"family":"Diener-West","given":"Marie"},{"family":"Reynolds","given":"Sandra M."},{"family":"Agugliaro","given":"Donna J."},{"family":"Caldwell","given":"Robert"},{"family":"Cumming","given":"Kristi"},{"family":"Earle","given":"John D."},{"family":"Hawkins","given":"Barbara S."},{"family":"Hayman","given":"James A."},{"family":"Jaiyesimi","given":"Ishmael"},{"family":"Jampol","given":"Lee M."},{"family":"Kirkwood","given":"John M."},{"family":"Koh","given":"Wui-Jin"},{"family":"Robertson","given":"Dennis M."},{"family":"Shaw","given":"John M."},{"family":"Straatsma","given":"Bradley R."},{"family":"Thoma","given":"Jonni"},{"literal":"Collaborative Ocular Melanoma Study Group"}],"issued":{"date-parts":[["2005",12]]},"PMID":"16344433"}}],"schema":"https://github.com/citation-style-language/schema/raw/master/csl-citation.json"} </w:instrText>
      </w:r>
      <w:r w:rsidR="00625A04">
        <w:fldChar w:fldCharType="separate"/>
      </w:r>
      <w:r w:rsidR="009D57F3" w:rsidRPr="009D57F3">
        <w:rPr>
          <w:rFonts w:ascii="Calibri" w:hAnsi="Calibri" w:cs="Times New Roman"/>
          <w:szCs w:val="24"/>
          <w:vertAlign w:val="superscript"/>
        </w:rPr>
        <w:t>7</w:t>
      </w:r>
      <w:r w:rsidR="00625A04">
        <w:fldChar w:fldCharType="end"/>
      </w:r>
      <w:r w:rsidRPr="00A72480">
        <w:t xml:space="preserve"> This </w:t>
      </w:r>
      <w:r w:rsidR="00106CA8">
        <w:t>possibly</w:t>
      </w:r>
      <w:r w:rsidRPr="00A72480">
        <w:t xml:space="preserve"> relate</w:t>
      </w:r>
      <w:r w:rsidR="00106CA8">
        <w:t>s</w:t>
      </w:r>
      <w:r w:rsidRPr="00A72480">
        <w:t xml:space="preserve"> to the predilection of UM </w:t>
      </w:r>
      <w:r w:rsidR="00106CA8">
        <w:t>for</w:t>
      </w:r>
      <w:r w:rsidRPr="00A72480">
        <w:t xml:space="preserve"> hepatic metastases </w:t>
      </w:r>
      <w:r w:rsidR="00106CA8">
        <w:t>-</w:t>
      </w:r>
      <w:r w:rsidR="00106CA8" w:rsidRPr="00A72480">
        <w:t xml:space="preserve"> </w:t>
      </w:r>
      <w:r w:rsidRPr="00A72480">
        <w:t xml:space="preserve">seen in &gt;85% of </w:t>
      </w:r>
      <w:r w:rsidR="00106CA8">
        <w:t>cases</w:t>
      </w:r>
      <w:r w:rsidR="00106CA8" w:rsidRPr="00A72480">
        <w:t xml:space="preserve"> </w:t>
      </w:r>
      <w:r w:rsidR="00106CA8">
        <w:t>with liver</w:t>
      </w:r>
      <w:r w:rsidR="00106CA8" w:rsidRPr="00A72480">
        <w:t xml:space="preserve"> </w:t>
      </w:r>
      <w:r w:rsidRPr="00A72480">
        <w:t>the sole site of metastatic disease in around 50%</w:t>
      </w:r>
      <w:r w:rsidR="002C67CA">
        <w:t xml:space="preserve"> </w:t>
      </w:r>
      <w:r w:rsidR="00625A04">
        <w:fldChar w:fldCharType="begin"/>
      </w:r>
      <w:r w:rsidR="009D57F3">
        <w:instrText xml:space="preserve"> ADDIN ZOTERO_ITEM CSL_CITATION {"citationID":"l45a1dqm0","properties":{"formattedCitation":"{\\rtf \\super 7\\nosupersub{}}","plainCitation":"7"},"citationItems":[{"id":4523,"uris":["http://zotero.org/users/150865/items/9RUM7X93"],"uri":["http://zotero.org/users/150865/items/9RUM7X93"],"itemData":{"id":4523,"type":"article-journal","title":"Development of metastatic disease after enrollment in the COMS trials for treatment of choroidal melanoma: Collaborative Ocular Melanoma Study Group Report No. 26","container-title":"Archives of Ophthalmology (Chicago, Ill.: 1960)","page":"1639-1643","volume":"123","issue":"12","source":"PubMed","abstract":"OBJECTIVE: To describe the time between treatment for choroidal melanoma and first diagnosis of metastatic disease, sites of metastasis, treatments for metastasis, and time between diagnosis of metastasis and death.\nDESIGN: Prospective, longitudinal follow-up of patients diagnosed with choroidal melanoma who were enrolled in 2 randomized trials conducted by the Collaborative Ocular Melanoma Study Group.\nMETHODS: Systemic and laboratory evaluations were performed during follow-up according to a standard protocol for 2320 patients enrolled in the Collaborative Ocular Melanoma Study trials without evidence of melanoma metastasis or other primary cancer at baseline.\nRESULTS: Seven hundred thirty-nine patients were diagnosed with at least 1 site of metastasis during follow-up after treatment for choroidal melanoma. Five- and 10-year cumulative metastasis rates were 25% (95% confidence interval, 23%-27%) and 34% (95% confidence interval, 32%-37%), respectively. Liver was the most common site (89%). The death rate following the report of melanoma metastasis was 80% at 1 year (95% confidence interval, 77%-83%) and 92% at 2 years (95% confidence interval, 89%-94%). Overall survival after metastasis did not vary by baseline size of primary tumor nor treatment for metastasis (when known). Long-term survival after diagnosis of metastasis was uncommon; only 8 patients survived 5 or more years.\nCONCLUSION: Metastasis rate increased significantly with increasing primary tumor dimensions at time of patient enrollment. Prognosis after metastatic disease remains poor. Effective methods are needed to prevent, diagnose, and treat metastasis from choroidal melanoma.","DOI":"10.1001/archopht.123.12.1639","ISSN":"0003-9950","note":"PMID: 16344433","shortTitle":"Development of metastatic disease after enrollment in the COMS trials for treatment of choroidal melanoma","journalAbbreviation":"Arch. Ophthalmol.","language":"eng","author":[{"family":"Diener-West","given":"Marie"},{"family":"Reynolds","given":"Sandra M."},{"family":"Agugliaro","given":"Donna J."},{"family":"Caldwell","given":"Robert"},{"family":"Cumming","given":"Kristi"},{"family":"Earle","given":"John D."},{"family":"Hawkins","given":"Barbara S."},{"family":"Hayman","given":"James A."},{"family":"Jaiyesimi","given":"Ishmael"},{"family":"Jampol","given":"Lee M."},{"family":"Kirkwood","given":"John M."},{"family":"Koh","given":"Wui-Jin"},{"family":"Robertson","given":"Dennis M."},{"family":"Shaw","given":"John M."},{"family":"Straatsma","given":"Bradley R."},{"family":"Thoma","given":"Jonni"},{"literal":"Collaborative Ocular Melanoma Study Group"}],"issued":{"date-parts":[["2005",12]]},"PMID":"16344433"}}],"schema":"https://github.com/citation-style-language/schema/raw/master/csl-citation.json"} </w:instrText>
      </w:r>
      <w:r w:rsidR="00625A04">
        <w:fldChar w:fldCharType="separate"/>
      </w:r>
      <w:r w:rsidR="009D57F3" w:rsidRPr="009D57F3">
        <w:rPr>
          <w:rFonts w:ascii="Calibri" w:hAnsi="Calibri" w:cs="Times New Roman"/>
          <w:szCs w:val="24"/>
          <w:vertAlign w:val="superscript"/>
        </w:rPr>
        <w:t>7</w:t>
      </w:r>
      <w:r w:rsidR="00625A04">
        <w:fldChar w:fldCharType="end"/>
      </w:r>
      <w:r w:rsidR="00901161">
        <w:t>,</w:t>
      </w:r>
      <w:r w:rsidR="00625A04">
        <w:t xml:space="preserve"> </w:t>
      </w:r>
      <w:r w:rsidR="002D2350" w:rsidRPr="000503C5">
        <w:t>compared</w:t>
      </w:r>
      <w:r w:rsidR="001F095D" w:rsidRPr="000503C5">
        <w:t xml:space="preserve"> </w:t>
      </w:r>
      <w:r w:rsidRPr="00A72480">
        <w:t xml:space="preserve">to </w:t>
      </w:r>
      <w:r w:rsidR="002D2350">
        <w:t xml:space="preserve">25% in </w:t>
      </w:r>
      <w:r w:rsidRPr="00A72480">
        <w:t>CM</w:t>
      </w:r>
      <w:r w:rsidR="009D57F3">
        <w:t>.</w:t>
      </w:r>
      <w:r w:rsidRPr="00A72480">
        <w:t xml:space="preserve"> </w:t>
      </w:r>
      <w:r w:rsidR="00625A04">
        <w:fldChar w:fldCharType="begin"/>
      </w:r>
      <w:r w:rsidR="009D57F3">
        <w:instrText xml:space="preserve"> ADDIN ZOTERO_ITEM CSL_CITATION {"citationID":"1qrn33a6g4","properties":{"formattedCitation":"{\\rtf \\super 8\\nosupersub{}}","plainCitation":"8"},"citationItems":[{"id":3971,"uris":["http://zotero.org/users/150865/items/E4QMPXRF"],"uri":["http://zotero.org/users/150865/items/E4QMPXRF"],"itemData":{"id":3971,"type":"article-journal","title":"Metastatic ocular and cutaneous melanoma: a comparison of patient characteristics and prognosis","container-title":"Archives of Ophthalmology","page":"107-108","volume":"114","issue":"1","source":"PubMed","ISSN":"0003-9950","note":"PMID: 8540843","shortTitle":"Metastatic ocular and cutaneous melanoma","journalAbbreviation":"Arch. Ophthalmol.","language":"eng","author":[{"family":"Albert","given":"D. M."},{"family":"Ryan","given":"L. M."},{"family":"Borden","given":"E. C."}],"issued":{"date-parts":[["1996",1]]},"PMID":"8540843"}}],"schema":"https://github.com/citation-style-language/schema/raw/master/csl-citation.json"} </w:instrText>
      </w:r>
      <w:r w:rsidR="00625A04">
        <w:fldChar w:fldCharType="separate"/>
      </w:r>
      <w:r w:rsidR="009D57F3" w:rsidRPr="009D57F3">
        <w:rPr>
          <w:rFonts w:ascii="Calibri" w:hAnsi="Calibri" w:cs="Times New Roman"/>
          <w:szCs w:val="24"/>
          <w:vertAlign w:val="superscript"/>
        </w:rPr>
        <w:t>8</w:t>
      </w:r>
      <w:r w:rsidR="00625A04">
        <w:fldChar w:fldCharType="end"/>
      </w:r>
    </w:p>
    <w:p w14:paraId="116866B3" w14:textId="02CEEBD8" w:rsidR="00A72480" w:rsidRPr="00CD7ECF" w:rsidRDefault="0065652C" w:rsidP="00B75DB1">
      <w:pPr>
        <w:spacing w:line="480" w:lineRule="auto"/>
        <w:jc w:val="both"/>
      </w:pPr>
      <w:r>
        <w:rPr>
          <w:rFonts w:eastAsia="Times New Roman" w:cs="Times New Roman"/>
          <w:iCs/>
        </w:rPr>
        <w:t xml:space="preserve">Cytotoxic chemotherapy </w:t>
      </w:r>
      <w:r w:rsidR="00A72480" w:rsidRPr="00A72480">
        <w:rPr>
          <w:rFonts w:eastAsia="Times New Roman" w:cs="Times New Roman"/>
          <w:iCs/>
        </w:rPr>
        <w:t>offer</w:t>
      </w:r>
      <w:r>
        <w:rPr>
          <w:rFonts w:eastAsia="Times New Roman" w:cs="Times New Roman"/>
          <w:iCs/>
        </w:rPr>
        <w:t>s</w:t>
      </w:r>
      <w:r w:rsidR="00A72480" w:rsidRPr="00A72480">
        <w:rPr>
          <w:rFonts w:eastAsia="Times New Roman" w:cs="Times New Roman"/>
          <w:iCs/>
        </w:rPr>
        <w:t xml:space="preserve"> little benefit in UM and </w:t>
      </w:r>
      <w:r>
        <w:rPr>
          <w:rFonts w:eastAsia="Times New Roman" w:cs="Times New Roman"/>
          <w:iCs/>
        </w:rPr>
        <w:t>is</w:t>
      </w:r>
      <w:r w:rsidR="00A72480" w:rsidRPr="00A72480">
        <w:rPr>
          <w:rFonts w:eastAsia="Times New Roman" w:cs="Times New Roman"/>
          <w:iCs/>
        </w:rPr>
        <w:t xml:space="preserve"> no more effective than in CM when site and extent of disease is </w:t>
      </w:r>
      <w:r w:rsidR="002C4EEF">
        <w:rPr>
          <w:rFonts w:eastAsia="Times New Roman" w:cs="Times New Roman"/>
          <w:iCs/>
        </w:rPr>
        <w:t>considered</w:t>
      </w:r>
      <w:r w:rsidR="009D57F3">
        <w:rPr>
          <w:rFonts w:eastAsia="Times New Roman" w:cs="Times New Roman"/>
          <w:iCs/>
        </w:rPr>
        <w:t>.</w:t>
      </w:r>
      <w:r w:rsidR="002C67CA">
        <w:rPr>
          <w:rFonts w:eastAsia="Times New Roman" w:cs="Times New Roman"/>
          <w:iCs/>
        </w:rPr>
        <w:t xml:space="preserve"> </w:t>
      </w:r>
      <w:r w:rsidR="008A109F">
        <w:rPr>
          <w:rFonts w:eastAsia="Times New Roman" w:cs="Times New Roman"/>
          <w:iCs/>
        </w:rPr>
        <w:fldChar w:fldCharType="begin"/>
      </w:r>
      <w:r w:rsidR="009D57F3">
        <w:rPr>
          <w:rFonts w:eastAsia="Times New Roman" w:cs="Times New Roman"/>
          <w:iCs/>
        </w:rPr>
        <w:instrText xml:space="preserve"> ADDIN ZOTERO_ITEM CSL_CITATION {"citationID":"c7j18rqe8","properties":{"formattedCitation":"{\\rtf \\super 9\\nosupersub{}}","plainCitation":"9"},"citationItems":[{"id":4532,"uris":["http://zotero.org/users/150865/items/KUG9E4VZ"],"uri":["http://zotero.org/users/150865/items/KUG9E4VZ"],"itemData":{"id":4532,"type":"article-journal","title":"Metastatic melanoma from intraocular primary tumors: the Southwest Oncology Group experience in phase II advanced melanoma clinical trials","container-title":"American Journal of Clinical Oncology","page":"568-572","volume":"21","issue":"6","source":"PubMed","abstract":"Ocular melanoma is an uncommon malignancy that, in the presence of metastatic disease, has a poor prognosis for response to treatment and survival. Patients with ocular melanoma are often excluded from clinical trials because of the impression that these patients have a poorer response rate to treatment with anticancer agents and poorer survival, possibly related to the predominance of the liver as a site of metastasis. Sixty-four eligible patients with advanced melanoma arising from ocular primary tumors were entered into seven phase II clinical trials of anticancer therapy activated by the Southwest Oncology Group (SWOG) during the 1980s. Eligible patients with nonocular primaries entered into these trials (420 patients) served as a comparison group for survival, pretreatment characteristics, and response rates. Multivariate Cox model analysis of survival data (with survival from the time of study registration as the primary end-point) was conducted. Among the 484 patients observed, patients with ocular melanoma were older than those with nonocular primary tumors and were more likely to have visceral metastasis, metastasis to the liver, and only one metastatic site at registration, primarily to viscera and liver. The median overall survival after registration to study for both groups was 5 months. There was no significant difference in overall survival between patients with ocular melanoma and those with nonocular melanoma after adjusting for a number of prognostic factor (p = 0.43). Furthermore, the overall objective response rate of patients with ocular melanoma in these studies was not significantly different from that achieved in the nonocular group (9% vs. 11%; p = 1.00). Patients with advanced ocular or nonocular melanoma have similar response rates and survival in this series of cooperative group phase II trials. Patients with ocular primaries should not be excluded from investigational studies in advanced melanoma.","ISSN":"0277-3732","note":"PMID: 9856657","shortTitle":"Metastatic melanoma from intraocular primary tumors","journalAbbreviation":"Am. J. Clin. Oncol.","language":"eng","author":[{"family":"Flaherty","given":"L. E."},{"family":"Unger","given":"J. M."},{"family":"Liu","given":"P. Y."},{"family":"Mertens","given":"W. C."},{"family":"Sondak","given":"V. K."}],"issued":{"date-parts":[["1998",12]]},"PMID":"9856657"}}],"schema":"https://github.com/citation-style-language/schema/raw/master/csl-citation.json"} </w:instrText>
      </w:r>
      <w:r w:rsidR="008A109F">
        <w:rPr>
          <w:rFonts w:eastAsia="Times New Roman" w:cs="Times New Roman"/>
          <w:iCs/>
        </w:rPr>
        <w:fldChar w:fldCharType="separate"/>
      </w:r>
      <w:r w:rsidR="009D57F3" w:rsidRPr="009D57F3">
        <w:rPr>
          <w:rFonts w:ascii="Calibri" w:hAnsi="Calibri" w:cs="Times New Roman"/>
          <w:szCs w:val="24"/>
          <w:vertAlign w:val="superscript"/>
        </w:rPr>
        <w:t>9</w:t>
      </w:r>
      <w:r w:rsidR="008A109F">
        <w:rPr>
          <w:rFonts w:eastAsia="Times New Roman" w:cs="Times New Roman"/>
          <w:iCs/>
        </w:rPr>
        <w:fldChar w:fldCharType="end"/>
      </w:r>
      <w:r w:rsidR="00A72480" w:rsidRPr="00A72480">
        <w:rPr>
          <w:color w:val="31415A"/>
        </w:rPr>
        <w:t xml:space="preserve"> </w:t>
      </w:r>
      <w:r w:rsidR="00A72480" w:rsidRPr="00CD7ECF">
        <w:t xml:space="preserve">The absence of activating BRAF mutations in the majority of UM patients limits the use of BRAF inhibitors. Alternative targeted approaches are </w:t>
      </w:r>
      <w:r w:rsidR="002C4EEF">
        <w:t>sought</w:t>
      </w:r>
      <w:r w:rsidR="003E1781" w:rsidRPr="00CD7ECF">
        <w:t xml:space="preserve">, </w:t>
      </w:r>
      <w:r w:rsidR="00E26ECD">
        <w:t>e.g.</w:t>
      </w:r>
      <w:r w:rsidR="00A72480" w:rsidRPr="00CD7ECF">
        <w:t xml:space="preserve"> </w:t>
      </w:r>
      <w:r w:rsidR="004327C5">
        <w:t>the MEK inhibitor</w:t>
      </w:r>
      <w:r w:rsidR="00A72480" w:rsidRPr="00CD7ECF">
        <w:t xml:space="preserve"> selumet</w:t>
      </w:r>
      <w:r w:rsidR="00106CA8">
        <w:t>i</w:t>
      </w:r>
      <w:r w:rsidR="00A72480" w:rsidRPr="00CD7ECF">
        <w:t>nib</w:t>
      </w:r>
      <w:r w:rsidR="002C67CA">
        <w:t xml:space="preserve"> </w:t>
      </w:r>
      <w:r w:rsidR="008A109F" w:rsidRPr="00CD7ECF">
        <w:fldChar w:fldCharType="begin"/>
      </w:r>
      <w:r w:rsidR="009D57F3">
        <w:instrText xml:space="preserve"> ADDIN ZOTERO_ITEM CSL_CITATION {"citationID":"1am1ts791i","properties":{"formattedCitation":"{\\rtf \\super 10\\nosupersub{}}","plainCitation":"10"},"citationItems":[{"id":4534,"uris":["http://zotero.org/users/150865/items/5T2WBQX5"],"uri":["http://zotero.org/users/150865/items/5T2WBQX5"],"itemData":{"id":4534,"type":"article-journal","title":"Effect of selumetinib vs chemotherapy on progression-free survival in uveal melanoma: a randomized clinical trial","container-title":"JAMA","page":"2397-2405","volume":"311","issue":"23","source":"PubMed","abstract":"IMPORTANCE: Uveal melanoma is characterized by mutations in GNAQ and GNA11, resulting in mitogen-activated protein kinase pathway activation.\nOBJECTIVE: To assess the efficacy of selumetinib, a selective, non-adenosine triphosphate competitive inhibitor of MEK1 and MEK2, in uveal melanoma.\nDESIGN, SETTING, AND PARTICIPANTS: Randomized, open-label, phase 2 clinical trial comparing selumetinib vs chemotherapy conducted from August 2010 through December 2013 among 120 patients with metastatic uveal melanoma at 15 academic oncology centers in the United States and Canada.\nINTERVENTIONS: One hundred one patients were randomized in a 1:1 ratio to receive selumetinib, 75 mg orally twice daily on a continual basis (n = 50), or chemotherapy (temozolomide, 150 mg/m2 orally daily for 5 of every 28 days, or dacarbazine, 1000 mg/m2 intravenously every 21 days [investigator choice]; n = 51) until disease progression, death, intolerable adverse effects, or withdrawal of consent. After primary outcome analysis, 19 patients were registered and 18 treated with selumetinib without randomization to complete the planned 120-patient enrollment. Patients in the chemotherapy group could receive selumetinib at the time of radiographic progression.\nMAIN OUTCOMES AND MEASURES: Progression-free survival, the primary end point, was assessed as of April 22, 2013. Additional end points, including overall survival, response rate, and safety/toxicity, were assessed as of December 31, 2013.\nRESULTS: Median progression-free survival among patients randomized to chemotherapy was 7 weeks (95% CI, 4.3-8.4 weeks; median treatment duration, 8 weeks; interquartile range [IQR], 4.3-16 weeks) and among those randomized to selumetinib was 15.9 weeks (95% CI, 8.4-21.1 weeks; median treatment duration, 16.1 weeks; IQR, 8.1-25.3 weeks) (hazard ratio, 0.46; 95% CI, 0.30-0.71; P &lt; .001). Median overall survival time was 9.1 months (95% CI, 6.1-11.1 months) with chemotherapy and 11.8 months (95% CI, 9.8-15.7 months) with selumetinib (hazard ratio, 0.66; 95% CI, 0.41-1.06; P = .09). No objective responses were observed with chemotherapy. Forty-nine percent of patients treated with selumetinib achieved tumor regression, with 14% achieving an objective radiographic response to therapy. Treatment-related adverse events were observed in 97% of patients treated with selumetinib, with 37% requiring at least 1 dose reduction.\nCONCLUSIONS AND RELEVANCE: In this hypothesis-generating study of patients with advanced uveal melanoma, selumetinib compared with chemotherapy resulted in a modestly improved progression-free survival and response rate; however, no improvement in overall survival was observed. Improvement in clinical outcomes was accompanied by a high rate of adverse events.\nTRIAL REGISTRATION: clinicaltrials.gov Identifier: NCT01143402.","DOI":"10.1001/jama.2014.6096","ISSN":"1538-3598","note":"PMID: 24938562\nPMCID: PMC4249701","shortTitle":"Effect of selumetinib vs chemotherapy on progression-free survival in uveal melanoma","journalAbbreviation":"JAMA","language":"eng","author":[{"family":"Carvajal","given":"Richard D."},{"family":"Sosman","given":"Jeffrey A."},{"family":"Quevedo","given":"Jorge Fernando"},{"family":"Milhem","given":"Mohammed M."},{"family":"Joshua","given":"Anthony M."},{"family":"Kudchadkar","given":"Ragini R."},{"family":"Linette","given":"Gerald P."},{"family":"Gajewski","given":"Thomas F."},{"family":"Lutzky","given":"Jose"},{"family":"Lawson","given":"David H."},{"family":"Lao","given":"Christopher D."},{"family":"Flynn","given":"Patrick J."},{"family":"Albertini","given":"Mark R."},{"family":"Sato","given":"Takami"},{"family":"Lewis","given":"Karl"},{"family":"Doyle","given":"Austin"},{"family":"Ancell","given":"Kristin"},{"family":"Panageas","given":"Katherine S."},{"family":"Bluth","given":"Mark"},{"family":"Hedvat","given":"Cyrus"},{"family":"Erinjeri","given":"Joseph"},{"family":"Ambrosini","given":"Grazia"},{"family":"Marr","given":"Brian"},{"family":"Abramson","given":"David H."},{"family":"Dickson","given":"Mark Andrew"},{"family":"Wolchok","given":"Jedd D."},{"family":"Chapman","given":"Paul B."},{"family":"Schwartz","given":"Gary K."}],"issued":{"date-parts":[["2014",6,18]]},"PMID":"24938562","PMCID":"PMC4249701"}}],"schema":"https://github.com/citation-style-language/schema/raw/master/csl-citation.json"} </w:instrText>
      </w:r>
      <w:r w:rsidR="008A109F" w:rsidRPr="00CD7ECF">
        <w:fldChar w:fldCharType="separate"/>
      </w:r>
      <w:r w:rsidR="009D57F3" w:rsidRPr="009D57F3">
        <w:rPr>
          <w:rFonts w:ascii="Calibri" w:hAnsi="Calibri" w:cs="Times New Roman"/>
          <w:szCs w:val="24"/>
          <w:vertAlign w:val="superscript"/>
        </w:rPr>
        <w:t>10</w:t>
      </w:r>
      <w:r w:rsidR="008A109F" w:rsidRPr="00CD7ECF">
        <w:fldChar w:fldCharType="end"/>
      </w:r>
      <w:r w:rsidR="002C4EEF">
        <w:t>,</w:t>
      </w:r>
      <w:r w:rsidR="008A109F" w:rsidRPr="00CD7ECF">
        <w:t xml:space="preserve"> </w:t>
      </w:r>
      <w:r w:rsidR="002C4EEF">
        <w:t>h</w:t>
      </w:r>
      <w:r w:rsidR="00A72480" w:rsidRPr="00CD7ECF">
        <w:t xml:space="preserve">owever </w:t>
      </w:r>
      <w:r w:rsidR="002D2350" w:rsidRPr="00045886">
        <w:t>at</w:t>
      </w:r>
      <w:r w:rsidR="00A72480" w:rsidRPr="000503C5">
        <w:t xml:space="preserve"> the time of writing</w:t>
      </w:r>
      <w:r w:rsidR="001F095D">
        <w:t xml:space="preserve"> </w:t>
      </w:r>
      <w:r w:rsidR="00A72480" w:rsidRPr="00CD7ECF">
        <w:t>no</w:t>
      </w:r>
      <w:r w:rsidR="00CD6CFC">
        <w:t xml:space="preserve">ne </w:t>
      </w:r>
      <w:r w:rsidR="00A72480" w:rsidRPr="00CD7ECF">
        <w:t xml:space="preserve">have </w:t>
      </w:r>
      <w:r w:rsidR="002D2350">
        <w:t>demonstrated</w:t>
      </w:r>
      <w:r w:rsidR="00A72480" w:rsidRPr="00CD7ECF">
        <w:t xml:space="preserve"> significant activity in large Phase III trials.</w:t>
      </w:r>
    </w:p>
    <w:p w14:paraId="6D38A762" w14:textId="39474741" w:rsidR="00A72480" w:rsidRPr="00CD7ECF" w:rsidRDefault="00A72480" w:rsidP="00B75DB1">
      <w:pPr>
        <w:spacing w:line="480" w:lineRule="auto"/>
        <w:jc w:val="both"/>
      </w:pPr>
      <w:r w:rsidRPr="00CD7ECF">
        <w:t>Immunotherapy has revolutionised the treatment of metastatic CM; immune checkpoint inhibition with ipilimumab</w:t>
      </w:r>
      <w:r w:rsidR="002C67CA">
        <w:t xml:space="preserve"> </w:t>
      </w:r>
      <w:r w:rsidR="005A2819" w:rsidRPr="00CD7ECF">
        <w:fldChar w:fldCharType="begin"/>
      </w:r>
      <w:r w:rsidR="009D57F3">
        <w:instrText xml:space="preserve"> ADDIN ZOTERO_ITEM CSL_CITATION {"citationID":"ti3ve87nh","properties":{"formattedCitation":"{\\rtf \\super 11\\nosupersub{}}","plainCitation":"11"},"citationItems":[{"id":4212,"uris":["http://zotero.org/users/150865/items/SAS2W6P7"],"uri":["http://zotero.org/users/150865/items/SAS2W6P7"],"itemData":{"id":4212,"type":"article-journal","title":"Improved Survival with Ipilimumab in Patients with Metastatic Melanoma","container-title":"New England Journal of Medicine","page":"711-723","volume":"363","issue":"8","source":"Taylor and Francis+NEJM","abstract":"The incidence of metastatic melanoma has increased over the past three decades,1,2 and the death rate continues to rise faster than the rate with most cancers.3 The World Health Organization (WHO) estimates that worldwide there are 66,000 deaths annually from skin cancer, with approximately 80% due to melanoma.4 In the United States alone, an estimated 8600 persons died from melanoma in 2009.1 The median survival of patients with melanoma who have distant metastases (American Joint Committee on Cancer stage IV) is less than 1 year.5,6 No therapy is approved beyond the first-line therapy for metastatic melanoma, and enrollment . . .","DOI":"10.1056/NEJMoa1003466","ISSN":"0028-4793","note":"PMID: 20525992","author":[{"family":"Hodi","given":"F. Stephen"},{"family":"O'Day","given":"Steven J."},{"family":"McDermott","given":"David F."},{"family":"Weber","given":"Robert W."},{"family":"Sosman","given":"Jeffrey A."},{"family":"Haanen","given":"John B."},{"family":"Gonzalez","given":"Rene"},{"family":"Robert","given":"Caroline"},{"family":"Schadendorf","given":"Dirk"},{"family":"Hassel","given":"Jessica C."},{"family":"Akerley","given":"Wallace"},{"family":"Eertwegh","given":"Alfons J.M.","non-dropping-particle":"van den"},{"family":"Lutzky","given":"Jose"},{"family":"Lorigan","given":"Paul"},{"family":"Vaubel","given":"Julia M."},{"family":"Linette","given":"Gerald P."},{"family":"Hogg","given":"David"},{"family":"Ottensmeier","given":"Christian H."},{"family":"Lebbé","given":"Celeste"},{"family":"Peschel","given":"Christian"},{"family":"Quirt","given":"Ian"},{"family":"Clark","given":"Joseph I."},{"family":"Wolchok","given":"Jedd D."},{"family":"Weber","given":"Jeffrey S."},{"family":"Tian","given":"Jason"},{"family":"Yellin","given":"Michael J."},{"family":"Nichol","given":"Geoffrey M."},{"family":"Hoos","given":"Axel"},{"family":"Urba","given":"Walter J."}],"issued":{"date-parts":[["2010",8,19]]},"PMID":"20525992"}}],"schema":"https://github.com/citation-style-language/schema/raw/master/csl-citation.json"} </w:instrText>
      </w:r>
      <w:r w:rsidR="005A2819" w:rsidRPr="00CD7ECF">
        <w:fldChar w:fldCharType="separate"/>
      </w:r>
      <w:r w:rsidR="009D57F3" w:rsidRPr="009D57F3">
        <w:rPr>
          <w:rFonts w:ascii="Calibri" w:hAnsi="Calibri" w:cs="Times New Roman"/>
          <w:szCs w:val="24"/>
          <w:vertAlign w:val="superscript"/>
        </w:rPr>
        <w:t>11</w:t>
      </w:r>
      <w:r w:rsidR="005A2819" w:rsidRPr="00CD7ECF">
        <w:fldChar w:fldCharType="end"/>
      </w:r>
      <w:r w:rsidRPr="00CD7ECF">
        <w:t xml:space="preserve"> –</w:t>
      </w:r>
      <w:r w:rsidR="003E1781" w:rsidRPr="00CD7ECF">
        <w:t xml:space="preserve"> </w:t>
      </w:r>
      <w:r w:rsidRPr="00CD7ECF">
        <w:t>an anti-CTLA4 antibody - and anti-PD1 agents</w:t>
      </w:r>
      <w:r w:rsidR="00D50BD8">
        <w:t xml:space="preserve"> </w:t>
      </w:r>
      <w:r w:rsidR="00D50BD8" w:rsidRPr="00CD7ECF">
        <w:t>alone</w:t>
      </w:r>
      <w:r w:rsidR="003E1781" w:rsidRPr="00CD7ECF">
        <w:t xml:space="preserve"> </w:t>
      </w:r>
      <w:r w:rsidR="00CF3181" w:rsidRPr="00CD7ECF">
        <w:fldChar w:fldCharType="begin"/>
      </w:r>
      <w:r w:rsidR="009D57F3">
        <w:instrText xml:space="preserve"> ADDIN ZOTERO_ITEM CSL_CITATION {"citationID":"t4fgo3m5l","properties":{"formattedCitation":"{\\rtf \\super 12\\nosupersub{}}","plainCitation":"12"},"citationItems":[{"id":4559,"uris":["http://zotero.org/users/150865/items/22KMSRJD"],"uri":["http://zotero.org/users/150865/items/22KMSRJD"],"itemData":{"id":4559,"type":"article-journal","title":"Pembrolizumab versus Ipilimumab in Advanced Melanoma","container-title":"New England Journal of Medicine","page":"2521-2532","volume":"372","issue":"26","source":"Taylor and Francis+NEJM","abstract":"Two therapeutic strategies have improved survival for patients with advanced melanoma in recent years: immunotherapy with checkpoint inhibitors and targeted therapies blocking BRAF and MEK.1 BRAF and MEK inhibitors are indicated for the approximately 40 to 50% of patients with BRAF V600 mutations,1 whereas immunotherapies are effective independently of BRAF mutational status.2 Ipilimumab, which blocks cytotoxic T-lymphocyte–associated protein 4 (CTLA-4), a coinhibitory molecule of the immune system,3,4 is approved for treating advanced melanoma on the basis of its survival benefit.5,6 However, grade 3 or 4 adverse events, mostly immune-related,7 are observed in 23% of patients.5,6 When activated . . .","DOI":"10.1056/NEJMoa1503093","ISSN":"0028-4793","note":"PMID: 25891173","author":[{"family":"Robert","given":"Caroline"},{"family":"Schachter","given":"Jacob"},{"family":"Long","given":"Georgina V."},{"family":"Arance","given":"Ana"},{"family":"Grob","given":"Jean Jacques"},{"family":"Mortier","given":"Laurent"},{"family":"Daud","given":"Adil"},{"family":"Carlino","given":"Matteo S."},{"family":"McNeil","given":"Catriona"},{"family":"Lotem","given":"Michal"},{"family":"Larkin","given":"James"},{"family":"Lorigan","given":"Paul"},{"family":"Neyns","given":"Bart"},{"family":"Blank","given":"Christian U."},{"family":"Hamid","given":"Omid"},{"family":"Mateus","given":"Christine"},{"family":"Shapira-Frommer","given":"Ronnie"},{"family":"Kosh","given":"Michele"},{"family":"Zhou","given":"Honghong"},{"family":"Ibrahim","given":"Nageatte"},{"family":"Ebbinghaus","given":"Scot"},{"family":"Ribas","given":"Antoni"}],"issued":{"date-parts":[["2015",6,25]]},"PMID":"25891173"}}],"schema":"https://github.com/citation-style-language/schema/raw/master/csl-citation.json"} </w:instrText>
      </w:r>
      <w:r w:rsidR="00CF3181" w:rsidRPr="00CD7ECF">
        <w:fldChar w:fldCharType="separate"/>
      </w:r>
      <w:r w:rsidR="009D57F3" w:rsidRPr="009D57F3">
        <w:rPr>
          <w:rFonts w:ascii="Calibri" w:hAnsi="Calibri" w:cs="Times New Roman"/>
          <w:szCs w:val="24"/>
          <w:vertAlign w:val="superscript"/>
        </w:rPr>
        <w:t>12</w:t>
      </w:r>
      <w:r w:rsidR="00CF3181" w:rsidRPr="00CD7ECF">
        <w:fldChar w:fldCharType="end"/>
      </w:r>
      <w:r w:rsidR="00CF3181" w:rsidRPr="00CD7ECF">
        <w:t xml:space="preserve"> </w:t>
      </w:r>
      <w:r w:rsidR="003E1781" w:rsidRPr="00CD7ECF">
        <w:t xml:space="preserve">or </w:t>
      </w:r>
      <w:r w:rsidRPr="00CD7ECF">
        <w:t>in combination</w:t>
      </w:r>
      <w:r w:rsidR="002C67CA">
        <w:t xml:space="preserve"> </w:t>
      </w:r>
      <w:r w:rsidR="00CF3181" w:rsidRPr="00CD7ECF">
        <w:fldChar w:fldCharType="begin"/>
      </w:r>
      <w:r w:rsidR="009D57F3">
        <w:instrText xml:space="preserve"> ADDIN ZOTERO_ITEM CSL_CITATION {"citationID":"1iar5qhong","properties":{"formattedCitation":"{\\rtf \\super 13,14\\nosupersub{}}","plainCitation":"13,14"},"citationItems":[{"id":4562,"uris":["http://zotero.org/users/150865/items/3TPJBNHF"],"uri":["http://zotero.org/users/150865/items/3TPJBNHF"],"itemData":{"id":4562,"type":"article-journal","title":"Combined Nivolumab and Ipilimumab or Monotherapy in Untreated Melanoma","container-title":"New England Journal of Medicine","page":"23-34","volume":"373","issue":"1","source":"Taylor and Francis+NEJM","abstract":"The addition of nivolumab (anti–PD-1) to ipilimumab (anti–CTLA-4) did not further improve response rate or progression-free survival among patients with PD-L1–positive tumors. The combination was much more effective in patients with PD-L1–negative tumors.","DOI":"10.1056/NEJMoa1504030","ISSN":"0028-4793","note":"PMID: 26027431","author":[{"family":"Larkin","given":"James"},{"family":"Chiarion-Sileni","given":"Vanna"},{"family":"Gonzalez","given":"Rene"},{"family":"Grob","given":"Jean Jacques"},{"family":"Cowey","given":"C. Lance"},{"family":"Lao","given":"Christopher D."},{"family":"Schadendorf","given":"Dirk"},{"family":"Dummer","given":"Reinhard"},{"family":"Smylie","given":"Michael"},{"family":"Rutkowski","given":"Piotr"},{"family":"Ferrucci","given":"Pier F."},{"family":"Hill","given":"Andrew"},{"family":"Wagstaff","given":"John"},{"family":"Carlino","given":"Matteo S."},{"family":"Haanen","given":"John B."},{"family":"Maio","given":"Michele"},{"family":"Marquez-Rodas","given":"Ivan"},{"family":"McArthur","given":"Grant A."},{"family":"Ascierto","given":"Paolo A."},{"family":"Long","given":"Georgina V."},{"family":"Callahan","given":"Margaret K."},{"family":"Postow","given":"Michael A."},{"family":"Grossmann","given":"Kenneth"},{"family":"Sznol","given":"Mario"},{"family":"Dreno","given":"Brigitte"},{"family":"Bastholt","given":"Lars"},{"family":"Yang","given":"Arvin"},{"family":"Rollin","given":"Linda M."},{"family":"Horak","given":"Christine"},{"family":"Hodi","given":"F. Stephen"},{"family":"Wolchok","given":"Jedd D."}],"issued":{"date-parts":[["2015",7,2]]},"PMID":"26027431"}},{"id":2677,"uris":["http://zotero.org/users/150865/items/VBZPGP72"],"uri":["http://zotero.org/users/150865/items/VBZPGP72"],"itemData":{"id":2677,"type":"article-journal","title":"Nivolumab plus Ipilimumab in Advanced Melanoma","container-title":"New England Journal of Medicine","page":"122-133","volume":"369","issue":"2","source":"Taylor and Francis+NEJM","abstract":"Escape from immune surveillance is a recognized feature of cancer; therefore, the development of therapies to enhance tumor immunity is a rational treatment strategy.1,2 Immune checkpoint blockade is one approach that has induced regressions in several types of cancer. Ipilimumab, a fully human, IgG1 monoclonal antibody blocking cytotoxic T-lymphocyte–associated antigen 4 (CTLA-4), improved overall survival in patients with advanced melanoma.3,4 Nivolumab, a fully human IgG4 antibody blocking the programmed death 1 (PD-1) receptor, produced durable objective responses in patients with melanoma, renal-cell cancer, and non–small-cell lung cancer.5 CTLA-4 and PD-1 appear to play complementary roles in regulating adaptive . . .","DOI":"10.1056/NEJMoa1302369","ISSN":"0028-4793","note":"PMID: 23724867","author":[{"family":"Wolchok","given":"Jedd D."},{"family":"Kluger","given":"Harriet"},{"family":"Callahan","given":"Margaret K."},{"family":"Postow","given":"Michael A."},{"family":"Rizvi","given":"Naiyer A."},{"family":"Lesokhin","given":"Alexander M."},{"family":"Segal","given":"Neil H."},{"family":"Ariyan","given":"Charlotte E."},{"family":"Gordon","given":"Ruth-Ann"},{"family":"Reed","given":"Kathleen"},{"family":"Burke","given":"Matthew M."},{"family":"Caldwell","given":"Anne"},{"family":"Kronenberg","given":"Stephanie A."},{"family":"Agunwamba","given":"Blessing U."},{"family":"Zhang","given":"Xiaoling"},{"family":"Lowy","given":"Israel"},{"family":"Inzunza","given":"Hector David"},{"family":"Feely","given":"William"},{"family":"Horak","given":"Christine E."},{"family":"Hong","given":"Quan"},{"family":"Korman","given":"Alan J."},{"family":"Wigginton","given":"Jon M."},{"family":"Gupta","given":"Ashok"},{"family":"Sznol","given":"Mario"}],"issued":{"date-parts":[["2013"]]},"PMID":"23724867"}}],"schema":"https://github.com/citation-style-language/schema/raw/master/csl-citation.json"} </w:instrText>
      </w:r>
      <w:r w:rsidR="00CF3181" w:rsidRPr="00CD7ECF">
        <w:fldChar w:fldCharType="separate"/>
      </w:r>
      <w:r w:rsidR="009D57F3" w:rsidRPr="009D57F3">
        <w:rPr>
          <w:rFonts w:ascii="Calibri" w:hAnsi="Calibri" w:cs="Times New Roman"/>
          <w:szCs w:val="24"/>
          <w:vertAlign w:val="superscript"/>
        </w:rPr>
        <w:t>13,14</w:t>
      </w:r>
      <w:r w:rsidR="00CF3181" w:rsidRPr="00CD7ECF">
        <w:fldChar w:fldCharType="end"/>
      </w:r>
      <w:r w:rsidRPr="00CD7ECF">
        <w:t xml:space="preserve"> </w:t>
      </w:r>
      <w:r w:rsidR="0065652C">
        <w:t>results in</w:t>
      </w:r>
      <w:r w:rsidR="00CF3181" w:rsidRPr="00CD7ECF">
        <w:t xml:space="preserve"> durable</w:t>
      </w:r>
      <w:r w:rsidR="002C67CA">
        <w:t xml:space="preserve"> </w:t>
      </w:r>
      <w:r w:rsidRPr="00CD7ECF">
        <w:t xml:space="preserve">disease control in a significant proportion of patients. UM patients were excluded from taking part </w:t>
      </w:r>
      <w:r w:rsidR="00FE0D5A" w:rsidRPr="00CD7ECF">
        <w:t>in Phase</w:t>
      </w:r>
      <w:r w:rsidRPr="00CD7ECF">
        <w:t xml:space="preserve"> </w:t>
      </w:r>
      <w:r w:rsidR="00430D5A">
        <w:t>III</w:t>
      </w:r>
      <w:r w:rsidR="00430D5A" w:rsidRPr="00CD7ECF">
        <w:t xml:space="preserve"> </w:t>
      </w:r>
      <w:r w:rsidRPr="00CD7ECF">
        <w:t xml:space="preserve">trials, so evidence of efficacy in </w:t>
      </w:r>
      <w:r w:rsidR="00CD6CFC">
        <w:t>this</w:t>
      </w:r>
      <w:r w:rsidRPr="00CD7ECF">
        <w:t xml:space="preserve"> setting is limited.</w:t>
      </w:r>
    </w:p>
    <w:p w14:paraId="7090A4DE" w14:textId="15C7E106" w:rsidR="002F0F07" w:rsidRDefault="00A72480" w:rsidP="00B75DB1">
      <w:pPr>
        <w:spacing w:line="480" w:lineRule="auto"/>
        <w:jc w:val="both"/>
      </w:pPr>
      <w:r w:rsidRPr="00CD7ECF">
        <w:t xml:space="preserve">Small studies and retrospective analyses </w:t>
      </w:r>
      <w:r w:rsidR="0073079A" w:rsidRPr="00CD7ECF">
        <w:fldChar w:fldCharType="begin"/>
      </w:r>
      <w:r w:rsidR="009D57F3">
        <w:instrText xml:space="preserve"> ADDIN ZOTERO_ITEM CSL_CITATION {"citationID":"otfBlIxm","properties":{"formattedCitation":"{\\rtf \\super 15\\uc0\\u8211{}17\\nosupersub{}}","plainCitation":"15–17"},"citationItems":[{"id":4421,"uris":["http://zotero.org/users/150865/items/VDNNKTCD"],"uri":["http://zotero.org/users/150865/items/VDNNKTCD"],"itemData":{"id":4421,"type":"article-journal","title":"Ipilimumab in pretreated metastastic uveal melanoma patients. Results of the Dutch Working group on Immunotherapy of Oncology (WIN-O)","container-title":"Acta Oncologica","page":"1786-1788","volume":"52","issue":"8","source":"informahealthcare.com (Atypon)","DOI":"10.3109/0284186X.2013.786839","ISSN":"0284-186X","journalAbbreviation":"Acta Oncol","author":[{"family":"Kelderman","given":"Sander"},{"family":"Kooij","given":"Monique K.","non-dropping-particle":"van der"},{"family":"Eertwegh","given":"Alfons J. M.","non-dropping-particle":"van den"},{"family":"Soetekouw","given":"Patricia M. M. B."},{"family":"Jansen","given":"Rob L. H."},{"family":"Brom","given":"Rob R. H.","non-dropping-particle":"van den"},{"family":"Hospers","given":"Geke A. P."},{"family":"Haanen","given":"John B. A. G."},{"family":"Kapiteijn","given":"Ellen"},{"family":"Blank","given":"Christian U."}],"issued":{"date-parts":[["2013",4,23]]}}},{"id":1984,"uris":["http://zotero.org/users/150865/items/VEZEC9DC"],"uri":["http://zotero.org/users/150865/items/VEZEC9DC"],"itemData":{"id":1984,"type":"article-journal","title":"Efficacy and safety of ipilimumab in patients with pre-treated, uveal melanoma","container-title":"Annals of Oncology","page":"2911-2915","volume":"24","issue":"11","source":"annonc.oxfordjournals.org","abstract":"Background Patients with advanced uveal melanoma have a poor prognosis and limited treatment options. Ipilimumab is approved for pre-treated adult patients with advanced melanoma. However, because previous clinical trials with ipilimumab have excluded patients with uveal melanoma, data in this patient population are limited.\nPatients and methods Pre-treated patients with advanced uveal melanoma received ipilimumab 3 mg/kg through an expanded access programme, every 3 weeks for four doses. Tumour assessments were conducted at baseline and after completion of treatment and patients were monitored throughout for adverse events.\nResults Among 82 assessable patients, 4 (5%) had an immune-related objective response and 24 (29%) had immune-related stable disease lasting ≥3 months for an immune-related disease control rate of 34%. With a median follow-up of 5.6 months, median overall survival (OS) was 6.0 months and median progression-free survival (PFS) was 3.6 months. The 1-year rates of OS and PFS were 31% and 11%, respectively. The safety profile of ipilimumab was similar to that in patients with cutaneous melanoma.\nConclusions These data suggest ipilimumab 3 mg/kg is a feasible option in pre-treated patients with metastatic uveal melanoma. Evidence of disease control and a 1-year survival rate of 31% indicate the need for further investigation in randomised, controlled trials to determine the optimal timing and use of ipilimumab in this patient population.","DOI":"10.1093/annonc/mdt376","ISSN":"0923-7534, 1569-8041","note":"PMID: 24067719","journalAbbreviation":"Ann Oncol","language":"en","author":[{"family":"Maio","given":"M."},{"family":"Danielli","given":"R."},{"family":"Chiarion-Sileni","given":"V."},{"family":"Pigozzo","given":"J."},{"family":"Parmiani","given":"G."},{"family":"Ridolfi","given":"R."},{"family":"Rosa","given":"F. De"},{"family":"Vecchio","given":"M. Del"},{"family":"Guardo","given":"L. Di"},{"family":"Queirolo","given":"P."},{"family":"Picasso","given":"V."},{"family":"Marchetti","given":"P."},{"family":"Galitiis","given":"F. De"},{"family":"Mandalà","given":"M."},{"family":"Guida","given":"M."},{"family":"Simeone","given":"E."},{"family":"Ascierto","given":"P. A."}],"issued":{"date-parts":[["2013",1,11]]},"PMID":"24067719"}},{"id":3972,"uris":["http://zotero.org/users/150865/items/EMTHEVSE"],"uri":["http://zotero.org/users/150865/items/EMTHEVSE"],"itemData":{"id":3972,"type":"article-journal","title":"Phase II DeCOG-Study of Ipilimumab in Pretreated and Treatment-Naïve Patients with Metastatic Uveal Melanoma","container-title":"PLoS ONE","page":"e0118564","volume":"10","issue":"3","source":"PLoS Journals","abstract":"Purpose Up to 50% of patients with uveal melanoma (UM) develop metastatic disease with limited treatment options. The immunomodulating agent ipilimumab has shown an overall survival (OS) benefit in patients with cutaneous metastatic melanoma in two phase III trials. As patients with UM were excluded in these studies, the Dermatologic Cooperative Oncology Group (DeCOG) conducted a phase II to assess the efficacy and safety of ipilimumab in patients with metastatic UM. Patients and Methods We undertook a multicenter phase II study in patients with different subtypes of metastatic melanoma. Here we present data on patients with metastatic UM (pretreated and treatment-naïve) who received up to four cycles of ipilimumab administered at a dose of 3 mg/kg in 3 week intervals. Tumor assessments were conducted at baseline, weeks 12, 24, 36 and 48 according to RECIST 1.1 criteria. Adverse events (AEs), including immune-related AEs were graded according to National Cancer Institute Common Toxicity Criteria (CTC) v.4.0. Primary endpoint was the OS rate at 12 months. Results Forty five pretreated (85%) and eight treatment-naïve (15%) patients received at least one dose of ipilimumab. 1-year and 2-year OS rates were 22% and 7%, respectively. Median OS was 6.8 months (95% CI 3.7–8.1), median progression-free survival 2.8 months (95% CI 2.5–2.9). The disease control rate at weeks 12 and 24 was 47% and 21%, respectively. Sixteen patients had stable disease (47%), none experienced partial or complete response. Treatment-related AEs were observed in 35 patients (66%), including 19 grade 3–4 events (36%). One drug-related death due to pancytopenia was observed. Conclusions Ipilimumab has very limited clinical activity in patients with metastatic UM. Toxicity was manageable when treated as per protocol-specific guidelines. Trial Registration ClinicalTrials.gov NCT01355120","DOI":"10.1371/journal.pone.0118564","journalAbbreviation":"PLoS ONE","author":[{"family":"Zimmer","given":"Lisa"},{"family":"Vaubel","given":"Julia"},{"family":"Mohr","given":"Peter"},{"family":"Hauschild","given":"Axel"},{"family":"Utikal","given":"Jochen"},{"family":"Simon","given":"Jan"},{"family":"Garbe","given":"Claus"},{"family":"Herbst","given":"Rudolf"},{"family":"Enk","given":"Alexander"},{"family":"Kämpgen","given":"Eckhart"},{"family":"Livingstone","given":"Elisabeth"},{"family":"Bluhm","given":"Leonie"},{"family":"Rompel","given":"Rainer"},{"family":"Griewank","given":"Klaus G."},{"family":"Fluck","given":"Michael"},{"family":"Schilling","given":"Bastian"},{"family":"Schadendorf","given":"Dirk"}],"issued":{"date-parts":[["2015",3,11]]}}}],"schema":"https://github.com/citation-style-language/schema/raw/master/csl-citation.json"} </w:instrText>
      </w:r>
      <w:r w:rsidR="0073079A" w:rsidRPr="00CD7ECF">
        <w:fldChar w:fldCharType="separate"/>
      </w:r>
      <w:r w:rsidR="009D57F3" w:rsidRPr="009D57F3">
        <w:rPr>
          <w:rFonts w:ascii="Calibri" w:hAnsi="Calibri" w:cs="Times New Roman"/>
          <w:szCs w:val="24"/>
          <w:vertAlign w:val="superscript"/>
        </w:rPr>
        <w:t>15–17</w:t>
      </w:r>
      <w:r w:rsidR="0073079A" w:rsidRPr="00CD7ECF">
        <w:fldChar w:fldCharType="end"/>
      </w:r>
      <w:r w:rsidRPr="00CD7ECF">
        <w:t xml:space="preserve"> have shown that partial and even complete responses to ipilimumab </w:t>
      </w:r>
      <w:r w:rsidR="00CD6CFC">
        <w:t xml:space="preserve">in UM </w:t>
      </w:r>
      <w:r w:rsidRPr="00CD7ECF">
        <w:t xml:space="preserve">are possible, </w:t>
      </w:r>
      <w:r w:rsidR="002C4EEF">
        <w:t>but</w:t>
      </w:r>
      <w:r w:rsidR="008916AE" w:rsidRPr="00CD7ECF">
        <w:t xml:space="preserve"> </w:t>
      </w:r>
      <w:r w:rsidRPr="00CD7ECF">
        <w:t>rare</w:t>
      </w:r>
      <w:r w:rsidR="0065652C">
        <w:t>.</w:t>
      </w:r>
      <w:r w:rsidRPr="00CD7ECF">
        <w:t xml:space="preserve"> </w:t>
      </w:r>
      <w:r w:rsidR="0065652C">
        <w:t>M</w:t>
      </w:r>
      <w:r w:rsidR="002C4EEF" w:rsidRPr="00CD7ECF">
        <w:t>edian overall survival (</w:t>
      </w:r>
      <w:r w:rsidR="00D443FE">
        <w:t>“</w:t>
      </w:r>
      <w:r w:rsidR="002C4EEF" w:rsidRPr="00CD7ECF">
        <w:t>OS</w:t>
      </w:r>
      <w:r w:rsidR="00D443FE">
        <w:t>”</w:t>
      </w:r>
      <w:r w:rsidR="002C4EEF" w:rsidRPr="00CD7ECF">
        <w:t xml:space="preserve">) </w:t>
      </w:r>
      <w:r w:rsidR="00330E5B">
        <w:t xml:space="preserve"> of 5.2-</w:t>
      </w:r>
      <w:r w:rsidR="002C4EEF" w:rsidRPr="00CD7ECF">
        <w:t xml:space="preserve">9.6 months </w:t>
      </w:r>
      <w:r w:rsidR="002C4EEF">
        <w:t>,</w:t>
      </w:r>
      <w:r w:rsidR="00330E5B" w:rsidRPr="00330E5B">
        <w:t xml:space="preserve"> </w:t>
      </w:r>
      <w:r w:rsidR="00330E5B" w:rsidRPr="00CD7ECF">
        <w:t>1 year</w:t>
      </w:r>
      <w:r w:rsidR="00330E5B" w:rsidRPr="00CD7ECF" w:rsidDel="00330E5B">
        <w:t xml:space="preserve"> </w:t>
      </w:r>
      <w:r w:rsidRPr="00CD7ECF">
        <w:t xml:space="preserve">OS rates of 22-34%, and </w:t>
      </w:r>
      <w:r w:rsidR="00330E5B" w:rsidRPr="00CD7ECF">
        <w:t xml:space="preserve">1 year </w:t>
      </w:r>
      <w:r w:rsidR="00330E5B">
        <w:t>progression free survival (</w:t>
      </w:r>
      <w:r w:rsidR="00D443FE">
        <w:t>“</w:t>
      </w:r>
      <w:r w:rsidRPr="00CD7ECF">
        <w:t>PFS</w:t>
      </w:r>
      <w:r w:rsidR="00D443FE">
        <w:t>”</w:t>
      </w:r>
      <w:r w:rsidR="00330E5B">
        <w:t>)</w:t>
      </w:r>
      <w:r w:rsidRPr="00CD7ECF">
        <w:t xml:space="preserve"> rates of &lt;11% </w:t>
      </w:r>
      <w:r w:rsidR="002D2350">
        <w:t>were</w:t>
      </w:r>
      <w:r w:rsidR="002D2350" w:rsidRPr="00CD7ECF">
        <w:t xml:space="preserve"> </w:t>
      </w:r>
      <w:r w:rsidRPr="00CD7ECF">
        <w:t>comparable to standard chemotherapy</w:t>
      </w:r>
      <w:r w:rsidR="00901161">
        <w:t xml:space="preserve"> </w:t>
      </w:r>
      <w:r w:rsidR="00BE1CEC" w:rsidRPr="00CD7ECF">
        <w:fldChar w:fldCharType="begin"/>
      </w:r>
      <w:r w:rsidR="009D57F3">
        <w:instrText xml:space="preserve"> ADDIN ZOTERO_ITEM CSL_CITATION {"citationID":"1l0dv25ieh","properties":{"formattedCitation":"{\\rtf \\super 10\\nosupersub{}}","plainCitation":"10"},"citationItems":[{"id":4534,"uris":["http://zotero.org/users/150865/items/5T2WBQX5"],"uri":["http://zotero.org/users/150865/items/5T2WBQX5"],"itemData":{"id":4534,"type":"article-journal","title":"Effect of selumetinib vs chemotherapy on progression-free survival in uveal melanoma: a randomized clinical trial","container-title":"JAMA","page":"2397-2405","volume":"311","issue":"23","source":"PubMed","abstract":"IMPORTANCE: Uveal melanoma is characterized by mutations in GNAQ and GNA11, resulting in mitogen-activated protein kinase pathway activation.\nOBJECTIVE: To assess the efficacy of selumetinib, a selective, non-adenosine triphosphate competitive inhibitor of MEK1 and MEK2, in uveal melanoma.\nDESIGN, SETTING, AND PARTICIPANTS: Randomized, open-label, phase 2 clinical trial comparing selumetinib vs chemotherapy conducted from August 2010 through December 2013 among 120 patients with metastatic uveal melanoma at 15 academic oncology centers in the United States and Canada.\nINTERVENTIONS: One hundred one patients were randomized in a 1:1 ratio to receive selumetinib, 75 mg orally twice daily on a continual basis (n = 50), or chemotherapy (temozolomide, 150 mg/m2 orally daily for 5 of every 28 days, or dacarbazine, 1000 mg/m2 intravenously every 21 days [investigator choice]; n = 51) until disease progression, death, intolerable adverse effects, or withdrawal of consent. After primary outcome analysis, 19 patients were registered and 18 treated with selumetinib without randomization to complete the planned 120-patient enrollment. Patients in the chemotherapy group could receive selumetinib at the time of radiographic progression.\nMAIN OUTCOMES AND MEASURES: Progression-free survival, the primary end point, was assessed as of April 22, 2013. Additional end points, including overall survival, response rate, and safety/toxicity, were assessed as of December 31, 2013.\nRESULTS: Median progression-free survival among patients randomized to chemotherapy was 7 weeks (95% CI, 4.3-8.4 weeks; median treatment duration, 8 weeks; interquartile range [IQR], 4.3-16 weeks) and among those randomized to selumetinib was 15.9 weeks (95% CI, 8.4-21.1 weeks; median treatment duration, 16.1 weeks; IQR, 8.1-25.3 weeks) (hazard ratio, 0.46; 95% CI, 0.30-0.71; P &lt; .001). Median overall survival time was 9.1 months (95% CI, 6.1-11.1 months) with chemotherapy and 11.8 months (95% CI, 9.8-15.7 months) with selumetinib (hazard ratio, 0.66; 95% CI, 0.41-1.06; P = .09). No objective responses were observed with chemotherapy. Forty-nine percent of patients treated with selumetinib achieved tumor regression, with 14% achieving an objective radiographic response to therapy. Treatment-related adverse events were observed in 97% of patients treated with selumetinib, with 37% requiring at least 1 dose reduction.\nCONCLUSIONS AND RELEVANCE: In this hypothesis-generating study of patients with advanced uveal melanoma, selumetinib compared with chemotherapy resulted in a modestly improved progression-free survival and response rate; however, no improvement in overall survival was observed. Improvement in clinical outcomes was accompanied by a high rate of adverse events.\nTRIAL REGISTRATION: clinicaltrials.gov Identifier: NCT01143402.","DOI":"10.1001/jama.2014.6096","ISSN":"1538-3598","note":"PMID: 24938562\nPMCID: PMC4249701","shortTitle":"Effect of selumetinib vs chemotherapy on progression-free survival in uveal melanoma","journalAbbreviation":"JAMA","language":"eng","author":[{"family":"Carvajal","given":"Richard D."},{"family":"Sosman","given":"Jeffrey A."},{"family":"Quevedo","given":"Jorge Fernando"},{"family":"Milhem","given":"Mohammed M."},{"family":"Joshua","given":"Anthony M."},{"family":"Kudchadkar","given":"Ragini R."},{"family":"Linette","given":"Gerald P."},{"family":"Gajewski","given":"Thomas F."},{"family":"Lutzky","given":"Jose"},{"family":"Lawson","given":"David H."},{"family":"Lao","given":"Christopher D."},{"family":"Flynn","given":"Patrick J."},{"family":"Albertini","given":"Mark R."},{"family":"Sato","given":"Takami"},{"family":"Lewis","given":"Karl"},{"family":"Doyle","given":"Austin"},{"family":"Ancell","given":"Kristin"},{"family":"Panageas","given":"Katherine S."},{"family":"Bluth","given":"Mark"},{"family":"Hedvat","given":"Cyrus"},{"family":"Erinjeri","given":"Joseph"},{"family":"Ambrosini","given":"Grazia"},{"family":"Marr","given":"Brian"},{"family":"Abramson","given":"David H."},{"family":"Dickson","given":"Mark Andrew"},{"family":"Wolchok","given":"Jedd D."},{"family":"Chapman","given":"Paul B."},{"family":"Schwartz","given":"Gary K."}],"issued":{"date-parts":[["2014",6,18]]},"PMID":"24938562","PMCID":"PMC4249701"}}],"schema":"https://github.com/citation-style-language/schema/raw/master/csl-citation.json"} </w:instrText>
      </w:r>
      <w:r w:rsidR="00BE1CEC" w:rsidRPr="00CD7ECF">
        <w:fldChar w:fldCharType="separate"/>
      </w:r>
      <w:r w:rsidR="009D57F3" w:rsidRPr="009D57F3">
        <w:rPr>
          <w:rFonts w:ascii="Calibri" w:hAnsi="Calibri" w:cs="Times New Roman"/>
          <w:szCs w:val="24"/>
          <w:vertAlign w:val="superscript"/>
        </w:rPr>
        <w:t>10</w:t>
      </w:r>
      <w:r w:rsidR="00BE1CEC" w:rsidRPr="00CD7ECF">
        <w:fldChar w:fldCharType="end"/>
      </w:r>
      <w:r w:rsidR="00BE1CEC" w:rsidRPr="00CD7ECF">
        <w:t xml:space="preserve"> </w:t>
      </w:r>
      <w:r w:rsidR="008916AE" w:rsidRPr="00CD7ECF">
        <w:t>but lower than</w:t>
      </w:r>
      <w:r w:rsidR="00106CA8">
        <w:t xml:space="preserve"> in</w:t>
      </w:r>
      <w:r w:rsidR="008916AE" w:rsidRPr="00CD7ECF">
        <w:t xml:space="preserve"> unselected CM cohorts.</w:t>
      </w:r>
    </w:p>
    <w:p w14:paraId="03AC42D5" w14:textId="40B29759" w:rsidR="001A3926" w:rsidRDefault="001A3926" w:rsidP="00B75DB1">
      <w:pPr>
        <w:spacing w:after="0" w:line="480" w:lineRule="auto"/>
        <w:jc w:val="both"/>
        <w:rPr>
          <w:rFonts w:eastAsia="MS Mincho" w:cs="Times New Roman"/>
          <w:szCs w:val="24"/>
        </w:rPr>
      </w:pPr>
      <w:r>
        <w:rPr>
          <w:rFonts w:eastAsia="MS Mincho" w:cs="Times New Roman"/>
          <w:szCs w:val="24"/>
        </w:rPr>
        <w:t>One</w:t>
      </w:r>
      <w:r w:rsidRPr="00562EB5">
        <w:rPr>
          <w:rFonts w:eastAsia="MS Mincho" w:cs="Times New Roman"/>
          <w:szCs w:val="24"/>
        </w:rPr>
        <w:t xml:space="preserve"> </w:t>
      </w:r>
      <w:r w:rsidR="00975E4E">
        <w:rPr>
          <w:rFonts w:eastAsia="MS Mincho" w:cs="Times New Roman"/>
          <w:szCs w:val="24"/>
        </w:rPr>
        <w:t>explanation</w:t>
      </w:r>
      <w:r w:rsidRPr="00562EB5">
        <w:rPr>
          <w:rFonts w:eastAsia="MS Mincho" w:cs="Times New Roman"/>
          <w:szCs w:val="24"/>
        </w:rPr>
        <w:t xml:space="preserve"> </w:t>
      </w:r>
      <w:r>
        <w:rPr>
          <w:rFonts w:eastAsia="MS Mincho" w:cs="Times New Roman"/>
          <w:szCs w:val="24"/>
        </w:rPr>
        <w:t xml:space="preserve">why </w:t>
      </w:r>
      <w:r w:rsidR="00FD2494">
        <w:rPr>
          <w:rFonts w:eastAsia="MS Mincho" w:cs="Times New Roman"/>
          <w:szCs w:val="24"/>
        </w:rPr>
        <w:t xml:space="preserve">immunotherapeutics </w:t>
      </w:r>
      <w:r w:rsidR="00FD2494" w:rsidRPr="00562EB5">
        <w:rPr>
          <w:rFonts w:eastAsia="MS Mincho" w:cs="Times New Roman"/>
          <w:szCs w:val="24"/>
        </w:rPr>
        <w:t>might</w:t>
      </w:r>
      <w:r>
        <w:rPr>
          <w:rFonts w:eastAsia="MS Mincho" w:cs="Times New Roman"/>
          <w:szCs w:val="24"/>
        </w:rPr>
        <w:t xml:space="preserve"> </w:t>
      </w:r>
      <w:r w:rsidR="00885C95">
        <w:rPr>
          <w:rFonts w:eastAsia="MS Mincho" w:cs="Times New Roman"/>
          <w:szCs w:val="24"/>
        </w:rPr>
        <w:t>be less</w:t>
      </w:r>
      <w:r w:rsidRPr="00562EB5">
        <w:rPr>
          <w:rFonts w:eastAsia="MS Mincho" w:cs="Times New Roman"/>
          <w:szCs w:val="24"/>
        </w:rPr>
        <w:t xml:space="preserve"> effective in </w:t>
      </w:r>
      <w:r>
        <w:rPr>
          <w:rFonts w:eastAsia="MS Mincho" w:cs="Times New Roman"/>
          <w:szCs w:val="24"/>
        </w:rPr>
        <w:t>U</w:t>
      </w:r>
      <w:r w:rsidRPr="00562EB5">
        <w:rPr>
          <w:rFonts w:eastAsia="MS Mincho" w:cs="Times New Roman"/>
          <w:szCs w:val="24"/>
        </w:rPr>
        <w:t>M</w:t>
      </w:r>
      <w:r>
        <w:rPr>
          <w:rFonts w:eastAsia="MS Mincho" w:cs="Times New Roman"/>
          <w:szCs w:val="24"/>
        </w:rPr>
        <w:t xml:space="preserve"> compared to CM could </w:t>
      </w:r>
      <w:r w:rsidR="00885C95">
        <w:rPr>
          <w:rFonts w:eastAsia="MS Mincho" w:cs="Times New Roman"/>
          <w:szCs w:val="24"/>
        </w:rPr>
        <w:t>be</w:t>
      </w:r>
      <w:r>
        <w:rPr>
          <w:rFonts w:eastAsia="MS Mincho" w:cs="Times New Roman"/>
          <w:szCs w:val="24"/>
        </w:rPr>
        <w:t xml:space="preserve"> different</w:t>
      </w:r>
      <w:r w:rsidRPr="00562EB5">
        <w:rPr>
          <w:rFonts w:eastAsia="MS Mincho" w:cs="Times New Roman"/>
          <w:szCs w:val="24"/>
        </w:rPr>
        <w:t xml:space="preserve"> driving mutations</w:t>
      </w:r>
      <w:r w:rsidR="009D57F3">
        <w:rPr>
          <w:rFonts w:eastAsia="MS Mincho" w:cs="Times New Roman"/>
          <w:szCs w:val="24"/>
        </w:rPr>
        <w:t>.</w:t>
      </w:r>
      <w:r>
        <w:rPr>
          <w:rFonts w:eastAsia="MS Mincho" w:cs="Times New Roman"/>
          <w:szCs w:val="24"/>
        </w:rPr>
        <w:t xml:space="preserve"> </w:t>
      </w:r>
      <w:r w:rsidRPr="00562EB5">
        <w:rPr>
          <w:rFonts w:eastAsia="MS Mincho" w:cs="Times New Roman"/>
          <w:szCs w:val="24"/>
        </w:rPr>
        <w:fldChar w:fldCharType="begin"/>
      </w:r>
      <w:r w:rsidR="009D57F3">
        <w:rPr>
          <w:rFonts w:eastAsia="MS Mincho" w:cs="Times New Roman"/>
          <w:szCs w:val="24"/>
        </w:rPr>
        <w:instrText xml:space="preserve"> ADDIN ZOTERO_ITEM CSL_CITATION {"citationID":"2ng31hb33h","properties":{"formattedCitation":"{\\rtf \\super 1,5,18\\nosupersub{}}","plainCitation":"1,5,18"},"citationItems":[{"id":3993,"uris":["http://zotero.org/users/150865/items/NXA6BJJA"],"uri":["http://zotero.org/users/150865/items/NXA6BJJA"],"itemData":{"id":3993,"type":"article-journal","title":"Ocular melanoma and the BAP1 hereditary cancer syndrome: implications for the dermatologist","container-title":"International Journal of Dermatology","page":"657-663","volume":"53","issue":"6","source":"Wiley Online Library","abstract":"Ocular melanoma is a rare subtype of melanoma, which includes uveal melanoma (UM) and conjunctival melanoma. UM is associated with an increased risk of cutaneous melanoma (CM) in addition to mesothelioma, skin lesions such as epithelioid atypical Spitz tumors, and other internal malignancies due to a germline mutation of the BRCA1-associated protein 1 (BAP1) gene. Such familial risks are important for dermatologists to recognize when screening patients with a history of UM for CM and other malignancies. Molecular genetics further help to elucidate the connections between UM and CM by revealing similarities and differences in important mutations among the melanoma subtypes. Both UM and CM have been shown to harbor germline mutation of BAP1. However, somatic mutations in either GNAQ or GNA11 are unique to UM tumors and could be used as potential markers to differentiate UM from metastatic CM and act as direct therapeutic targets. However, CM-associated BRAF and CDKN2A mutations are rare in UM. This review addresses the clinical features, pathogenesis, and current treatment options of UM, focusing on UM and the BAP1 cancer syndrome to raise awareness of ocular melanoma and its greater role in the predisposition to a hereditary cancer syndrome.","DOI":"10.1111/ijd.12386","ISSN":"1365-4632","shortTitle":"Ocular melanoma and the BAP1 hereditary cancer syndrome","journalAbbreviation":"Int J Dermatol","language":"en","author":[{"family":"Martorano","given":"Lisa M."},{"family":"Winkelmann","given":"Richard R."},{"family":"Cebulla","given":"Colleen M."},{"family":"Abdel-Rahman","given":"Mohamed H."},{"family":"Campbell","given":"Shannon M."}],"issued":{"date-parts":[["2014",6,1]]}}},{"id":4514,"uris":["http://zotero.org/users/150865/items/9B465PMC"],"uri":["http://zotero.org/users/150865/items/9B465PMC"],"itemData":{"id":4514,"type":"article-journal","title":"COSMIC: exploring the world's knowledge of somatic mutations in human cancer","container-title":"Nucleic Acids Research","page":"D805-D811","volume":"43","issue":"D1","source":"nar.oxfordjournals.org","abstract":"COSMIC, the Catalogue Of Somatic Mutations In Cancer (http://cancer.sanger.ac.uk) is the world's largest and most comprehensive resource for exploring the impact of somatic mutations in human cancer. Our latest release (v70; Aug 2014) describes 2 002 811 coding point mutations in over one million tumor samples and across most human genes. To emphasize depth of knowledge on known cancer genes, mutation information is curated manually from the scientific literature, allowing very precise definitions of disease types and patient details. Combination of almost 20 000 published studies gives substantial resolution of how mutations and phenotypes relate in human cancer, providing insights into the stratification of mutations and biomarkers across cancer patient populations. Conversely, our curation of cancer genomes (over 12 000) emphasizes knowledge breadth, driving discovery of unrecognized cancer-driving hotspots and molecular targets. Our high-resolution curation approach is globally unique, giving substantial insight into molecular biomarkers in human oncology. In addition, COSMIC also details more than six million noncoding mutations, 10 534 gene fusions, 61 299 genome rearrangements, 695 504 abnormal copy number segments and 60 119 787 abnormal expression variants. All these types of somatic mutation are annotated to both the human genome and each affected coding gene, then correlated across disease and mutation types.","DOI":"10.1093/nar/gku1075","ISSN":"0305-1048, 1362-4962","note":"PMID: 25355519","shortTitle":"COSMIC","journalAbbreviation":"Nucl. Acids Res.","language":"en","author":[{"family":"Forbes","given":"Simon A."},{"family":"Beare","given":"David"},{"family":"Gunasekaran","given":"Prasad"},{"family":"Leung","given":"Kenric"},{"family":"Bindal","given":"Nidhi"},{"family":"Boutselakis","given":"Harry"},{"family":"Ding","given":"Minjie"},{"family":"Bamford","given":"Sally"},{"family":"Cole","given":"Charlotte"},{"family":"Ward","given":"Sari"},{"family":"Kok","given":"Chai Yin"},{"family":"Jia","given":"Mingming"},{"family":"De","given":"Tisham"},{"family":"Teague","given":"Jon W."},{"family":"Stratton","given":"Michael R."},{"family":"McDermott","given":"Ultan"},{"family":"Campbell","given":"Peter J."}],"issued":{"date-parts":[["2015",1,28]]},"PMID":"25355519"}},{"id":1914,"uris":["http://zotero.org/users/150865/items/PBBNMQIN"],"uri":["http://zotero.org/users/150865/items/PBBNMQIN"],"itemData":{"id":1914,"type":"article-journal","title":"Mutations in GNA11 in Uveal Melanoma","container-title":"New England Journal of Medicine","page":"2191-2199","volume":"363","issue":"23","source":"Taylor and Francis+NEJM","abstract":"Uveal melanoma is a neoplasm that arises from melanocytes of the choroid plexus, ciliary body, and iris of the eye.1 Unlike cutaneous melanoma, uveal melanoma lacks mutations in BRAF, NRAS, or KIT 2–5 and has characteristic cytogenetic alterations6 and a strong tendency to metastasize to the liver.1,7 The nevus of Ota, a subtle intradermal proliferation of melanocytes resulting in bluish-gray hyperpigmentation in the sclera and periorbital dermis, is a risk factor for uveal melanoma.8 In mice, germline mutations that increase the activity of the closely related GTPases, Gαq (V179M) and Gα11 (I63V), cause dermal hyperpigmentation.9 The microscopical . . .","DOI":"10.1056/NEJMoa1000584","ISSN":"0028-4793","note":"PMID: 21083380","author":[{"family":"Van Raamsdonk","given":"Catherine D."},{"family":"Griewank","given":"Klaus G."},{"family":"Crosby","given":"Michelle B."},{"family":"Garrido","given":"Maria C."},{"family":"Vemula","given":"Swapna"},{"family":"Wiesner","given":"Thomas"},{"family":"Obenauf","given":"Anna C."},{"family":"Wackernagel","given":"Werner"},{"family":"Green","given":"Gary"},{"family":"Bouvier","given":"Nancy"},{"family":"Sozen","given":"M. Mert"},{"family":"Baimukanova","given":"Gail"},{"family":"Roy","given":"Ritu"},{"family":"Heguy","given":"Adriana"},{"family":"Dolgalev","given":"Igor"},{"family":"Khanin","given":"Raya"},{"family":"Busam","given":"Klaus"},{"family":"Speicher","given":"Michael R."},{"family":"O'Brien","given":"Joan"},{"family":"Bastian","given":"Boris C."}],"issued":{"date-parts":[["2010",12,2]]},"PMID":"21083380"}}],"schema":"https://github.com/citation-style-language/schema/raw/master/csl-citation.json"} </w:instrText>
      </w:r>
      <w:r w:rsidRPr="00562EB5">
        <w:rPr>
          <w:rFonts w:eastAsia="MS Mincho" w:cs="Times New Roman"/>
          <w:szCs w:val="24"/>
        </w:rPr>
        <w:fldChar w:fldCharType="separate"/>
      </w:r>
      <w:r w:rsidR="009D57F3" w:rsidRPr="009D57F3">
        <w:rPr>
          <w:rFonts w:ascii="Calibri" w:hAnsi="Calibri" w:cs="Times New Roman"/>
          <w:szCs w:val="24"/>
          <w:vertAlign w:val="superscript"/>
        </w:rPr>
        <w:t>1,5,18</w:t>
      </w:r>
      <w:r w:rsidRPr="00562EB5">
        <w:rPr>
          <w:rFonts w:eastAsia="MS Mincho" w:cs="Times New Roman"/>
          <w:szCs w:val="24"/>
        </w:rPr>
        <w:fldChar w:fldCharType="end"/>
      </w:r>
      <w:r w:rsidRPr="00562EB5">
        <w:rPr>
          <w:rFonts w:eastAsia="MS Mincho" w:cs="Times New Roman"/>
          <w:szCs w:val="24"/>
        </w:rPr>
        <w:t xml:space="preserve"> </w:t>
      </w:r>
      <w:r>
        <w:rPr>
          <w:rFonts w:eastAsia="MS Mincho" w:cs="Times New Roman"/>
          <w:szCs w:val="24"/>
        </w:rPr>
        <w:t>Further</w:t>
      </w:r>
      <w:r w:rsidR="00885C95">
        <w:rPr>
          <w:rFonts w:eastAsia="MS Mincho" w:cs="Times New Roman"/>
          <w:szCs w:val="24"/>
        </w:rPr>
        <w:t>more</w:t>
      </w:r>
      <w:r>
        <w:rPr>
          <w:rFonts w:eastAsia="MS Mincho" w:cs="Times New Roman"/>
          <w:szCs w:val="24"/>
        </w:rPr>
        <w:t>,</w:t>
      </w:r>
      <w:r w:rsidRPr="00562EB5">
        <w:rPr>
          <w:rFonts w:eastAsia="MS Mincho" w:cs="Times New Roman"/>
          <w:szCs w:val="24"/>
        </w:rPr>
        <w:t xml:space="preserve"> the overall mutational load </w:t>
      </w:r>
      <w:r w:rsidR="00975E4E">
        <w:rPr>
          <w:rFonts w:eastAsia="MS Mincho" w:cs="Times New Roman"/>
          <w:szCs w:val="24"/>
        </w:rPr>
        <w:t xml:space="preserve">is </w:t>
      </w:r>
      <w:r w:rsidRPr="00562EB5">
        <w:rPr>
          <w:rFonts w:eastAsia="MS Mincho" w:cs="Times New Roman"/>
          <w:szCs w:val="24"/>
        </w:rPr>
        <w:t>significantly l</w:t>
      </w:r>
      <w:r>
        <w:rPr>
          <w:rFonts w:eastAsia="MS Mincho" w:cs="Times New Roman"/>
          <w:szCs w:val="24"/>
        </w:rPr>
        <w:t xml:space="preserve">ower </w:t>
      </w:r>
      <w:r w:rsidRPr="00562EB5">
        <w:rPr>
          <w:rFonts w:eastAsia="MS Mincho" w:cs="Times New Roman"/>
          <w:szCs w:val="24"/>
        </w:rPr>
        <w:fldChar w:fldCharType="begin"/>
      </w:r>
      <w:r w:rsidR="009D57F3">
        <w:rPr>
          <w:rFonts w:eastAsia="MS Mincho" w:cs="Times New Roman"/>
          <w:szCs w:val="24"/>
        </w:rPr>
        <w:instrText xml:space="preserve"> ADDIN ZOTERO_ITEM CSL_CITATION {"citationID":"11ap8t38tn","properties":{"formattedCitation":"{\\rtf \\super 5\\nosupersub{}}","plainCitation":"5"},"citationItems":[{"id":4514,"uris":["http://zotero.org/users/150865/items/9B465PMC"],"uri":["http://zotero.org/users/150865/items/9B465PMC"],"itemData":{"id":4514,"type":"article-journal","title":"COSMIC: exploring the world's knowledge of somatic mutations in human cancer","container-title":"Nucleic Acids Research","page":"D805-D811","volume":"43","issue":"D1","source":"nar.oxfordjournals.org","abstract":"COSMIC, the Catalogue Of Somatic Mutations In Cancer (http://cancer.sanger.ac.uk) is the world's largest and most comprehensive resource for exploring the impact of somatic mutations in human cancer. Our latest release (v70; Aug 2014) describes 2 002 811 coding point mutations in over one million tumor samples and across most human genes. To emphasize depth of knowledge on known cancer genes, mutation information is curated manually from the scientific literature, allowing very precise definitions of disease types and patient details. Combination of almost 20 000 published studies gives substantial resolution of how mutations and phenotypes relate in human cancer, providing insights into the stratification of mutations and biomarkers across cancer patient populations. Conversely, our curation of cancer genomes (over 12 000) emphasizes knowledge breadth, driving discovery of unrecognized cancer-driving hotspots and molecular targets. Our high-resolution curation approach is globally unique, giving substantial insight into molecular biomarkers in human oncology. In addition, COSMIC also details more than six million noncoding mutations, 10 534 gene fusions, 61 299 genome rearrangements, 695 504 abnormal copy number segments and 60 119 787 abnormal expression variants. All these types of somatic mutation are annotated to both the human genome and each affected coding gene, then correlated across disease and mutation types.","DOI":"10.1093/nar/gku1075","ISSN":"0305-1048, 1362-4962","note":"PMID: 25355519","shortTitle":"COSMIC","journalAbbreviation":"Nucl. Acids Res.","language":"en","author":[{"family":"Forbes","given":"Simon A."},{"family":"Beare","given":"David"},{"family":"Gunasekaran","given":"Prasad"},{"family":"Leung","given":"Kenric"},{"family":"Bindal","given":"Nidhi"},{"family":"Boutselakis","given":"Harry"},{"family":"Ding","given":"Minjie"},{"family":"Bamford","given":"Sally"},{"family":"Cole","given":"Charlotte"},{"family":"Ward","given":"Sari"},{"family":"Kok","given":"Chai Yin"},{"family":"Jia","given":"Mingming"},{"family":"De","given":"Tisham"},{"family":"Teague","given":"Jon W."},{"family":"Stratton","given":"Michael R."},{"family":"McDermott","given":"Ultan"},{"family":"Campbell","given":"Peter J."}],"issued":{"date-parts":[["2015",1,28]]},"PMID":"25355519"}}],"schema":"https://github.com/citation-style-language/schema/raw/master/csl-citation.json"} </w:instrText>
      </w:r>
      <w:r w:rsidRPr="00562EB5">
        <w:rPr>
          <w:rFonts w:eastAsia="MS Mincho" w:cs="Times New Roman"/>
          <w:szCs w:val="24"/>
        </w:rPr>
        <w:fldChar w:fldCharType="separate"/>
      </w:r>
      <w:r w:rsidR="009D57F3" w:rsidRPr="009D57F3">
        <w:rPr>
          <w:rFonts w:ascii="Calibri" w:hAnsi="Calibri" w:cs="Times New Roman"/>
          <w:szCs w:val="24"/>
          <w:vertAlign w:val="superscript"/>
        </w:rPr>
        <w:t>5</w:t>
      </w:r>
      <w:r w:rsidRPr="00562EB5">
        <w:rPr>
          <w:rFonts w:eastAsia="MS Mincho" w:cs="Times New Roman"/>
          <w:szCs w:val="24"/>
        </w:rPr>
        <w:fldChar w:fldCharType="end"/>
      </w:r>
      <w:r w:rsidRPr="00562EB5">
        <w:rPr>
          <w:rFonts w:eastAsia="MS Mincho" w:cs="Times New Roman"/>
          <w:szCs w:val="24"/>
        </w:rPr>
        <w:t xml:space="preserve"> </w:t>
      </w:r>
      <w:r w:rsidRPr="00562EB5">
        <w:rPr>
          <w:rFonts w:eastAsia="MS Mincho" w:cs="Times New Roman"/>
          <w:szCs w:val="24"/>
        </w:rPr>
        <w:lastRenderedPageBreak/>
        <w:t>compared to CM</w:t>
      </w:r>
      <w:r>
        <w:rPr>
          <w:rFonts w:eastAsia="MS Mincho" w:cs="Times New Roman"/>
          <w:szCs w:val="24"/>
        </w:rPr>
        <w:t xml:space="preserve"> </w:t>
      </w:r>
      <w:r w:rsidRPr="00562EB5">
        <w:rPr>
          <w:rFonts w:eastAsia="MS Mincho" w:cs="Times New Roman"/>
          <w:szCs w:val="24"/>
        </w:rPr>
        <w:fldChar w:fldCharType="begin"/>
      </w:r>
      <w:r w:rsidR="009D57F3">
        <w:rPr>
          <w:rFonts w:eastAsia="MS Mincho" w:cs="Times New Roman"/>
          <w:szCs w:val="24"/>
        </w:rPr>
        <w:instrText xml:space="preserve"> ADDIN ZOTERO_ITEM CSL_CITATION {"citationID":"12chb36vfc","properties":{"formattedCitation":"{\\rtf \\super 3\\nosupersub{}}","plainCitation":"3"},"citationItems":[{"id":4492,"uris":["http://zotero.org/users/150865/items/XNFC9IZ5"],"uri":["http://zotero.org/users/150865/items/XNFC9IZ5"],"itemData":{"id":4492,"type":"article-journal","title":"Signatures of mutational processes in human cancer","container-title":"Nature","page":"415-421","volume":"500","issue":"7463","source":"www.nature.com","abstract":"All cancers are caused by somatic mutations; however, understanding of the biological processes generating these mutations is limited. The catalogue of somatic mutations from a cancer genome bears the signatures of the mutational processes that have been operative. Here we analysed 4,938,362 mutations from 7,042 cancers and extracted more than 20 distinct mutational signatures. Some are present in many cancer types, notably a signature attributed to the APOBEC family of cytidine deaminases, whereas others are confined to a single cancer class. Certain signatures are associated with age of the patient at cancer diagnosis, known mutagenic exposures or defects in DNA maintenance, but many are of cryptic origin. In addition to these genome-wide mutational signatures, hypermutation localized to small genomic regions, ‘kataegis’, is found in many cancer types. The results reveal the diversity of mutational processes underlying the development of cancer, with potential implications for understanding of cancer aetiology, prevention and therapy.","DOI":"10.1038/nature12477","ISSN":"0028-0836","journalAbbreviation":"Nature","language":"en","author":[{"family":"Alexandrov","given":"Ludmil B."},{"family":"Nik-Zainal","given":"Serena"},{"family":"Wedge","given":"David C."},{"family":"Aparicio","given":"Samuel A. J. R."},{"family":"Behjati","given":"Sam"},{"family":"Biankin","given":"Andrew V."},{"family":"Bignell","given":"Graham R."},{"family":"Bolli","given":"Niccolò"},{"family":"Borg","given":"Ake"},{"family":"Børresen-Dale","given":"Anne-Lise"},{"family":"Boyault","given":"Sandrine"},{"family":"Burkhardt","given":"Birgit"},{"family":"Butler","given":"Adam P."},{"family":"Caldas","given":"Carlos"},{"family":"Davies","given":"Helen R."},{"family":"Desmedt","given":"Christine"},{"family":"Eils","given":"Roland"},{"family":"Eyfjörd","given":"Jórunn Erla"},{"family":"Foekens","given":"John A."},{"family":"Greaves","given":"Mel"},{"family":"Hosoda","given":"Fumie"},{"family":"Hutter","given":"Barbara"},{"family":"Ilicic","given":"Tomislav"},{"family":"Imbeaud","given":"Sandrine"},{"family":"Imielinsk","given":"Marcin"},{"family":"Jäger","given":"Natalie"},{"family":"Jones","given":"David T. W."},{"family":"Jones","given":"David"},{"family":"Knappskog","given":"Stian"},{"family":"Kool","given":"Marcel"},{"family":"Lakhani","given":"Sunil R."},{"family":"López-Otín","given":"Carlos"},{"family":"Martin","given":"Sancha"},{"family":"Munshi","given":"Nikhil C."},{"family":"Nakamura","given":"Hiromi"},{"family":"Northcott","given":"Paul A."},{"family":"Pajic","given":"Marina"},{"family":"Papaemmanuil","given":"Elli"},{"family":"Paradiso","given":"Angelo"},{"family":"Pearson","given":"John V."},{"family":"Puente","given":"Xose S."},{"family":"Raine","given":"Keiran"},{"family":"Ramakrishna","given":"Manasa"},{"family":"Richardson","given":"Andrea L."},{"family":"Richter","given":"Julia"},{"family":"Rosenstiel","given":"Philip"},{"family":"Schlesner","given":"Matthias"},{"family":"Schumacher","given":"Ton N."},{"family":"Span","given":"Paul N."},{"family":"Teague","given":"Jon W."},{"family":"Totoki","given":"Yasushi"},{"family":"Tutt","given":"Andrew N. J."},{"family":"Valdés-Mas","given":"Rafael"},{"family":"Buuren","given":"Marit M.","non-dropping-particle":"van"},{"family":"Veer","given":"Laura","dropping-particle":"van ’t"},{"family":"Vincent-Salomon","given":"Anne"},{"family":"Waddell","given":"Nicola"},{"family":"Yates","given":"Lucy R."},{"literal":"Australian Pancreatic Cancer Genome Initiative"},{"literal":"ICGC Breast Cancer Consortium"},{"literal":"ICGC MMML-Seq Consortium"},{"literal":"Icgc PedBrain"},{"family":"Zucman-Rossi","given":"Jessica"},{"family":"Andrew Futreal","given":"P."},{"family":"McDermott","given":"Ultan"},{"family":"Lichter","given":"Peter"},{"family":"Meyerson","given":"Matthew"},{"family":"Grimmond","given":"Sean M."},{"family":"Siebert","given":"Reiner"},{"family":"Campo","given":"Elías"},{"family":"Shibata","given":"Tatsuhiro"},{"family":"Pfister","given":"Stefan M."},{"family":"Campbell","given":"Peter J."},{"family":"Stratton","given":"Michael R."}],"issued":{"date-parts":[["2013",8,22]]}}}],"schema":"https://github.com/citation-style-language/schema/raw/master/csl-citation.json"} </w:instrText>
      </w:r>
      <w:r w:rsidRPr="00562EB5">
        <w:rPr>
          <w:rFonts w:eastAsia="MS Mincho" w:cs="Times New Roman"/>
          <w:szCs w:val="24"/>
        </w:rPr>
        <w:fldChar w:fldCharType="separate"/>
      </w:r>
      <w:r w:rsidR="009D57F3" w:rsidRPr="009D57F3">
        <w:rPr>
          <w:rFonts w:ascii="Calibri" w:hAnsi="Calibri" w:cs="Times New Roman"/>
          <w:szCs w:val="24"/>
          <w:vertAlign w:val="superscript"/>
        </w:rPr>
        <w:t>3</w:t>
      </w:r>
      <w:r w:rsidRPr="00562EB5">
        <w:rPr>
          <w:rFonts w:eastAsia="MS Mincho" w:cs="Times New Roman"/>
          <w:szCs w:val="24"/>
        </w:rPr>
        <w:fldChar w:fldCharType="end"/>
      </w:r>
      <w:r>
        <w:rPr>
          <w:rFonts w:eastAsia="MS Mincho" w:cs="Times New Roman"/>
          <w:szCs w:val="24"/>
        </w:rPr>
        <w:t xml:space="preserve"> and expression of cancer-testis antigens is significantly rarer</w:t>
      </w:r>
      <w:r w:rsidR="009D57F3">
        <w:rPr>
          <w:rFonts w:eastAsia="MS Mincho" w:cs="Times New Roman"/>
          <w:szCs w:val="24"/>
        </w:rPr>
        <w:t>.</w:t>
      </w:r>
      <w:r>
        <w:rPr>
          <w:rFonts w:eastAsia="MS Mincho" w:cs="Times New Roman"/>
          <w:szCs w:val="24"/>
        </w:rPr>
        <w:t xml:space="preserve"> </w:t>
      </w:r>
      <w:r>
        <w:rPr>
          <w:rFonts w:eastAsia="MS Mincho" w:cs="Times New Roman"/>
          <w:szCs w:val="24"/>
        </w:rPr>
        <w:fldChar w:fldCharType="begin"/>
      </w:r>
      <w:r w:rsidR="009D57F3">
        <w:rPr>
          <w:rFonts w:eastAsia="MS Mincho" w:cs="Times New Roman"/>
          <w:szCs w:val="24"/>
        </w:rPr>
        <w:instrText xml:space="preserve"> ADDIN ZOTERO_ITEM CSL_CITATION {"citationID":"CQzOuHhr","properties":{"formattedCitation":"{\\rtf \\super 19\\nosupersub{}}","plainCitation":"19"},"citationItems":[{"id":4666,"uris":["http://zotero.org/users/150865/items/7XCUJXKE"],"uri":["http://zotero.org/users/150865/items/7XCUJXKE"],"itemData":{"id":4666,"type":"article-journal","title":"Expression of cancer-testis antigens (MAGE-A1, MAGE-A3/6, MAGE-A4, MAGE-C1 and NY-ESO-1) in primary human uveal and conjunctival melanoma","container-title":"British Journal of Ophthalmology","page":"451-458","volume":"96","issue":"3","source":"bjo.bmj.com","DOI":"10.1136/bjophthalmol-2011-300432","ISSN":", 1468-2079","note":"PMID: 22190731","journalAbbreviation":"Br J Ophthalmol","language":"en","author":[{"family":"Errington","given":"J. A."},{"family":"Conway","given":"R. M."},{"family":"Walsh-Conway","given":"N."},{"family":"Browning","given":"J."},{"family":"Freyer","given":"C."},{"family":"Cebon","given":"J."},{"family":"Madigan","given":"M. C."}],"issued":{"date-parts":[["2012",1,3]]},"PMID":"22190731"}}],"schema":"https://github.com/citation-style-language/schema/raw/master/csl-citation.json"} </w:instrText>
      </w:r>
      <w:r>
        <w:rPr>
          <w:rFonts w:eastAsia="MS Mincho" w:cs="Times New Roman"/>
          <w:szCs w:val="24"/>
        </w:rPr>
        <w:fldChar w:fldCharType="separate"/>
      </w:r>
      <w:r w:rsidR="009D57F3" w:rsidRPr="009D57F3">
        <w:rPr>
          <w:rFonts w:ascii="Calibri" w:hAnsi="Calibri" w:cs="Times New Roman"/>
          <w:szCs w:val="24"/>
          <w:vertAlign w:val="superscript"/>
        </w:rPr>
        <w:t>19</w:t>
      </w:r>
      <w:r>
        <w:rPr>
          <w:rFonts w:eastAsia="MS Mincho" w:cs="Times New Roman"/>
          <w:szCs w:val="24"/>
        </w:rPr>
        <w:fldChar w:fldCharType="end"/>
      </w:r>
      <w:r w:rsidRPr="00562EB5">
        <w:rPr>
          <w:rFonts w:eastAsia="MS Mincho" w:cs="Times New Roman"/>
          <w:szCs w:val="24"/>
        </w:rPr>
        <w:t xml:space="preserve"> </w:t>
      </w:r>
      <w:r w:rsidR="00975E4E">
        <w:rPr>
          <w:rFonts w:eastAsia="MS Mincho" w:cs="Times New Roman"/>
          <w:szCs w:val="24"/>
        </w:rPr>
        <w:t>Consequently</w:t>
      </w:r>
      <w:r w:rsidRPr="00562EB5">
        <w:rPr>
          <w:rFonts w:eastAsia="MS Mincho" w:cs="Times New Roman"/>
          <w:szCs w:val="24"/>
        </w:rPr>
        <w:t xml:space="preserve"> the number and quality of </w:t>
      </w:r>
      <w:r>
        <w:rPr>
          <w:rFonts w:eastAsia="MS Mincho" w:cs="Times New Roman"/>
          <w:szCs w:val="24"/>
        </w:rPr>
        <w:t>(</w:t>
      </w:r>
      <w:r w:rsidRPr="00562EB5">
        <w:rPr>
          <w:rFonts w:eastAsia="MS Mincho" w:cs="Times New Roman"/>
          <w:szCs w:val="24"/>
        </w:rPr>
        <w:t>ne</w:t>
      </w:r>
      <w:r>
        <w:rPr>
          <w:rFonts w:eastAsia="MS Mincho" w:cs="Times New Roman"/>
          <w:szCs w:val="24"/>
        </w:rPr>
        <w:t>o-)</w:t>
      </w:r>
      <w:r w:rsidRPr="00562EB5">
        <w:rPr>
          <w:rFonts w:eastAsia="MS Mincho" w:cs="Times New Roman"/>
          <w:szCs w:val="24"/>
        </w:rPr>
        <w:t xml:space="preserve">antigens presented to the immune system </w:t>
      </w:r>
      <w:r w:rsidR="00975E4E">
        <w:rPr>
          <w:rFonts w:eastAsia="MS Mincho" w:cs="Times New Roman"/>
          <w:szCs w:val="24"/>
        </w:rPr>
        <w:t>is</w:t>
      </w:r>
      <w:r w:rsidRPr="00562EB5">
        <w:rPr>
          <w:rFonts w:eastAsia="MS Mincho" w:cs="Times New Roman"/>
          <w:szCs w:val="24"/>
        </w:rPr>
        <w:t xml:space="preserve"> likely to be different</w:t>
      </w:r>
      <w:r>
        <w:rPr>
          <w:rFonts w:eastAsia="MS Mincho" w:cs="Times New Roman"/>
          <w:szCs w:val="24"/>
        </w:rPr>
        <w:t>.</w:t>
      </w:r>
      <w:r w:rsidRPr="00562EB5">
        <w:rPr>
          <w:rFonts w:eastAsia="MS Mincho" w:cs="Times New Roman"/>
          <w:szCs w:val="24"/>
        </w:rPr>
        <w:t xml:space="preserve"> </w:t>
      </w:r>
      <w:r w:rsidRPr="00BA47AB">
        <w:rPr>
          <w:rFonts w:eastAsia="MS Mincho" w:cs="Times New Roman"/>
          <w:szCs w:val="24"/>
        </w:rPr>
        <w:t xml:space="preserve">Additionally UM may rely on different immune escape mechanisms most clearly evidenced by the </w:t>
      </w:r>
      <w:r w:rsidR="00885C95">
        <w:rPr>
          <w:rFonts w:eastAsia="MS Mincho" w:cs="Times New Roman"/>
          <w:szCs w:val="24"/>
        </w:rPr>
        <w:t>observation</w:t>
      </w:r>
      <w:r w:rsidR="00885C95" w:rsidRPr="00BA47AB">
        <w:rPr>
          <w:rFonts w:eastAsia="MS Mincho" w:cs="Times New Roman"/>
          <w:szCs w:val="24"/>
        </w:rPr>
        <w:t xml:space="preserve"> </w:t>
      </w:r>
      <w:r w:rsidRPr="00BA47AB">
        <w:rPr>
          <w:rFonts w:eastAsia="MS Mincho" w:cs="Times New Roman"/>
          <w:szCs w:val="24"/>
        </w:rPr>
        <w:t>that higher numbers of infiltrating T-cells in the primary are linked to a worse outcome</w:t>
      </w:r>
      <w:r w:rsidR="009D57F3">
        <w:rPr>
          <w:rFonts w:eastAsia="MS Mincho" w:cs="Times New Roman"/>
          <w:szCs w:val="24"/>
        </w:rPr>
        <w:t>.</w:t>
      </w:r>
      <w:r>
        <w:rPr>
          <w:rFonts w:eastAsia="MS Mincho" w:cs="Times New Roman"/>
          <w:szCs w:val="24"/>
        </w:rPr>
        <w:t xml:space="preserve"> </w:t>
      </w:r>
      <w:r>
        <w:rPr>
          <w:rFonts w:eastAsia="MS Mincho" w:cs="Times New Roman"/>
          <w:szCs w:val="24"/>
        </w:rPr>
        <w:fldChar w:fldCharType="begin"/>
      </w:r>
      <w:r w:rsidR="009D57F3">
        <w:rPr>
          <w:rFonts w:eastAsia="MS Mincho" w:cs="Times New Roman"/>
          <w:szCs w:val="24"/>
        </w:rPr>
        <w:instrText xml:space="preserve"> ADDIN ZOTERO_ITEM CSL_CITATION {"citationID":"elO5k4Kn","properties":{"formattedCitation":"{\\rtf \\super 20\\nosupersub{}}","plainCitation":"20"},"citationItems":[{"id":4681,"uris":["http://zotero.org/users/150865/items/HR46GCQ9"],"uri":["http://zotero.org/users/150865/items/HR46GCQ9"],"itemData":{"id":4681,"type":"article-journal","title":"Lymphocytic infiltration in uveal malignant melanoma","container-title":"Cancer","page":"112-115","volume":"65","issue":"1","source":"Wiley Online Library","abstract":"A study relating the intralesional infiltration of lymphocytes and plasma cells to patient survival was performed on cases of uveal malignant melanoma accessed at the Armed Forces Institute of Pathology, Washington, DC (AFIP) between 1954 and 1971. The authors examined 1193 cases using light microscopy. Of the 1078 cases with technically acceptable histologic sections, 134 tumors contained 100 or more lymphocytes per 20 high-power (X400) microscopic fields (20 HPF). The prevalence was 12.4%. This was designated the “high lymphocytic” group. An equivalent number of cases with fewer lymphocytes comprised the “low lymphocytic” group. The survival rate at 15 years was 36.7% for patients in the high lymphocytic group and 69.6% for patients in the low lymphocytic group. Using the Cox model, the authors found that an increased number of lymphocytes per 20 HPF was significantly associated with decreased survival (chi-square = 21.2, P = &lt;0.0001). A significant association was observed even when we controlled for other risk factors (chi-square = 6.98, P = 0.008).","DOI":"10.1002/1097-0142(19900101)65:1&lt;112::AID-CNCR2820650123&gt;3.0.CO;2-X","ISSN":"1097-0142","journalAbbreviation":"Cancer","language":"en","author":[{"family":"De Cruz","given":"Panfilo O. La"},{"family":"Specht","given":"Charles S."},{"family":"McLean","given":"Ian W."}],"issued":{"date-parts":[["1990",1,1]]}}}],"schema":"https://github.com/citation-style-language/schema/raw/master/csl-citation.json"} </w:instrText>
      </w:r>
      <w:r>
        <w:rPr>
          <w:rFonts w:eastAsia="MS Mincho" w:cs="Times New Roman"/>
          <w:szCs w:val="24"/>
        </w:rPr>
        <w:fldChar w:fldCharType="separate"/>
      </w:r>
      <w:r w:rsidR="009D57F3" w:rsidRPr="009D57F3">
        <w:rPr>
          <w:rFonts w:ascii="Calibri" w:hAnsi="Calibri" w:cs="Times New Roman"/>
          <w:szCs w:val="24"/>
          <w:vertAlign w:val="superscript"/>
        </w:rPr>
        <w:t>20</w:t>
      </w:r>
      <w:r>
        <w:rPr>
          <w:rFonts w:eastAsia="MS Mincho" w:cs="Times New Roman"/>
          <w:szCs w:val="24"/>
        </w:rPr>
        <w:fldChar w:fldCharType="end"/>
      </w:r>
    </w:p>
    <w:p w14:paraId="55B2BEA0" w14:textId="77777777" w:rsidR="001A3926" w:rsidRPr="001A3926" w:rsidRDefault="001A3926" w:rsidP="00B75DB1">
      <w:pPr>
        <w:spacing w:after="0" w:line="480" w:lineRule="auto"/>
        <w:jc w:val="both"/>
        <w:rPr>
          <w:rFonts w:eastAsia="MS Mincho" w:cs="Times New Roman"/>
          <w:szCs w:val="24"/>
        </w:rPr>
      </w:pPr>
    </w:p>
    <w:p w14:paraId="3B739FC2" w14:textId="044FD1F0" w:rsidR="00A72480" w:rsidRPr="00CD7ECF" w:rsidRDefault="00A72480" w:rsidP="00B75DB1">
      <w:pPr>
        <w:spacing w:line="480" w:lineRule="auto"/>
        <w:jc w:val="both"/>
      </w:pPr>
      <w:r w:rsidRPr="00CD7ECF">
        <w:t xml:space="preserve">Very little information exists in the public domain regarding the efficacy of anti-PD1 agents in </w:t>
      </w:r>
      <w:r w:rsidR="00330E5B">
        <w:t>UM</w:t>
      </w:r>
      <w:r w:rsidRPr="00CD7ECF">
        <w:t>; the largest case series reported co</w:t>
      </w:r>
      <w:r w:rsidR="008916AE" w:rsidRPr="00CD7ECF">
        <w:t xml:space="preserve">nsists </w:t>
      </w:r>
      <w:r w:rsidRPr="00CD7ECF">
        <w:t>of data from 7 patients who received pembrolizumab</w:t>
      </w:r>
      <w:r w:rsidR="009D57F3">
        <w:t>.</w:t>
      </w:r>
      <w:r w:rsidR="002C67CA">
        <w:t xml:space="preserve"> </w:t>
      </w:r>
      <w:r w:rsidR="003E1781" w:rsidRPr="00CD7ECF">
        <w:fldChar w:fldCharType="begin"/>
      </w:r>
      <w:r w:rsidR="009D57F3">
        <w:instrText xml:space="preserve"> ADDIN ZOTERO_ITEM CSL_CITATION {"citationID":"2gfesjn0o9","properties":{"formattedCitation":"{\\rtf \\super 21\\nosupersub{}}","plainCitation":"21"},"citationItems":[{"id":4565,"uris":["http://zotero.org/users/150865/items/KRGJUT3Z"],"uri":["http://zotero.org/users/150865/items/KRGJUT3Z"],"itemData":{"id":4565,"type":"article-journal","title":"The use of pembrolizumab for the treatment of metastatic uveal melanoma.","container-title":"ASCO Meeting Abstracts","page":"9010","volume":"33","issue":"15_suppl","source":"meeting.ascopubs.org","author":[{"family":"Kottschade","given":"Lisa A."},{"family":"McWilliams","given":"Robert R."},{"family":"Markovic","given":"Svetomir"},{"family":"Block","given":"Matthew Stephen"},{"family":"Villasboas Bisneto","given":"Jose"},{"family":"Pham","given":"Anthony QuocAnh"},{"family":"Dronca","given":"Roxana Stefania"}],"issued":{"date-parts":[["2015",5,20]]}}}],"schema":"https://github.com/citation-style-language/schema/raw/master/csl-citation.json"} </w:instrText>
      </w:r>
      <w:r w:rsidR="003E1781" w:rsidRPr="00CD7ECF">
        <w:fldChar w:fldCharType="separate"/>
      </w:r>
      <w:r w:rsidR="009D57F3" w:rsidRPr="009D57F3">
        <w:rPr>
          <w:rFonts w:ascii="Calibri" w:hAnsi="Calibri" w:cs="Times New Roman"/>
          <w:szCs w:val="24"/>
          <w:vertAlign w:val="superscript"/>
        </w:rPr>
        <w:t>21</w:t>
      </w:r>
      <w:r w:rsidR="003E1781" w:rsidRPr="00CD7ECF">
        <w:fldChar w:fldCharType="end"/>
      </w:r>
      <w:r w:rsidRPr="00CD7ECF">
        <w:t xml:space="preserve"> We herein report a </w:t>
      </w:r>
      <w:r w:rsidR="00FD2494">
        <w:t>two</w:t>
      </w:r>
      <w:r w:rsidR="00FD2494" w:rsidRPr="00CD7ECF">
        <w:t xml:space="preserve"> </w:t>
      </w:r>
      <w:r w:rsidRPr="00CD7ECF">
        <w:t xml:space="preserve">centre experience of </w:t>
      </w:r>
      <w:r w:rsidR="00FD2494">
        <w:t>25</w:t>
      </w:r>
      <w:r w:rsidR="00FD2494" w:rsidRPr="00CD7ECF">
        <w:t xml:space="preserve"> </w:t>
      </w:r>
      <w:r w:rsidRPr="00CD7ECF">
        <w:t xml:space="preserve">patients who have received pembrolizumab in </w:t>
      </w:r>
      <w:r w:rsidR="003E1781" w:rsidRPr="00CD7ECF">
        <w:t>in the UK</w:t>
      </w:r>
      <w:r w:rsidRPr="00CD7ECF">
        <w:t xml:space="preserve"> E</w:t>
      </w:r>
      <w:r w:rsidR="003E1781" w:rsidRPr="00CD7ECF">
        <w:t>xpanded Access Programme (</w:t>
      </w:r>
      <w:r w:rsidR="00D443FE">
        <w:t>“</w:t>
      </w:r>
      <w:r w:rsidR="003E1781" w:rsidRPr="00CD7ECF">
        <w:t>E</w:t>
      </w:r>
      <w:r w:rsidRPr="00CD7ECF">
        <w:t>AP</w:t>
      </w:r>
      <w:r w:rsidR="00D443FE">
        <w:t>”</w:t>
      </w:r>
      <w:r w:rsidR="003E1781" w:rsidRPr="00CD7ECF">
        <w:t>)</w:t>
      </w:r>
      <w:r w:rsidRPr="00CD7ECF">
        <w:t>.</w:t>
      </w:r>
    </w:p>
    <w:p w14:paraId="44D1B0EB" w14:textId="77777777" w:rsidR="00A72480" w:rsidRDefault="00A72480" w:rsidP="00B75DB1">
      <w:pPr>
        <w:spacing w:line="480" w:lineRule="auto"/>
        <w:jc w:val="both"/>
      </w:pPr>
      <w:r>
        <w:br w:type="page"/>
      </w:r>
    </w:p>
    <w:p w14:paraId="19ECCEA4" w14:textId="18606364" w:rsidR="00A72480" w:rsidRPr="00562EB5" w:rsidRDefault="00A72480" w:rsidP="00B75DB1">
      <w:pPr>
        <w:spacing w:line="480" w:lineRule="auto"/>
        <w:jc w:val="both"/>
        <w:rPr>
          <w:b/>
          <w:sz w:val="28"/>
        </w:rPr>
      </w:pPr>
      <w:r w:rsidRPr="00562EB5">
        <w:rPr>
          <w:b/>
          <w:sz w:val="28"/>
        </w:rPr>
        <w:lastRenderedPageBreak/>
        <w:t>Patients and treatments</w:t>
      </w:r>
    </w:p>
    <w:p w14:paraId="64690E40" w14:textId="77777777" w:rsidR="00A72480" w:rsidRPr="0019069B" w:rsidRDefault="00A72480" w:rsidP="00B75DB1">
      <w:pPr>
        <w:spacing w:line="480" w:lineRule="auto"/>
        <w:jc w:val="both"/>
        <w:rPr>
          <w:b/>
        </w:rPr>
      </w:pPr>
      <w:r w:rsidRPr="0019069B">
        <w:rPr>
          <w:b/>
        </w:rPr>
        <w:t>Patient Eligibility</w:t>
      </w:r>
    </w:p>
    <w:p w14:paraId="2D54A729" w14:textId="5CEAECFF" w:rsidR="00A72480" w:rsidRDefault="00D93D0B" w:rsidP="00B75DB1">
      <w:pPr>
        <w:spacing w:line="480" w:lineRule="auto"/>
        <w:jc w:val="both"/>
      </w:pPr>
      <w:r>
        <w:t>Patients treated in the p</w:t>
      </w:r>
      <w:r w:rsidR="00A72480">
        <w:t xml:space="preserve">embrolizumab </w:t>
      </w:r>
      <w:r w:rsidR="00430F1D">
        <w:t>E</w:t>
      </w:r>
      <w:r w:rsidR="003E1781">
        <w:t>AP</w:t>
      </w:r>
      <w:r w:rsidR="00A72480">
        <w:t xml:space="preserve"> in </w:t>
      </w:r>
      <w:r w:rsidR="003E1781">
        <w:t>our institution</w:t>
      </w:r>
      <w:r w:rsidR="00FD2494">
        <w:t>s</w:t>
      </w:r>
      <w:r w:rsidR="003E1781">
        <w:t xml:space="preserve"> </w:t>
      </w:r>
      <w:r w:rsidR="00A72480">
        <w:t xml:space="preserve">with a diagnosis of metastatic </w:t>
      </w:r>
      <w:r w:rsidR="00430F1D">
        <w:t>UM</w:t>
      </w:r>
      <w:r w:rsidR="00A72480">
        <w:t xml:space="preserve"> were included in this retrospective study. All subjects </w:t>
      </w:r>
      <w:r w:rsidR="00430F1D">
        <w:t>had</w:t>
      </w:r>
      <w:r w:rsidR="00A72480">
        <w:t xml:space="preserve"> received previous ipilimumab and a BR</w:t>
      </w:r>
      <w:r w:rsidR="00C93F08">
        <w:t>AF</w:t>
      </w:r>
      <w:r w:rsidR="00A72480">
        <w:t xml:space="preserve"> inhibitor if eligible. Resolution of adverse events (“AEs”) due to previous cancer therapy to grade 0 or 1 was required.  Additional previous immunotherapies were allowed as long as no severe or life threatening immune-related AEs (“irAEs”) were experienced and there was no ongoing requirement for systemic steroids for the management of </w:t>
      </w:r>
      <w:r w:rsidR="00BE1CEC">
        <w:t xml:space="preserve">irAEs. </w:t>
      </w:r>
    </w:p>
    <w:p w14:paraId="239D97AE" w14:textId="7C26C03E" w:rsidR="00A72480" w:rsidRDefault="00430F1D" w:rsidP="00B75DB1">
      <w:pPr>
        <w:spacing w:line="480" w:lineRule="auto"/>
        <w:jc w:val="both"/>
      </w:pPr>
      <w:r w:rsidRPr="00430F1D">
        <w:t xml:space="preserve">Eastern Cooperative Oncology Group </w:t>
      </w:r>
      <w:r w:rsidR="00A72480">
        <w:t>performance status</w:t>
      </w:r>
      <w:r w:rsidR="00D443FE">
        <w:t xml:space="preserve"> (“PS”)</w:t>
      </w:r>
      <w:r w:rsidR="00A72480">
        <w:t xml:space="preserve"> 0</w:t>
      </w:r>
      <w:r>
        <w:t>/</w:t>
      </w:r>
      <w:r w:rsidR="00A72480">
        <w:t xml:space="preserve">1 was mandated as well as a minimum age of 12. Inclusion criteria included AST and ALT ≤2.5 X </w:t>
      </w:r>
      <w:r w:rsidR="00D443FE">
        <w:t>upper limit of normal (“</w:t>
      </w:r>
      <w:r w:rsidR="00A72480">
        <w:t>ULN</w:t>
      </w:r>
      <w:r w:rsidR="00D443FE">
        <w:t>”)</w:t>
      </w:r>
      <w:r w:rsidR="00A72480">
        <w:t xml:space="preserve"> or ≤5 X ULN with liver metastases, serum total bilirubin ≤1.5 X ULN or direct bilirubin ≤ULN for patients with total bilirubin level &gt;1.5 ULN. Patients with a history of clinically severe autoimmune diseases, pneumonitis, organ transplant, HIV or active Hepatitis B or C infections and active central nervous system metastases were also excluded. Concomitant systemic antineoplastic therapies were not allowed. </w:t>
      </w:r>
    </w:p>
    <w:p w14:paraId="6FD0A222" w14:textId="77777777" w:rsidR="00A72480" w:rsidRPr="0019069B" w:rsidRDefault="00A72480" w:rsidP="00B75DB1">
      <w:pPr>
        <w:spacing w:line="480" w:lineRule="auto"/>
        <w:jc w:val="both"/>
        <w:rPr>
          <w:b/>
        </w:rPr>
      </w:pPr>
      <w:r w:rsidRPr="0019069B">
        <w:rPr>
          <w:b/>
        </w:rPr>
        <w:t>Treatment</w:t>
      </w:r>
    </w:p>
    <w:p w14:paraId="31E8EDD6" w14:textId="6CA382A7" w:rsidR="00A72480" w:rsidRDefault="00A72480" w:rsidP="00B75DB1">
      <w:pPr>
        <w:spacing w:line="480" w:lineRule="auto"/>
        <w:jc w:val="both"/>
      </w:pPr>
      <w:r>
        <w:t>Pembrolizumab was administered at 2 mg/kg in 3</w:t>
      </w:r>
      <w:r w:rsidR="00885C95">
        <w:t>-</w:t>
      </w:r>
      <w:r>
        <w:t xml:space="preserve">weekly </w:t>
      </w:r>
      <w:r w:rsidR="00B97CC4">
        <w:t>intervals until progression by immune-r</w:t>
      </w:r>
      <w:r>
        <w:t>ela</w:t>
      </w:r>
      <w:r w:rsidR="00B97CC4">
        <w:t>ted Response Criteria</w:t>
      </w:r>
      <w:r w:rsidR="002C67CA">
        <w:t xml:space="preserve"> </w:t>
      </w:r>
      <w:r w:rsidR="00B97CC4">
        <w:fldChar w:fldCharType="begin"/>
      </w:r>
      <w:r w:rsidR="009D57F3">
        <w:instrText xml:space="preserve"> ADDIN ZOTERO_ITEM CSL_CITATION {"citationID":"1jbcnvv2fg","properties":{"formattedCitation":"{\\rtf \\super 22\\nosupersub{}}","plainCitation":"22"},"citationItems":[{"id":4567,"uris":["http://zotero.org/users/150865/items/PSXENEX3"],"uri":["http://zotero.org/users/150865/items/PSXENEX3"],"itemData":{"id":4567,"type":"article-journal","title":"Guidelines for the Evaluation of Immune Therapy Activity in Solid Tumors: Immune-Related Response Criteria","container-title":"Clinical Cancer Research","page":"7412-7420","volume":"15","issue":"23","source":"clincancerres.aacrjournals.org","abstract":"Purpose: Immunotherapeutic agents produce antitumor effects by inducing cancer-specific immune responses or by modifying native immune processes. Resulting clinical response patterns extend beyond those of cytotoxic agents and can manifest after an initial increase in tumor burden or the appearance of new lesions (progressive disease). Response Evaluation Criteria in Solid Tumors or WHO criteria, designed to detect early effects of cytotoxic agents, may not provide a complete assessment of immunotherapeutic agents. Novel criteria for the evaluation of antitumor responses with immunotherapeutic agents are required.\nExperimental Design: The phase II clinical trial program with ipilimumab, an antibody that blocks CTL antigen-4, represents the most comprehensive data set available to date for an immunotherapeutic agent. Novel immune therapy response criteria proposed, based on the shared experience from community workshops and several investigators, were evaluated using data from ipilimumab phase II clinical trials in patients with advanced melanoma.\nResults: Ipilimumab monotherapy resulted in four distinct response patterns: (a) shrinkage in baseline lesions, without new lesions; (b) durable stable disease (in some patients followed by a slow, steady decline in total tumor burden); (c) response after an increase in total tumor burden; and (d) response in the presence of new lesions. All patterns were associated with favorable survival.\nConclusion: Systematic criteria, designated immune-related response criteria, were defined in an attempt to capture additional response patterns observed with immune therapy in advanced melanoma beyond those described by Response Evaluation Criteria in Solid Tumors or WHO criteria. Further prospective evaluations of the immune-related response criteria, particularly their association with overall survival, are warranted. (Clin Cancer Res 2009;15(23):7412–20)","DOI":"10.1158/1078-0432.CCR-09-1624","ISSN":"1078-0432, 1557-3265","note":"PMID: 19934295","shortTitle":"Guidelines for the Evaluation of Immune Therapy Activity in Solid Tumors","journalAbbreviation":"Clin Cancer Res","language":"en","author":[{"family":"Wolchok","given":"Jedd D."},{"family":"Hoos","given":"Axel"},{"family":"O'Day","given":"Steven"},{"family":"Weber","given":"Jeffrey S."},{"family":"Hamid","given":"Omid"},{"family":"Lebbé","given":"Celeste"},{"family":"Maio","given":"Michele"},{"family":"Binder","given":"Michael"},{"family":"Bohnsack","given":"Oliver"},{"family":"Nichol","given":"Geoffrey"},{"family":"Humphrey","given":"Rachel"},{"family":"Hodi","given":"F. Stephen"}],"issued":{"date-parts":[["2009",1,12]]},"PMID":"19934295"}}],"schema":"https://github.com/citation-style-language/schema/raw/master/csl-citation.json"} </w:instrText>
      </w:r>
      <w:r w:rsidR="00B97CC4">
        <w:fldChar w:fldCharType="separate"/>
      </w:r>
      <w:r w:rsidR="009D57F3" w:rsidRPr="009D57F3">
        <w:rPr>
          <w:rFonts w:ascii="Calibri" w:hAnsi="Calibri" w:cs="Times New Roman"/>
          <w:szCs w:val="24"/>
          <w:vertAlign w:val="superscript"/>
        </w:rPr>
        <w:t>22</w:t>
      </w:r>
      <w:r w:rsidR="00B97CC4">
        <w:fldChar w:fldCharType="end"/>
      </w:r>
      <w:r w:rsidR="002C67CA">
        <w:t xml:space="preserve"> </w:t>
      </w:r>
      <w:r w:rsidR="00B97CC4">
        <w:t>(“</w:t>
      </w:r>
      <w:r w:rsidR="00E46158">
        <w:t>irRC”),</w:t>
      </w:r>
      <w:r w:rsidR="00B97CC4">
        <w:t xml:space="preserve"> </w:t>
      </w:r>
      <w:r>
        <w:t xml:space="preserve">complete response, unacceptable toxicity or for up to 2 years. Frequency of radiological tumour assessment was as per standard of care, typically with body CT scans every 2-3 months and liver MRIs to optimally monitor liver disease. Blood samples were taken </w:t>
      </w:r>
      <w:r w:rsidR="00430F1D">
        <w:t xml:space="preserve">before </w:t>
      </w:r>
      <w:r>
        <w:t xml:space="preserve">each infusion to allow assessment of renal, liver, thyroid and bone marrow function for safety and toxicity monitoring. Adverse events were scored using Common Terminology Criteria for Adverse Events </w:t>
      </w:r>
      <w:r w:rsidR="00B97CC4">
        <w:t>version 4.03.</w:t>
      </w:r>
    </w:p>
    <w:p w14:paraId="4FF8EB68" w14:textId="77777777" w:rsidR="00A72480" w:rsidRPr="0019069B" w:rsidRDefault="00A72480" w:rsidP="00B75DB1">
      <w:pPr>
        <w:spacing w:line="480" w:lineRule="auto"/>
        <w:jc w:val="both"/>
        <w:rPr>
          <w:b/>
        </w:rPr>
      </w:pPr>
      <w:r w:rsidRPr="0019069B">
        <w:rPr>
          <w:b/>
        </w:rPr>
        <w:t>Response Evaluation</w:t>
      </w:r>
    </w:p>
    <w:p w14:paraId="1B6BC542" w14:textId="5269D5C9" w:rsidR="00A72480" w:rsidRDefault="00A72480" w:rsidP="00B75DB1">
      <w:pPr>
        <w:spacing w:line="480" w:lineRule="auto"/>
        <w:jc w:val="both"/>
      </w:pPr>
      <w:r w:rsidRPr="001410C2">
        <w:lastRenderedPageBreak/>
        <w:t xml:space="preserve">Tumour response </w:t>
      </w:r>
      <w:r>
        <w:t>was evaluated using the following radiological scoring systems: RECIST 1.1</w:t>
      </w:r>
      <w:r w:rsidR="002C67CA">
        <w:t xml:space="preserve"> </w:t>
      </w:r>
      <w:r w:rsidR="00B97CC4">
        <w:fldChar w:fldCharType="begin"/>
      </w:r>
      <w:r w:rsidR="009D57F3">
        <w:instrText xml:space="preserve"> ADDIN ZOTERO_ITEM CSL_CITATION {"citationID":"1niu7angl4","properties":{"formattedCitation":"{\\rtf \\super 23\\nosupersub{}}","plainCitation":"23"},"citationItems":[{"id":4571,"uris":["http://zotero.org/users/150865/items/3X9MNWJX"],"uri":["http://zotero.org/users/150865/items/3X9MNWJX"],"itemData":{"id":4571,"type":"article-journal","title":"New response evaluation criteria in solid tumours: revised RECIST guideline (version 1.1)","container-title":"European Journal of Cancer (Oxford, England: 1990)","page":"228-247","volume":"45","issue":"2","source":"PubMed","abstract":"BACKGROUND: Assessment of the change in tumour burden is an important feature of the clinical evaluation of cancer therapeutics: both tumour shrinkage (objective response) and disease progression are useful endpoints in clinical trials. Since RECIST was published in 2000, many investigators, cooperative groups, industry and government authorities have adopted these criteria in the assessment of treatment outcomes. However, a number of questions and issues have arisen which have led to the development of a revised RECIST guideline (version 1.1). Evidence for changes, summarised in separate papers in this special issue, has come from assessment of a large data warehouse (&gt;6500 patients), simulation studies and literature reviews. HIGHLIGHTS OF REVISED RECIST 1.1: Major changes include: Number of lesions to be assessed: based on evidence from numerous trial databases merged into a data warehouse for analysis purposes, the number of lesions required to assess tumour burden for response determination has been reduced from a maximum of 10 to a maximum of five total (and from five to two per organ, maximum). Assessment of pathological lymph nodes is now incorporated: nodes with a short axis of 15 mm are considered measurable and assessable as target lesions. The short axis measurement should be included in the sum of lesions in calculation of tumour response. Nodes that shrink to &lt;10mm short axis are considered normal. Confirmation of response is required for trials with response primary endpoint but is no longer required in randomised studies since the control arm serves as appropriate means of interpretation of data. Disease progression is clarified in several aspects: in addition to the previous definition of progression in target disease of 20% increase in sum, a 5mm absolute increase is now required as well to guard against over calling PD when the total sum is very small. Furthermore, there is guidance offered on what constitutes 'unequivocal progression' of non-measurable/non-target disease, a source of confusion in the original RECIST guideline. Finally, a section on detection of new lesions, including the interpretation of FDG-PET scan assessment is included. Imaging guidance: the revised RECIST includes a new imaging appendix with updated recommendations on the optimal anatomical assessment of lesions.\nFUTURE WORK: A key question considered by the RECIST Working Group in developing RECIST 1.1 was whether it was appropriate to move from anatomic unidimensional assessment of tumour burden to either volumetric anatomical assessment or to functional assessment with PET or MRI. It was concluded that, at present, there is not sufficient standardisation or evidence to abandon anatomical assessment of tumour burden. The only exception to this is in the use of FDG-PET imaging as an adjunct to determination of progression. As is detailed in the final paper in this special issue, the use of these promising newer approaches requires appropriate clinical validation studies.","DOI":"10.1016/j.ejca.2008.10.026","ISSN":"1879-0852","note":"PMID: 19097774","shortTitle":"New response evaluation criteria in solid tumours","journalAbbreviation":"Eur. J. Cancer","language":"eng","author":[{"family":"Eisenhauer","given":"E. A."},{"family":"Therasse","given":"P."},{"family":"Bogaerts","given":"J."},{"family":"Schwartz","given":"L. H."},{"family":"Sargent","given":"D."},{"family":"Ford","given":"R."},{"family":"Dancey","given":"J."},{"family":"Arbuck","given":"S."},{"family":"Gwyther","given":"S."},{"family":"Mooney","given":"M."},{"family":"Rubinstein","given":"L."},{"family":"Shankar","given":"L."},{"family":"Dodd","given":"L."},{"family":"Kaplan","given":"R."},{"family":"Lacombe","given":"D."},{"family":"Verweij","given":"J."}],"issued":{"date-parts":[["2009",1]]},"PMID":"19097774"}}],"schema":"https://github.com/citation-style-language/schema/raw/master/csl-citation.json"} </w:instrText>
      </w:r>
      <w:r w:rsidR="00B97CC4">
        <w:fldChar w:fldCharType="separate"/>
      </w:r>
      <w:r w:rsidR="009D57F3" w:rsidRPr="009D57F3">
        <w:rPr>
          <w:rFonts w:ascii="Calibri" w:hAnsi="Calibri" w:cs="Times New Roman"/>
          <w:szCs w:val="24"/>
          <w:vertAlign w:val="superscript"/>
        </w:rPr>
        <w:t>23</w:t>
      </w:r>
      <w:r w:rsidR="00B97CC4">
        <w:fldChar w:fldCharType="end"/>
      </w:r>
      <w:r>
        <w:t xml:space="preserve">  and</w:t>
      </w:r>
      <w:r w:rsidRPr="001410C2">
        <w:t xml:space="preserve"> </w:t>
      </w:r>
      <w:r w:rsidR="00E46158">
        <w:t>irRC</w:t>
      </w:r>
      <w:r w:rsidR="009D57F3">
        <w:t>.</w:t>
      </w:r>
      <w:r w:rsidR="002C67CA">
        <w:t xml:space="preserve"> </w:t>
      </w:r>
      <w:r w:rsidR="00E46158">
        <w:fldChar w:fldCharType="begin"/>
      </w:r>
      <w:r w:rsidR="009D57F3">
        <w:instrText xml:space="preserve"> ADDIN ZOTERO_ITEM CSL_CITATION {"citationID":"1ka9nc68eq","properties":{"formattedCitation":"{\\rtf \\super 22\\nosupersub{}}","plainCitation":"22"},"citationItems":[{"id":4567,"uris":["http://zotero.org/users/150865/items/PSXENEX3"],"uri":["http://zotero.org/users/150865/items/PSXENEX3"],"itemData":{"id":4567,"type":"article-journal","title":"Guidelines for the Evaluation of Immune Therapy Activity in Solid Tumors: Immune-Related Response Criteria","container-title":"Clinical Cancer Research","page":"7412-7420","volume":"15","issue":"23","source":"clincancerres.aacrjournals.org","abstract":"Purpose: Immunotherapeutic agents produce antitumor effects by inducing cancer-specific immune responses or by modifying native immune processes. Resulting clinical response patterns extend beyond those of cytotoxic agents and can manifest after an initial increase in tumor burden or the appearance of new lesions (progressive disease). Response Evaluation Criteria in Solid Tumors or WHO criteria, designed to detect early effects of cytotoxic agents, may not provide a complete assessment of immunotherapeutic agents. Novel criteria for the evaluation of antitumor responses with immunotherapeutic agents are required.\nExperimental Design: The phase II clinical trial program with ipilimumab, an antibody that blocks CTL antigen-4, represents the most comprehensive data set available to date for an immunotherapeutic agent. Novel immune therapy response criteria proposed, based on the shared experience from community workshops and several investigators, were evaluated using data from ipilimumab phase II clinical trials in patients with advanced melanoma.\nResults: Ipilimumab monotherapy resulted in four distinct response patterns: (a) shrinkage in baseline lesions, without new lesions; (b) durable stable disease (in some patients followed by a slow, steady decline in total tumor burden); (c) response after an increase in total tumor burden; and (d) response in the presence of new lesions. All patterns were associated with favorable survival.\nConclusion: Systematic criteria, designated immune-related response criteria, were defined in an attempt to capture additional response patterns observed with immune therapy in advanced melanoma beyond those described by Response Evaluation Criteria in Solid Tumors or WHO criteria. Further prospective evaluations of the immune-related response criteria, particularly their association with overall survival, are warranted. (Clin Cancer Res 2009;15(23):7412–20)","DOI":"10.1158/1078-0432.CCR-09-1624","ISSN":"1078-0432, 1557-3265","note":"PMID: 19934295","shortTitle":"Guidelines for the Evaluation of Immune Therapy Activity in Solid Tumors","journalAbbreviation":"Clin Cancer Res","language":"en","author":[{"family":"Wolchok","given":"Jedd D."},{"family":"Hoos","given":"Axel"},{"family":"O'Day","given":"Steven"},{"family":"Weber","given":"Jeffrey S."},{"family":"Hamid","given":"Omid"},{"family":"Lebbé","given":"Celeste"},{"family":"Maio","given":"Michele"},{"family":"Binder","given":"Michael"},{"family":"Bohnsack","given":"Oliver"},{"family":"Nichol","given":"Geoffrey"},{"family":"Humphrey","given":"Rachel"},{"family":"Hodi","given":"F. Stephen"}],"issued":{"date-parts":[["2009",1,12]]},"PMID":"19934295"}}],"schema":"https://github.com/citation-style-language/schema/raw/master/csl-citation.json"} </w:instrText>
      </w:r>
      <w:r w:rsidR="00E46158">
        <w:fldChar w:fldCharType="separate"/>
      </w:r>
      <w:r w:rsidR="009D57F3" w:rsidRPr="009D57F3">
        <w:rPr>
          <w:rFonts w:ascii="Calibri" w:hAnsi="Calibri" w:cs="Times New Roman"/>
          <w:szCs w:val="24"/>
          <w:vertAlign w:val="superscript"/>
        </w:rPr>
        <w:t>22</w:t>
      </w:r>
      <w:r w:rsidR="00E46158">
        <w:fldChar w:fldCharType="end"/>
      </w:r>
      <w:r>
        <w:t xml:space="preserve"> Best overall response was determined based on irRC criteria where possible to capture delayed anti-tumour responses.</w:t>
      </w:r>
    </w:p>
    <w:p w14:paraId="107B2B9A" w14:textId="77777777" w:rsidR="00A72480" w:rsidRPr="0019069B" w:rsidRDefault="00A72480" w:rsidP="00B75DB1">
      <w:pPr>
        <w:spacing w:line="480" w:lineRule="auto"/>
        <w:jc w:val="both"/>
        <w:rPr>
          <w:b/>
        </w:rPr>
      </w:pPr>
      <w:r w:rsidRPr="0019069B">
        <w:rPr>
          <w:b/>
        </w:rPr>
        <w:t>Data capture and analysis</w:t>
      </w:r>
    </w:p>
    <w:p w14:paraId="60447661" w14:textId="3DE183D9" w:rsidR="00A72480" w:rsidRDefault="00A72480" w:rsidP="00B75DB1">
      <w:pPr>
        <w:spacing w:line="480" w:lineRule="auto"/>
        <w:jc w:val="both"/>
      </w:pPr>
      <w:r>
        <w:t xml:space="preserve">Patients receiving pembrolizumab were identified from the oncology pharmacy database. Data was collected retrospectively from </w:t>
      </w:r>
      <w:r w:rsidR="00B97CC4">
        <w:t>patients’</w:t>
      </w:r>
      <w:r>
        <w:t xml:space="preserve"> notes and electronic records </w:t>
      </w:r>
      <w:r w:rsidR="00B97CC4">
        <w:t>and</w:t>
      </w:r>
      <w:r>
        <w:t xml:space="preserve"> stored into a Microsoft Access </w:t>
      </w:r>
      <w:r w:rsidR="00B97CC4">
        <w:t>database;</w:t>
      </w:r>
      <w:r>
        <w:t xml:space="preserve"> statistical analysis and graphing was done using GraphPad Prism Version 6.01.</w:t>
      </w:r>
      <w:r w:rsidR="00303A53">
        <w:t xml:space="preserve"> </w:t>
      </w:r>
      <w:r w:rsidR="0046111C">
        <w:t xml:space="preserve">Survival </w:t>
      </w:r>
      <w:r w:rsidR="00303A53" w:rsidRPr="00303A53">
        <w:t>curves were calculate</w:t>
      </w:r>
      <w:r w:rsidR="00303A53">
        <w:t>d using the Kaplan–Meier method</w:t>
      </w:r>
      <w:r w:rsidR="00303A53" w:rsidRPr="00303A53">
        <w:t>. The log-rank test was used to compare curves and determine the P value</w:t>
      </w:r>
      <w:r w:rsidR="0046111C">
        <w:t>.</w:t>
      </w:r>
    </w:p>
    <w:p w14:paraId="5DC49CF5" w14:textId="3B7D0D0D" w:rsidR="00A72480" w:rsidRDefault="00A72480" w:rsidP="00B75DB1">
      <w:pPr>
        <w:spacing w:line="480" w:lineRule="auto"/>
        <w:jc w:val="both"/>
      </w:pPr>
      <w:r>
        <w:br w:type="page"/>
      </w:r>
    </w:p>
    <w:p w14:paraId="65E3F215" w14:textId="77777777" w:rsidR="00A72480" w:rsidRPr="00BA47AB" w:rsidRDefault="00A72480" w:rsidP="00B75DB1">
      <w:pPr>
        <w:spacing w:line="480" w:lineRule="auto"/>
        <w:jc w:val="both"/>
        <w:rPr>
          <w:b/>
          <w:sz w:val="28"/>
        </w:rPr>
      </w:pPr>
      <w:r w:rsidRPr="00BA47AB">
        <w:rPr>
          <w:b/>
          <w:sz w:val="28"/>
        </w:rPr>
        <w:lastRenderedPageBreak/>
        <w:t>Results</w:t>
      </w:r>
    </w:p>
    <w:p w14:paraId="74CB0736" w14:textId="77777777" w:rsidR="00A72480" w:rsidRDefault="00A72480" w:rsidP="00B75DB1">
      <w:pPr>
        <w:spacing w:line="480" w:lineRule="auto"/>
        <w:jc w:val="both"/>
        <w:rPr>
          <w:b/>
        </w:rPr>
      </w:pPr>
      <w:r w:rsidRPr="00235C24">
        <w:rPr>
          <w:b/>
        </w:rPr>
        <w:t>Patient characteristics</w:t>
      </w:r>
    </w:p>
    <w:p w14:paraId="4FCCCB50" w14:textId="3347A61D" w:rsidR="00A72480" w:rsidRDefault="00B370B5" w:rsidP="00B75DB1">
      <w:pPr>
        <w:spacing w:line="480" w:lineRule="auto"/>
        <w:jc w:val="both"/>
      </w:pPr>
      <w:r>
        <w:t xml:space="preserve">Twenty-five </w:t>
      </w:r>
      <w:r w:rsidR="00A72480" w:rsidRPr="00235C24">
        <w:t xml:space="preserve">patients with metastatic uveal melanoma </w:t>
      </w:r>
      <w:r w:rsidR="00962244">
        <w:t xml:space="preserve">were </w:t>
      </w:r>
      <w:r w:rsidR="00A72480" w:rsidRPr="00235C24">
        <w:t xml:space="preserve">enrolled into the pembrolizumab </w:t>
      </w:r>
      <w:r w:rsidR="00962244">
        <w:t>EAP</w:t>
      </w:r>
      <w:r w:rsidR="00A72480">
        <w:t xml:space="preserve"> between the 1/06/2014 and 1/</w:t>
      </w:r>
      <w:r w:rsidR="00FD2494">
        <w:t>8</w:t>
      </w:r>
      <w:r w:rsidR="00A72480">
        <w:t>/2015</w:t>
      </w:r>
      <w:r>
        <w:t xml:space="preserve"> at </w:t>
      </w:r>
      <w:r w:rsidR="003B09ED">
        <w:t>our centres</w:t>
      </w:r>
      <w:r w:rsidR="00A72480">
        <w:t>. All patients had systemic disease spread at baseline and had received a median of</w:t>
      </w:r>
      <w:r w:rsidR="00A72480" w:rsidRPr="005E1202">
        <w:t xml:space="preserve"> 1</w:t>
      </w:r>
      <w:r w:rsidR="00A72480" w:rsidRPr="005E1202">
        <w:rPr>
          <w:b/>
          <w:sz w:val="30"/>
        </w:rPr>
        <w:t xml:space="preserve"> </w:t>
      </w:r>
      <w:r w:rsidR="00A72480" w:rsidRPr="00CD087D">
        <w:t xml:space="preserve">previous </w:t>
      </w:r>
      <w:r w:rsidR="00F06FF8">
        <w:t xml:space="preserve">lines of </w:t>
      </w:r>
      <w:r w:rsidR="00A72480" w:rsidRPr="00CD087D">
        <w:t xml:space="preserve">systemic </w:t>
      </w:r>
      <w:r w:rsidR="00F06FF8">
        <w:t xml:space="preserve">treatment; 11 patients (44%) had </w:t>
      </w:r>
      <w:r w:rsidR="00752EEF">
        <w:t xml:space="preserve">also </w:t>
      </w:r>
      <w:r w:rsidR="00F06FF8">
        <w:t>received a median of 2</w:t>
      </w:r>
      <w:r w:rsidR="00FD2494" w:rsidRPr="00CD087D">
        <w:t xml:space="preserve"> </w:t>
      </w:r>
      <w:r w:rsidR="00A72480" w:rsidRPr="00CD087D">
        <w:t xml:space="preserve">liver directed therapies. All patients </w:t>
      </w:r>
      <w:r w:rsidR="00A72480">
        <w:t>had previously completed a course of ipilimumab</w:t>
      </w:r>
      <w:r w:rsidR="00CF5B68">
        <w:t>, none had experienced an objective response though nine patients (36%) had a period of stable disease</w:t>
      </w:r>
      <w:r w:rsidR="00A72480">
        <w:t>;</w:t>
      </w:r>
      <w:r w:rsidR="00D77951" w:rsidRPr="00D77951">
        <w:t xml:space="preserve"> </w:t>
      </w:r>
      <w:r w:rsidR="00D77951">
        <w:t>baseline</w:t>
      </w:r>
      <w:r w:rsidR="00A72480">
        <w:t xml:space="preserve"> </w:t>
      </w:r>
      <w:r w:rsidR="00D443FE">
        <w:t>p</w:t>
      </w:r>
      <w:r w:rsidR="00C93F08">
        <w:t>atient</w:t>
      </w:r>
      <w:r w:rsidR="00A72480">
        <w:t xml:space="preserve"> characteristics </w:t>
      </w:r>
      <w:r w:rsidR="00FF5BFD">
        <w:t xml:space="preserve">are presented </w:t>
      </w:r>
      <w:r w:rsidR="00A72480">
        <w:t>in Table 1</w:t>
      </w:r>
      <w:r w:rsidR="00FF5BFD">
        <w:t>.</w:t>
      </w:r>
      <w:r w:rsidR="00C84571">
        <w:t xml:space="preserve"> All 7 patients with available cytogenetic results had</w:t>
      </w:r>
      <w:r w:rsidR="00376BF3">
        <w:t xml:space="preserve"> chromosome 3 losses and chromosome 8 gains in the primary tumours.</w:t>
      </w:r>
    </w:p>
    <w:p w14:paraId="57DAED9F" w14:textId="77777777" w:rsidR="00A72480" w:rsidRDefault="00A72480" w:rsidP="00B75DB1">
      <w:pPr>
        <w:spacing w:line="480" w:lineRule="auto"/>
        <w:jc w:val="both"/>
        <w:rPr>
          <w:b/>
        </w:rPr>
      </w:pPr>
      <w:r w:rsidRPr="00DD0B23">
        <w:rPr>
          <w:b/>
        </w:rPr>
        <w:t>Response</w:t>
      </w:r>
      <w:r>
        <w:rPr>
          <w:b/>
        </w:rPr>
        <w:t xml:space="preserve"> Analysis</w:t>
      </w:r>
    </w:p>
    <w:p w14:paraId="55DE4A64" w14:textId="265BC794" w:rsidR="004825CD" w:rsidRDefault="00A72480" w:rsidP="00B75DB1">
      <w:pPr>
        <w:spacing w:line="480" w:lineRule="auto"/>
        <w:jc w:val="both"/>
      </w:pPr>
      <w:r>
        <w:t>All patients received at least 1 cycle of pembrolizumab.</w:t>
      </w:r>
      <w:r w:rsidR="00D443FE" w:rsidRPr="00D443FE">
        <w:t xml:space="preserve"> </w:t>
      </w:r>
      <w:r w:rsidR="00DB0F3F">
        <w:t>At data collection cut-off time</w:t>
      </w:r>
      <w:r w:rsidR="00D443FE" w:rsidRPr="00D443FE">
        <w:t xml:space="preserve"> a median of </w:t>
      </w:r>
      <w:r w:rsidR="00FD2494">
        <w:t>6</w:t>
      </w:r>
      <w:r w:rsidR="00FD2494" w:rsidRPr="00D443FE">
        <w:t xml:space="preserve"> </w:t>
      </w:r>
      <w:r w:rsidR="00D443FE" w:rsidRPr="00D443FE">
        <w:t xml:space="preserve">cycles of pembrolizumab had been administered </w:t>
      </w:r>
      <w:r w:rsidR="00D443FE">
        <w:t xml:space="preserve">per patient </w:t>
      </w:r>
      <w:r w:rsidR="00D443FE" w:rsidRPr="00D443FE">
        <w:t xml:space="preserve">and </w:t>
      </w:r>
      <w:r w:rsidR="002C4A5C">
        <w:t>2</w:t>
      </w:r>
      <w:r w:rsidR="002C4A5C" w:rsidRPr="00D443FE">
        <w:t xml:space="preserve"> </w:t>
      </w:r>
      <w:r w:rsidR="00D443FE" w:rsidRPr="00D443FE">
        <w:t xml:space="preserve">patients were continuing on treatment. </w:t>
      </w:r>
      <w:r w:rsidRPr="00894DC2">
        <w:t xml:space="preserve"> </w:t>
      </w:r>
      <w:r>
        <w:t xml:space="preserve">Radiological assessments took place as clinically indicated, typically every 3-4 cycles (9-12 weeks).  </w:t>
      </w:r>
      <w:r w:rsidR="00962244">
        <w:t>Fig</w:t>
      </w:r>
      <w:r w:rsidR="00045886">
        <w:t>ure</w:t>
      </w:r>
      <w:r w:rsidR="00962244">
        <w:t xml:space="preserve"> 1 shows a </w:t>
      </w:r>
      <w:r w:rsidR="00430D5A">
        <w:t xml:space="preserve">flow </w:t>
      </w:r>
      <w:r w:rsidR="004825CD">
        <w:t xml:space="preserve">diagram </w:t>
      </w:r>
      <w:r w:rsidR="00430D5A">
        <w:t>outlining</w:t>
      </w:r>
      <w:r>
        <w:t xml:space="preserve"> treatment course and </w:t>
      </w:r>
      <w:r w:rsidR="004825CD">
        <w:t>outcome</w:t>
      </w:r>
      <w:r w:rsidR="00204E09">
        <w:t>s</w:t>
      </w:r>
      <w:r w:rsidR="00962244">
        <w:t>.</w:t>
      </w:r>
    </w:p>
    <w:p w14:paraId="7E96DD78" w14:textId="51F1C287" w:rsidR="004825CD" w:rsidRDefault="002C4A5C" w:rsidP="00B75DB1">
      <w:pPr>
        <w:spacing w:line="480" w:lineRule="auto"/>
        <w:jc w:val="both"/>
      </w:pPr>
      <w:r>
        <w:t>Four</w:t>
      </w:r>
      <w:r w:rsidRPr="00BA47AB">
        <w:t xml:space="preserve"> </w:t>
      </w:r>
      <w:r w:rsidR="00A72480">
        <w:t>subjects deteriorated rapidly due to disease progression and were withdrawn before the first radiological assessment</w:t>
      </w:r>
      <w:r>
        <w:t xml:space="preserve"> after receiving only one cycle</w:t>
      </w:r>
      <w:r w:rsidR="00A72480">
        <w:t xml:space="preserve">. </w:t>
      </w:r>
      <w:r w:rsidR="004825CD">
        <w:t xml:space="preserve"> </w:t>
      </w:r>
      <w:r>
        <w:t>Eight patients were withdrawn after having only a single radiological assessment demonstrating disease progression due</w:t>
      </w:r>
      <w:r w:rsidR="00A72480">
        <w:t xml:space="preserve"> to rapid clinical deterioration. </w:t>
      </w:r>
      <w:r>
        <w:t>One patient continuing after an initial scan revealing PD exhibited subsequent disease stabilisation and remains on treatment</w:t>
      </w:r>
      <w:r w:rsidR="00962244">
        <w:t xml:space="preserve">. </w:t>
      </w:r>
      <w:r w:rsidR="00672D07">
        <w:t xml:space="preserve">There were 2 partial responses, one early that was not maintained and one late that remains on treatment. </w:t>
      </w:r>
      <w:r w:rsidR="00A72480">
        <w:t>Table 2 summarises response types and duration.</w:t>
      </w:r>
    </w:p>
    <w:p w14:paraId="1A8081B2" w14:textId="77777777" w:rsidR="00A72480" w:rsidRPr="00883C06" w:rsidRDefault="00A72480" w:rsidP="00B75DB1">
      <w:pPr>
        <w:spacing w:line="480" w:lineRule="auto"/>
        <w:jc w:val="both"/>
        <w:rPr>
          <w:b/>
        </w:rPr>
      </w:pPr>
      <w:r w:rsidRPr="00883C06">
        <w:rPr>
          <w:b/>
        </w:rPr>
        <w:t>Survival analysis</w:t>
      </w:r>
    </w:p>
    <w:p w14:paraId="4EFC5065" w14:textId="4DD2DC41" w:rsidR="00A72480" w:rsidRDefault="00EE6009" w:rsidP="00B75DB1">
      <w:pPr>
        <w:spacing w:line="480" w:lineRule="auto"/>
        <w:jc w:val="both"/>
      </w:pPr>
      <w:r>
        <w:lastRenderedPageBreak/>
        <w:t xml:space="preserve">After a median follow-up of 225 days </w:t>
      </w:r>
      <w:r w:rsidRPr="000503C5">
        <w:t>at the time of data cut-off</w:t>
      </w:r>
      <w:r>
        <w:t xml:space="preserve"> m</w:t>
      </w:r>
      <w:r w:rsidR="00A72480">
        <w:t xml:space="preserve">edian OS was not reached </w:t>
      </w:r>
      <w:r w:rsidR="00672D07">
        <w:t>but will be &gt;225 days</w:t>
      </w:r>
      <w:r>
        <w:t xml:space="preserve"> with a 1 year survival rate of &gt;28%</w:t>
      </w:r>
      <w:r w:rsidR="00A72480">
        <w:t>;</w:t>
      </w:r>
      <w:r w:rsidR="00672D07">
        <w:t xml:space="preserve"> median PFS was 91 days</w:t>
      </w:r>
      <w:r>
        <w:t xml:space="preserve"> (Table 2)</w:t>
      </w:r>
      <w:r w:rsidR="00A72480">
        <w:t xml:space="preserve">. </w:t>
      </w:r>
      <w:r>
        <w:t>Eight</w:t>
      </w:r>
      <w:r w:rsidR="00672D07">
        <w:t xml:space="preserve"> </w:t>
      </w:r>
      <w:r w:rsidR="00A72480">
        <w:t>evaluable patients (</w:t>
      </w:r>
      <w:r w:rsidR="00672D07">
        <w:t>32</w:t>
      </w:r>
      <w:r w:rsidR="00A72480">
        <w:t>%) achieved disease control (</w:t>
      </w:r>
      <w:r w:rsidR="000503C5">
        <w:t xml:space="preserve">partial response </w:t>
      </w:r>
      <w:r w:rsidR="00A72480">
        <w:t xml:space="preserve">or </w:t>
      </w:r>
      <w:r w:rsidR="000503C5">
        <w:t>stable disease</w:t>
      </w:r>
      <w:r w:rsidR="00A72480">
        <w:t xml:space="preserve">) for more than 3 months and median PFS for this subgroup is projected to be &gt; </w:t>
      </w:r>
      <w:r w:rsidR="00672D07">
        <w:t xml:space="preserve">9.8 </w:t>
      </w:r>
      <w:r w:rsidR="00A72480">
        <w:t>months</w:t>
      </w:r>
      <w:r w:rsidR="00FD4D6B">
        <w:t xml:space="preserve"> with a median OS &gt; 13.5 months</w:t>
      </w:r>
      <w:r w:rsidR="00A72480">
        <w:t>. A Kaplan</w:t>
      </w:r>
      <w:r w:rsidR="00D443FE">
        <w:t>-</w:t>
      </w:r>
      <w:r w:rsidR="00A72480">
        <w:t xml:space="preserve">Meier plot of </w:t>
      </w:r>
      <w:r w:rsidR="0046111C">
        <w:t xml:space="preserve">OS and </w:t>
      </w:r>
      <w:r w:rsidR="00A72480">
        <w:t xml:space="preserve">PFS of all patients is presented </w:t>
      </w:r>
      <w:r w:rsidR="00A72480" w:rsidRPr="00A757C5">
        <w:t>in Fig</w:t>
      </w:r>
      <w:r w:rsidR="00143829" w:rsidRPr="00A757C5">
        <w:t>ure</w:t>
      </w:r>
      <w:r w:rsidR="00A72480" w:rsidRPr="00A757C5">
        <w:t xml:space="preserve"> </w:t>
      </w:r>
      <w:r w:rsidR="009F38AC" w:rsidRPr="00A757C5">
        <w:t>2</w:t>
      </w:r>
      <w:r w:rsidR="003B1DD0" w:rsidRPr="00A757C5">
        <w:t>A</w:t>
      </w:r>
      <w:r w:rsidR="009F38AC">
        <w:t>,</w:t>
      </w:r>
      <w:r w:rsidR="00A72480">
        <w:t xml:space="preserve"> including censored data for patients who are still responding to treatment.</w:t>
      </w:r>
      <w:r w:rsidR="004825CD" w:rsidDel="004825CD">
        <w:t xml:space="preserve"> </w:t>
      </w:r>
    </w:p>
    <w:p w14:paraId="31F5F1CB" w14:textId="72335CA2" w:rsidR="00AA3214" w:rsidRDefault="00430D5A" w:rsidP="00B75DB1">
      <w:pPr>
        <w:spacing w:line="480" w:lineRule="auto"/>
        <w:jc w:val="both"/>
      </w:pPr>
      <w:r>
        <w:t xml:space="preserve">Patients with liver only disease progression at baseline imaging had significantly worse PFS (Figure </w:t>
      </w:r>
      <w:r w:rsidR="00EE6009">
        <w:t>2</w:t>
      </w:r>
      <w:r w:rsidR="00CF5B68">
        <w:t>C</w:t>
      </w:r>
      <w:r w:rsidR="001C2261">
        <w:t>)</w:t>
      </w:r>
      <w:r w:rsidR="00075AF8">
        <w:t xml:space="preserve"> and on immature data there was a trend for worse OS (Figure 2</w:t>
      </w:r>
      <w:r w:rsidR="00CF5B68">
        <w:t>D</w:t>
      </w:r>
      <w:r w:rsidR="00075AF8">
        <w:t>).</w:t>
      </w:r>
      <w:r w:rsidR="001C2261">
        <w:t xml:space="preserve"> </w:t>
      </w:r>
      <w:r w:rsidR="00263624">
        <w:t xml:space="preserve"> </w:t>
      </w:r>
      <w:r w:rsidR="00075AF8">
        <w:t>T</w:t>
      </w:r>
      <w:r w:rsidR="00263624">
        <w:t xml:space="preserve">his group had also shorter lead in times from </w:t>
      </w:r>
      <w:r w:rsidR="00F06FF8">
        <w:t xml:space="preserve">diagnosis of stage IV disease </w:t>
      </w:r>
      <w:r w:rsidR="00263624">
        <w:t>(Figure 3</w:t>
      </w:r>
      <w:r w:rsidR="003B1DD0">
        <w:t>A</w:t>
      </w:r>
      <w:r w:rsidR="00263624">
        <w:t>)</w:t>
      </w:r>
      <w:r w:rsidR="00561641">
        <w:t>,</w:t>
      </w:r>
      <w:r w:rsidR="00075AF8">
        <w:t xml:space="preserve"> as did</w:t>
      </w:r>
      <w:r w:rsidR="00263624">
        <w:t xml:space="preserve"> </w:t>
      </w:r>
      <w:r w:rsidR="00075AF8">
        <w:t>p</w:t>
      </w:r>
      <w:r w:rsidR="00263624" w:rsidRPr="00263624">
        <w:t xml:space="preserve">atients who had </w:t>
      </w:r>
      <w:r w:rsidR="00075AF8">
        <w:t xml:space="preserve">no </w:t>
      </w:r>
      <w:r w:rsidR="00263624" w:rsidRPr="00263624">
        <w:t>previous liver directed treatments</w:t>
      </w:r>
      <w:r w:rsidR="00263624">
        <w:t xml:space="preserve"> (Figure 3</w:t>
      </w:r>
      <w:r w:rsidR="003B1DD0">
        <w:t>B</w:t>
      </w:r>
      <w:r w:rsidR="00263624">
        <w:t xml:space="preserve">) but </w:t>
      </w:r>
      <w:r w:rsidR="00075AF8">
        <w:t>in the latter case there</w:t>
      </w:r>
      <w:r w:rsidR="00263624">
        <w:t xml:space="preserve"> w</w:t>
      </w:r>
      <w:r w:rsidR="00075AF8">
        <w:t>as</w:t>
      </w:r>
      <w:r w:rsidR="00263624">
        <w:t xml:space="preserve"> no significant differen</w:t>
      </w:r>
      <w:r w:rsidR="00075AF8">
        <w:t>ce in PFS</w:t>
      </w:r>
      <w:r w:rsidR="00263624">
        <w:t xml:space="preserve"> </w:t>
      </w:r>
      <w:r w:rsidR="00174A24">
        <w:t xml:space="preserve">(Figure </w:t>
      </w:r>
      <w:r w:rsidR="00AA3214">
        <w:t>2E</w:t>
      </w:r>
      <w:r w:rsidR="00174A24">
        <w:t>)</w:t>
      </w:r>
      <w:r w:rsidR="00885C95">
        <w:t>.</w:t>
      </w:r>
      <w:r w:rsidR="00835E1F">
        <w:t xml:space="preserve"> </w:t>
      </w:r>
    </w:p>
    <w:p w14:paraId="1990700B" w14:textId="5DAE0556" w:rsidR="00A72480" w:rsidRDefault="00835E1F" w:rsidP="00B75DB1">
      <w:pPr>
        <w:spacing w:line="480" w:lineRule="auto"/>
        <w:jc w:val="both"/>
      </w:pPr>
      <w:r>
        <w:t>In contrast, PFS</w:t>
      </w:r>
      <w:r w:rsidR="00075AF8">
        <w:t xml:space="preserve"> and OS</w:t>
      </w:r>
      <w:r>
        <w:t xml:space="preserve"> was significantly worse in patients who had more than 1 previous systemic treatment</w:t>
      </w:r>
      <w:r w:rsidR="00075AF8">
        <w:t xml:space="preserve"> as compared to only 1</w:t>
      </w:r>
      <w:r>
        <w:t xml:space="preserve"> despite similar lead in times</w:t>
      </w:r>
      <w:r w:rsidR="00075AF8">
        <w:t xml:space="preserve"> (Figures 2</w:t>
      </w:r>
      <w:r w:rsidR="00AA3214">
        <w:t>F</w:t>
      </w:r>
      <w:r w:rsidR="00075AF8">
        <w:t xml:space="preserve"> and 3C)</w:t>
      </w:r>
      <w:r>
        <w:t>.</w:t>
      </w:r>
      <w:r w:rsidR="00AA3214" w:rsidRPr="00AA3214">
        <w:t xml:space="preserve"> Previous disease stabilisation in response to ipilimumab did not appear to predict response to pembrolizumab (Figure 2B).</w:t>
      </w:r>
    </w:p>
    <w:p w14:paraId="02C9D570" w14:textId="4A0FF908" w:rsidR="00A72480" w:rsidRPr="00174A24" w:rsidRDefault="00A72480" w:rsidP="00B75DB1">
      <w:pPr>
        <w:spacing w:line="480" w:lineRule="auto"/>
        <w:jc w:val="both"/>
      </w:pPr>
      <w:r>
        <w:t xml:space="preserve">In addition both serum </w:t>
      </w:r>
      <w:r w:rsidR="00CB7653">
        <w:t>lactate dehydrogenase (“</w:t>
      </w:r>
      <w:r>
        <w:t>LDH</w:t>
      </w:r>
      <w:r w:rsidR="00CB7653">
        <w:t>”)</w:t>
      </w:r>
      <w:r>
        <w:t xml:space="preserve"> and </w:t>
      </w:r>
      <w:r w:rsidR="00D443FE">
        <w:t>PS</w:t>
      </w:r>
      <w:r>
        <w:t xml:space="preserve"> at baseline were associated with a worse PFS</w:t>
      </w:r>
      <w:r w:rsidR="002E7C2C">
        <w:t xml:space="preserve"> and OS</w:t>
      </w:r>
      <w:r w:rsidR="00174A24">
        <w:t xml:space="preserve"> (Figure</w:t>
      </w:r>
      <w:r w:rsidR="00835727">
        <w:t>s</w:t>
      </w:r>
      <w:r w:rsidR="00174A24">
        <w:t xml:space="preserve"> </w:t>
      </w:r>
      <w:r w:rsidR="00AA3214">
        <w:t>2G-H</w:t>
      </w:r>
      <w:r w:rsidR="00174A24">
        <w:t>)</w:t>
      </w:r>
      <w:r w:rsidR="002E7C2C">
        <w:t xml:space="preserve">; notably all patients with normal LDH at baseline are still alive as opposed </w:t>
      </w:r>
      <w:r w:rsidR="006E617E">
        <w:t>to only one with raised LDH.</w:t>
      </w:r>
    </w:p>
    <w:p w14:paraId="4D84E926" w14:textId="77777777" w:rsidR="00A72480" w:rsidRPr="005D70CE" w:rsidRDefault="00A72480" w:rsidP="00B75DB1">
      <w:pPr>
        <w:spacing w:line="480" w:lineRule="auto"/>
        <w:jc w:val="both"/>
        <w:rPr>
          <w:b/>
        </w:rPr>
      </w:pPr>
      <w:r w:rsidRPr="005D70CE">
        <w:rPr>
          <w:b/>
        </w:rPr>
        <w:t>Safety Analysis</w:t>
      </w:r>
    </w:p>
    <w:p w14:paraId="063D179C" w14:textId="3775B8F9" w:rsidR="00A72480" w:rsidRPr="00CD087D" w:rsidRDefault="00885C95" w:rsidP="00B75DB1">
      <w:pPr>
        <w:spacing w:line="480" w:lineRule="auto"/>
        <w:jc w:val="both"/>
      </w:pPr>
      <w:r>
        <w:t>Pembrolizumab</w:t>
      </w:r>
      <w:r w:rsidR="00A72480">
        <w:t xml:space="preserve"> was tolerated well </w:t>
      </w:r>
      <w:r w:rsidR="00BF28DE">
        <w:t xml:space="preserve">overall </w:t>
      </w:r>
      <w:r w:rsidR="00A72480">
        <w:t xml:space="preserve">with a frequency and type of </w:t>
      </w:r>
      <w:r w:rsidR="00D443FE">
        <w:t>a</w:t>
      </w:r>
      <w:r w:rsidR="00A72480">
        <w:t xml:space="preserve">dverse </w:t>
      </w:r>
      <w:r w:rsidR="00D443FE">
        <w:t>e</w:t>
      </w:r>
      <w:r w:rsidR="00A72480">
        <w:t>vents (</w:t>
      </w:r>
      <w:r w:rsidR="00D443FE">
        <w:t>“</w:t>
      </w:r>
      <w:r w:rsidR="00A72480">
        <w:t>AEs</w:t>
      </w:r>
      <w:r w:rsidR="00D443FE">
        <w:t>”</w:t>
      </w:r>
      <w:r w:rsidR="00A72480">
        <w:t xml:space="preserve">) commensurate with </w:t>
      </w:r>
      <w:r w:rsidR="00DB0F3F">
        <w:t>those</w:t>
      </w:r>
      <w:r w:rsidR="00A72480">
        <w:t xml:space="preserve"> reported in </w:t>
      </w:r>
      <w:r w:rsidR="000503C5">
        <w:t>larger</w:t>
      </w:r>
      <w:r w:rsidR="005D06A3">
        <w:t xml:space="preserve"> </w:t>
      </w:r>
      <w:r w:rsidR="00C93F08">
        <w:t>studies</w:t>
      </w:r>
      <w:r w:rsidR="000503C5">
        <w:fldChar w:fldCharType="begin"/>
      </w:r>
      <w:r w:rsidR="009D57F3">
        <w:instrText xml:space="preserve"> ADDIN ZOTERO_ITEM CSL_CITATION {"citationID":"ud8p8fv6g","properties":{"formattedCitation":"{\\rtf \\super 12\\nosupersub{}}","plainCitation":"12"},"citationItems":[{"id":4559,"uris":["http://zotero.org/users/150865/items/22KMSRJD"],"uri":["http://zotero.org/users/150865/items/22KMSRJD"],"itemData":{"id":4559,"type":"article-journal","title":"Pembrolizumab versus Ipilimumab in Advanced Melanoma","container-title":"New England Journal of Medicine","page":"2521-2532","volume":"372","issue":"26","source":"Taylor and Francis+NEJM","abstract":"Two therapeutic strategies have improved survival for patients with advanced melanoma in recent years: immunotherapy with checkpoint inhibitors and targeted therapies blocking BRAF and MEK.1 BRAF and MEK inhibitors are indicated for the approximately 40 to 50% of patients with BRAF V600 mutations,1 whereas immunotherapies are effective independently of BRAF mutational status.2 Ipilimumab, which blocks cytotoxic T-lymphocyte–associated protein 4 (CTLA-4), a coinhibitory molecule of the immune system,3,4 is approved for treating advanced melanoma on the basis of its survival benefit.5,6 However, grade 3 or 4 adverse events, mostly immune-related,7 are observed in 23% of patients.5,6 When activated . . .","DOI":"10.1056/NEJMoa1503093","ISSN":"0028-4793","note":"PMID: 25891173","author":[{"family":"Robert","given":"Caroline"},{"family":"Schachter","given":"Jacob"},{"family":"Long","given":"Georgina V."},{"family":"Arance","given":"Ana"},{"family":"Grob","given":"Jean Jacques"},{"family":"Mortier","given":"Laurent"},{"family":"Daud","given":"Adil"},{"family":"Carlino","given":"Matteo S."},{"family":"McNeil","given":"Catriona"},{"family":"Lotem","given":"Michal"},{"family":"Larkin","given":"James"},{"family":"Lorigan","given":"Paul"},{"family":"Neyns","given":"Bart"},{"family":"Blank","given":"Christian U."},{"family":"Hamid","given":"Omid"},{"family":"Mateus","given":"Christine"},{"family":"Shapira-Frommer","given":"Ronnie"},{"family":"Kosh","given":"Michele"},{"family":"Zhou","given":"Honghong"},{"family":"Ibrahim","given":"Nageatte"},{"family":"Ebbinghaus","given":"Scot"},{"family":"Ribas","given":"Antoni"}],"issued":{"date-parts":[["2015",6,25]]},"PMID":"25891173"}}],"schema":"https://github.com/citation-style-language/schema/raw/master/csl-citation.json"} </w:instrText>
      </w:r>
      <w:r w:rsidR="000503C5">
        <w:fldChar w:fldCharType="separate"/>
      </w:r>
      <w:r w:rsidR="009D57F3" w:rsidRPr="009D57F3">
        <w:rPr>
          <w:rFonts w:ascii="Calibri" w:hAnsi="Calibri" w:cs="Times New Roman"/>
          <w:szCs w:val="24"/>
          <w:vertAlign w:val="superscript"/>
        </w:rPr>
        <w:t>12</w:t>
      </w:r>
      <w:r w:rsidR="000503C5">
        <w:fldChar w:fldCharType="end"/>
      </w:r>
      <w:r w:rsidR="00C93F08">
        <w:t xml:space="preserve">. </w:t>
      </w:r>
      <w:r w:rsidR="00E1618B">
        <w:t xml:space="preserve">Five </w:t>
      </w:r>
      <w:r w:rsidR="00A72480">
        <w:t>patients (</w:t>
      </w:r>
      <w:r w:rsidR="00E1618B">
        <w:t>20</w:t>
      </w:r>
      <w:r w:rsidR="00A72480">
        <w:t>%) experienced at least one grade 3</w:t>
      </w:r>
      <w:r w:rsidR="000503C5">
        <w:t>/</w:t>
      </w:r>
      <w:r w:rsidR="00A72480">
        <w:t xml:space="preserve">4 treatment related </w:t>
      </w:r>
      <w:r w:rsidR="00D443FE">
        <w:t>AE</w:t>
      </w:r>
      <w:r w:rsidR="0039040E">
        <w:t xml:space="preserve"> </w:t>
      </w:r>
      <w:r w:rsidR="00A72480">
        <w:t>(</w:t>
      </w:r>
      <w:r w:rsidR="0039040E">
        <w:t>T</w:t>
      </w:r>
      <w:r w:rsidR="00A72480">
        <w:t xml:space="preserve">able </w:t>
      </w:r>
      <w:r w:rsidR="00A1064B">
        <w:t>3</w:t>
      </w:r>
      <w:r w:rsidR="0039040E">
        <w:t>): one</w:t>
      </w:r>
      <w:r w:rsidR="00A72480">
        <w:t xml:space="preserve"> patient experienced grade 4 transaminitis after the first dose </w:t>
      </w:r>
      <w:r w:rsidR="00E1618B">
        <w:t>and one grade 3 skin rash and pruritus after the second dose; both</w:t>
      </w:r>
      <w:r w:rsidR="00A72480">
        <w:t xml:space="preserve"> had to discontinue treatment; 2 patients experienced grade 3 hypophysitis requiring long term steroid replacement, </w:t>
      </w:r>
      <w:r w:rsidR="00A72480">
        <w:lastRenderedPageBreak/>
        <w:t>one of these also had an episode of grade 3 diarrhoea that settled spontaneously</w:t>
      </w:r>
      <w:r w:rsidR="00A72480" w:rsidRPr="00562EB5">
        <w:t>. Finally one patient experienced</w:t>
      </w:r>
      <w:r w:rsidR="000367F1" w:rsidRPr="00562EB5">
        <w:t xml:space="preserve"> grade</w:t>
      </w:r>
      <w:r w:rsidR="000367F1">
        <w:t xml:space="preserve"> 3 fatigue and elected to discontinue treatment.</w:t>
      </w:r>
    </w:p>
    <w:p w14:paraId="199E9754" w14:textId="77777777" w:rsidR="004825CD" w:rsidRDefault="004825CD" w:rsidP="00B75DB1">
      <w:pPr>
        <w:spacing w:line="480" w:lineRule="auto"/>
        <w:rPr>
          <w:sz w:val="20"/>
        </w:rPr>
      </w:pPr>
      <w:r>
        <w:rPr>
          <w:sz w:val="20"/>
        </w:rPr>
        <w:br w:type="page"/>
      </w:r>
    </w:p>
    <w:p w14:paraId="27179B36" w14:textId="6EF3CA23" w:rsidR="00A72480" w:rsidRPr="00562EB5" w:rsidRDefault="00A72480" w:rsidP="00B75DB1">
      <w:pPr>
        <w:spacing w:line="480" w:lineRule="auto"/>
        <w:jc w:val="both"/>
        <w:rPr>
          <w:b/>
          <w:sz w:val="28"/>
          <w:szCs w:val="28"/>
        </w:rPr>
      </w:pPr>
      <w:r w:rsidRPr="00562EB5">
        <w:rPr>
          <w:b/>
          <w:sz w:val="28"/>
          <w:szCs w:val="28"/>
        </w:rPr>
        <w:lastRenderedPageBreak/>
        <w:t>Discussion</w:t>
      </w:r>
    </w:p>
    <w:p w14:paraId="4FAA22DC" w14:textId="77777777" w:rsidR="00A72480" w:rsidRPr="00562EB5" w:rsidRDefault="00A72480" w:rsidP="00B75DB1">
      <w:pPr>
        <w:spacing w:after="0" w:line="480" w:lineRule="auto"/>
        <w:jc w:val="both"/>
        <w:rPr>
          <w:rFonts w:eastAsia="MS Mincho" w:cs="Times New Roman"/>
          <w:szCs w:val="24"/>
        </w:rPr>
      </w:pPr>
    </w:p>
    <w:p w14:paraId="4D082D42" w14:textId="7CF965B3" w:rsidR="00A72480" w:rsidRDefault="006573A3" w:rsidP="00B75DB1">
      <w:pPr>
        <w:spacing w:after="0" w:line="480" w:lineRule="auto"/>
        <w:jc w:val="both"/>
        <w:rPr>
          <w:rFonts w:eastAsia="MS Mincho" w:cs="Times New Roman"/>
          <w:szCs w:val="24"/>
        </w:rPr>
      </w:pPr>
      <w:r>
        <w:rPr>
          <w:rFonts w:eastAsia="MS Mincho" w:cs="Times New Roman"/>
          <w:szCs w:val="24"/>
        </w:rPr>
        <w:t>Anti-</w:t>
      </w:r>
      <w:r w:rsidR="00A72480" w:rsidRPr="00562EB5">
        <w:rPr>
          <w:rFonts w:eastAsia="MS Mincho" w:cs="Times New Roman"/>
          <w:szCs w:val="24"/>
        </w:rPr>
        <w:t xml:space="preserve">PD-1 agents </w:t>
      </w:r>
      <w:r w:rsidR="00B91E53">
        <w:rPr>
          <w:rFonts w:eastAsia="MS Mincho" w:cs="Times New Roman"/>
          <w:szCs w:val="24"/>
        </w:rPr>
        <w:t>are</w:t>
      </w:r>
      <w:r w:rsidR="00A72480" w:rsidRPr="00562EB5">
        <w:rPr>
          <w:rFonts w:eastAsia="MS Mincho" w:cs="Times New Roman"/>
          <w:szCs w:val="24"/>
        </w:rPr>
        <w:t xml:space="preserve"> now approved </w:t>
      </w:r>
      <w:r w:rsidR="001350D8" w:rsidRPr="00562EB5">
        <w:rPr>
          <w:rFonts w:eastAsia="MS Mincho" w:cs="Times New Roman"/>
          <w:szCs w:val="24"/>
        </w:rPr>
        <w:t xml:space="preserve">for use in </w:t>
      </w:r>
      <w:r w:rsidR="00A4588E" w:rsidRPr="00562EB5">
        <w:rPr>
          <w:rFonts w:eastAsia="MS Mincho" w:cs="Times New Roman"/>
          <w:szCs w:val="24"/>
        </w:rPr>
        <w:t>US and</w:t>
      </w:r>
      <w:r w:rsidR="00A72480" w:rsidRPr="00562EB5">
        <w:rPr>
          <w:rFonts w:eastAsia="MS Mincho" w:cs="Times New Roman"/>
          <w:szCs w:val="24"/>
        </w:rPr>
        <w:t xml:space="preserve"> European markets for the treatment of metastatic </w:t>
      </w:r>
      <w:r w:rsidR="001350D8" w:rsidRPr="00562EB5">
        <w:rPr>
          <w:rFonts w:eastAsia="MS Mincho" w:cs="Times New Roman"/>
          <w:szCs w:val="24"/>
        </w:rPr>
        <w:t>CM</w:t>
      </w:r>
      <w:r w:rsidR="00A72480" w:rsidRPr="00562EB5">
        <w:rPr>
          <w:rFonts w:eastAsia="MS Mincho" w:cs="Times New Roman"/>
          <w:szCs w:val="24"/>
        </w:rPr>
        <w:t xml:space="preserve"> </w:t>
      </w:r>
      <w:r w:rsidR="00AA3214">
        <w:rPr>
          <w:rFonts w:eastAsia="MS Mincho" w:cs="Times New Roman"/>
          <w:szCs w:val="24"/>
        </w:rPr>
        <w:t xml:space="preserve">pre and </w:t>
      </w:r>
      <w:r w:rsidR="00A72480" w:rsidRPr="00562EB5">
        <w:rPr>
          <w:rFonts w:eastAsia="MS Mincho" w:cs="Times New Roman"/>
          <w:szCs w:val="24"/>
        </w:rPr>
        <w:t>post ipilimumab</w:t>
      </w:r>
      <w:r w:rsidR="00D00282">
        <w:rPr>
          <w:rFonts w:eastAsia="MS Mincho" w:cs="Times New Roman"/>
          <w:szCs w:val="24"/>
        </w:rPr>
        <w:t>.</w:t>
      </w:r>
      <w:r w:rsidR="00D443FE">
        <w:rPr>
          <w:rFonts w:eastAsia="MS Mincho" w:cs="Times New Roman"/>
          <w:szCs w:val="24"/>
        </w:rPr>
        <w:t xml:space="preserve"> As</w:t>
      </w:r>
      <w:r w:rsidR="00D00282">
        <w:rPr>
          <w:rFonts w:eastAsia="MS Mincho" w:cs="Times New Roman"/>
          <w:szCs w:val="24"/>
        </w:rPr>
        <w:t xml:space="preserve"> </w:t>
      </w:r>
      <w:r w:rsidR="00D443FE">
        <w:rPr>
          <w:rFonts w:eastAsia="MS Mincho" w:cs="Times New Roman"/>
          <w:szCs w:val="24"/>
        </w:rPr>
        <w:t>e</w:t>
      </w:r>
      <w:r w:rsidR="00D00282">
        <w:rPr>
          <w:rFonts w:eastAsia="MS Mincho" w:cs="Times New Roman"/>
          <w:szCs w:val="24"/>
        </w:rPr>
        <w:t xml:space="preserve">ntry criteria </w:t>
      </w:r>
      <w:r w:rsidR="00AA3214">
        <w:rPr>
          <w:rFonts w:eastAsia="MS Mincho" w:cs="Times New Roman"/>
          <w:szCs w:val="24"/>
        </w:rPr>
        <w:t xml:space="preserve">of </w:t>
      </w:r>
      <w:r w:rsidR="00174A24">
        <w:rPr>
          <w:rFonts w:eastAsia="MS Mincho" w:cs="Times New Roman"/>
          <w:szCs w:val="24"/>
        </w:rPr>
        <w:t>the registration</w:t>
      </w:r>
      <w:r w:rsidR="00D00282">
        <w:rPr>
          <w:rFonts w:eastAsia="MS Mincho" w:cs="Times New Roman"/>
          <w:szCs w:val="24"/>
        </w:rPr>
        <w:t xml:space="preserve"> </w:t>
      </w:r>
      <w:r w:rsidR="003D27C0">
        <w:rPr>
          <w:rFonts w:eastAsia="MS Mincho" w:cs="Times New Roman"/>
          <w:szCs w:val="24"/>
        </w:rPr>
        <w:t>trials</w:t>
      </w:r>
      <w:r w:rsidR="00D00282">
        <w:rPr>
          <w:rFonts w:eastAsia="MS Mincho" w:cs="Times New Roman"/>
          <w:szCs w:val="24"/>
        </w:rPr>
        <w:t xml:space="preserve"> excluded UM</w:t>
      </w:r>
      <w:r w:rsidR="002F0F07">
        <w:rPr>
          <w:rFonts w:eastAsia="MS Mincho" w:cs="Times New Roman"/>
          <w:szCs w:val="24"/>
        </w:rPr>
        <w:t>,</w:t>
      </w:r>
      <w:r w:rsidR="00D00282">
        <w:rPr>
          <w:rFonts w:eastAsia="MS Mincho" w:cs="Times New Roman"/>
          <w:szCs w:val="24"/>
        </w:rPr>
        <w:t xml:space="preserve"> </w:t>
      </w:r>
      <w:r w:rsidR="00A72480" w:rsidRPr="00562EB5">
        <w:rPr>
          <w:rFonts w:eastAsia="MS Mincho" w:cs="Times New Roman"/>
          <w:szCs w:val="24"/>
        </w:rPr>
        <w:t>data on efficacy of anti-PD</w:t>
      </w:r>
      <w:r w:rsidR="00C11657">
        <w:rPr>
          <w:rFonts w:eastAsia="MS Mincho" w:cs="Times New Roman"/>
          <w:szCs w:val="24"/>
        </w:rPr>
        <w:t>-</w:t>
      </w:r>
      <w:r w:rsidR="00A72480" w:rsidRPr="00562EB5">
        <w:rPr>
          <w:rFonts w:eastAsia="MS Mincho" w:cs="Times New Roman"/>
          <w:szCs w:val="24"/>
        </w:rPr>
        <w:t xml:space="preserve">1 </w:t>
      </w:r>
      <w:r w:rsidR="001350D8" w:rsidRPr="00562EB5">
        <w:rPr>
          <w:rFonts w:eastAsia="MS Mincho" w:cs="Times New Roman"/>
          <w:szCs w:val="24"/>
        </w:rPr>
        <w:t>based immunotherapy</w:t>
      </w:r>
      <w:r w:rsidR="00A72480" w:rsidRPr="00562EB5">
        <w:rPr>
          <w:rFonts w:eastAsia="MS Mincho" w:cs="Times New Roman"/>
          <w:szCs w:val="24"/>
        </w:rPr>
        <w:t xml:space="preserve"> in</w:t>
      </w:r>
      <w:r w:rsidR="00D00282">
        <w:rPr>
          <w:rFonts w:eastAsia="MS Mincho" w:cs="Times New Roman"/>
          <w:szCs w:val="24"/>
        </w:rPr>
        <w:t xml:space="preserve"> UM </w:t>
      </w:r>
      <w:r w:rsidR="00D443FE">
        <w:rPr>
          <w:rFonts w:eastAsia="MS Mincho" w:cs="Times New Roman"/>
          <w:szCs w:val="24"/>
        </w:rPr>
        <w:t>is limited</w:t>
      </w:r>
      <w:r w:rsidR="00D00282">
        <w:rPr>
          <w:rFonts w:eastAsia="MS Mincho" w:cs="Times New Roman"/>
          <w:szCs w:val="24"/>
        </w:rPr>
        <w:t>.</w:t>
      </w:r>
    </w:p>
    <w:p w14:paraId="5198123A" w14:textId="77777777" w:rsidR="00A91923" w:rsidRDefault="00A91923" w:rsidP="00B75DB1">
      <w:pPr>
        <w:spacing w:after="0" w:line="480" w:lineRule="auto"/>
        <w:jc w:val="both"/>
        <w:rPr>
          <w:rFonts w:eastAsia="MS Mincho" w:cs="Times New Roman"/>
          <w:szCs w:val="24"/>
        </w:rPr>
      </w:pPr>
    </w:p>
    <w:p w14:paraId="7AF4A3A5" w14:textId="00AF8BB3" w:rsidR="00A91923" w:rsidRPr="00562EB5" w:rsidRDefault="00A91923" w:rsidP="00B75DB1">
      <w:pPr>
        <w:spacing w:after="0" w:line="480" w:lineRule="auto"/>
        <w:jc w:val="both"/>
        <w:rPr>
          <w:rFonts w:eastAsia="MS Mincho" w:cs="Times New Roman"/>
          <w:szCs w:val="24"/>
        </w:rPr>
      </w:pPr>
      <w:r w:rsidRPr="00562EB5">
        <w:rPr>
          <w:rFonts w:eastAsia="MS Mincho" w:cs="Times New Roman"/>
          <w:szCs w:val="24"/>
        </w:rPr>
        <w:t>In our patients o</w:t>
      </w:r>
      <w:r w:rsidR="000503C5">
        <w:rPr>
          <w:rFonts w:eastAsia="MS Mincho" w:cs="Times New Roman"/>
          <w:szCs w:val="24"/>
        </w:rPr>
        <w:t>bjective</w:t>
      </w:r>
      <w:r w:rsidRPr="00562EB5">
        <w:rPr>
          <w:rFonts w:eastAsia="MS Mincho" w:cs="Times New Roman"/>
          <w:szCs w:val="24"/>
        </w:rPr>
        <w:t xml:space="preserve"> response rates were lower than in CM studies</w:t>
      </w:r>
      <w:r>
        <w:rPr>
          <w:rFonts w:eastAsia="MS Mincho" w:cs="Times New Roman"/>
          <w:szCs w:val="24"/>
        </w:rPr>
        <w:t xml:space="preserve"> </w:t>
      </w:r>
      <w:r w:rsidRPr="00562EB5">
        <w:rPr>
          <w:rFonts w:eastAsia="MS Mincho" w:cs="Times New Roman"/>
          <w:szCs w:val="24"/>
        </w:rPr>
        <w:fldChar w:fldCharType="begin"/>
      </w:r>
      <w:r w:rsidR="009D57F3">
        <w:rPr>
          <w:rFonts w:eastAsia="MS Mincho" w:cs="Times New Roman"/>
          <w:szCs w:val="24"/>
        </w:rPr>
        <w:instrText xml:space="preserve"> ADDIN ZOTERO_ITEM CSL_CITATION {"citationID":"1q645sbd4k","properties":{"formattedCitation":"{\\rtf \\super 12\\nosupersub{}}","plainCitation":"12"},"citationItems":[{"id":4559,"uris":["http://zotero.org/users/150865/items/22KMSRJD"],"uri":["http://zotero.org/users/150865/items/22KMSRJD"],"itemData":{"id":4559,"type":"article-journal","title":"Pembrolizumab versus Ipilimumab in Advanced Melanoma","container-title":"New England Journal of Medicine","page":"2521-2532","volume":"372","issue":"26","source":"Taylor and Francis+NEJM","abstract":"Two therapeutic strategies have improved survival for patients with advanced melanoma in recent years: immunotherapy with checkpoint inhibitors and targeted therapies blocking BRAF and MEK.1 BRAF and MEK inhibitors are indicated for the approximately 40 to 50% of patients with BRAF V600 mutations,1 whereas immunotherapies are effective independently of BRAF mutational status.2 Ipilimumab, which blocks cytotoxic T-lymphocyte–associated protein 4 (CTLA-4), a coinhibitory molecule of the immune system,3,4 is approved for treating advanced melanoma on the basis of its survival benefit.5,6 However, grade 3 or 4 adverse events, mostly immune-related,7 are observed in 23% of patients.5,6 When activated . . .","DOI":"10.1056/NEJMoa1503093","ISSN":"0028-4793","note":"PMID: 25891173","author":[{"family":"Robert","given":"Caroline"},{"family":"Schachter","given":"Jacob"},{"family":"Long","given":"Georgina V."},{"family":"Arance","given":"Ana"},{"family":"Grob","given":"Jean Jacques"},{"family":"Mortier","given":"Laurent"},{"family":"Daud","given":"Adil"},{"family":"Carlino","given":"Matteo S."},{"family":"McNeil","given":"Catriona"},{"family":"Lotem","given":"Michal"},{"family":"Larkin","given":"James"},{"family":"Lorigan","given":"Paul"},{"family":"Neyns","given":"Bart"},{"family":"Blank","given":"Christian U."},{"family":"Hamid","given":"Omid"},{"family":"Mateus","given":"Christine"},{"family":"Shapira-Frommer","given":"Ronnie"},{"family":"Kosh","given":"Michele"},{"family":"Zhou","given":"Honghong"},{"family":"Ibrahim","given":"Nageatte"},{"family":"Ebbinghaus","given":"Scot"},{"family":"Ribas","given":"Antoni"}],"issued":{"date-parts":[["2015",6,25]]},"PMID":"25891173"}}],"schema":"https://github.com/citation-style-language/schema/raw/master/csl-citation.json"} </w:instrText>
      </w:r>
      <w:r w:rsidRPr="00562EB5">
        <w:rPr>
          <w:rFonts w:eastAsia="MS Mincho" w:cs="Times New Roman"/>
          <w:szCs w:val="24"/>
        </w:rPr>
        <w:fldChar w:fldCharType="separate"/>
      </w:r>
      <w:r w:rsidR="009D57F3" w:rsidRPr="009D57F3">
        <w:rPr>
          <w:rFonts w:ascii="Calibri" w:hAnsi="Calibri" w:cs="Times New Roman"/>
          <w:szCs w:val="24"/>
          <w:vertAlign w:val="superscript"/>
        </w:rPr>
        <w:t>12</w:t>
      </w:r>
      <w:r w:rsidRPr="00562EB5">
        <w:rPr>
          <w:rFonts w:eastAsia="MS Mincho" w:cs="Times New Roman"/>
          <w:szCs w:val="24"/>
        </w:rPr>
        <w:fldChar w:fldCharType="end"/>
      </w:r>
      <w:r w:rsidR="002F0F07">
        <w:rPr>
          <w:rFonts w:eastAsia="MS Mincho" w:cs="Times New Roman"/>
          <w:szCs w:val="24"/>
        </w:rPr>
        <w:t>,</w:t>
      </w:r>
      <w:r w:rsidRPr="00562EB5">
        <w:rPr>
          <w:rFonts w:eastAsia="MS Mincho" w:cs="Times New Roman"/>
          <w:szCs w:val="24"/>
        </w:rPr>
        <w:t xml:space="preserve">  however PFS rates </w:t>
      </w:r>
      <w:r w:rsidR="00B91E53">
        <w:rPr>
          <w:rFonts w:eastAsia="MS Mincho" w:cs="Times New Roman"/>
          <w:szCs w:val="24"/>
        </w:rPr>
        <w:t>we</w:t>
      </w:r>
      <w:r w:rsidRPr="00562EB5">
        <w:rPr>
          <w:rFonts w:eastAsia="MS Mincho" w:cs="Times New Roman"/>
          <w:szCs w:val="24"/>
        </w:rPr>
        <w:t>re comparable and a significant number (&gt;</w:t>
      </w:r>
      <w:r w:rsidR="00E1618B">
        <w:rPr>
          <w:rFonts w:eastAsia="MS Mincho" w:cs="Times New Roman"/>
          <w:szCs w:val="24"/>
        </w:rPr>
        <w:t>32</w:t>
      </w:r>
      <w:r w:rsidRPr="00562EB5">
        <w:rPr>
          <w:rFonts w:eastAsia="MS Mincho" w:cs="Times New Roman"/>
          <w:szCs w:val="24"/>
        </w:rPr>
        <w:t>%) of patients experience</w:t>
      </w:r>
      <w:r w:rsidR="001B5A33">
        <w:rPr>
          <w:rFonts w:eastAsia="MS Mincho" w:cs="Times New Roman"/>
          <w:szCs w:val="24"/>
        </w:rPr>
        <w:t>d</w:t>
      </w:r>
      <w:r w:rsidRPr="00562EB5">
        <w:rPr>
          <w:rFonts w:eastAsia="MS Mincho" w:cs="Times New Roman"/>
          <w:szCs w:val="24"/>
        </w:rPr>
        <w:t xml:space="preserve"> prolonged (&gt;3 months) periods of disease stabilisation with </w:t>
      </w:r>
      <w:r w:rsidR="00E1618B">
        <w:rPr>
          <w:rFonts w:eastAsia="MS Mincho" w:cs="Times New Roman"/>
          <w:szCs w:val="24"/>
        </w:rPr>
        <w:t>28</w:t>
      </w:r>
      <w:r w:rsidRPr="00562EB5">
        <w:rPr>
          <w:rFonts w:eastAsia="MS Mincho" w:cs="Times New Roman"/>
          <w:szCs w:val="24"/>
        </w:rPr>
        <w:t>% maintaining disease control for &gt;6 months</w:t>
      </w:r>
      <w:r w:rsidR="00C60FC7">
        <w:rPr>
          <w:rFonts w:eastAsia="MS Mincho" w:cs="Times New Roman"/>
          <w:szCs w:val="24"/>
        </w:rPr>
        <w:t>.</w:t>
      </w:r>
    </w:p>
    <w:p w14:paraId="1796E6AA" w14:textId="77777777" w:rsidR="00A72480" w:rsidRPr="00562EB5" w:rsidRDefault="00A72480" w:rsidP="00B75DB1">
      <w:pPr>
        <w:spacing w:after="0" w:line="480" w:lineRule="auto"/>
        <w:jc w:val="both"/>
        <w:rPr>
          <w:rFonts w:eastAsia="MS Mincho" w:cs="Times New Roman"/>
          <w:szCs w:val="24"/>
        </w:rPr>
      </w:pPr>
    </w:p>
    <w:p w14:paraId="5CB499CC" w14:textId="1A03C7E8" w:rsidR="00A72480" w:rsidRPr="00562EB5" w:rsidRDefault="00A72480" w:rsidP="00B75DB1">
      <w:pPr>
        <w:spacing w:after="0" w:line="480" w:lineRule="auto"/>
        <w:jc w:val="both"/>
        <w:rPr>
          <w:rFonts w:eastAsia="MS Mincho" w:cs="Times New Roman"/>
          <w:szCs w:val="24"/>
        </w:rPr>
      </w:pPr>
      <w:r w:rsidRPr="00562EB5">
        <w:rPr>
          <w:rFonts w:eastAsia="MS Mincho" w:cs="Times New Roman"/>
          <w:szCs w:val="24"/>
        </w:rPr>
        <w:t>High LDH and poorer PS at baseline</w:t>
      </w:r>
      <w:r w:rsidR="0070207E">
        <w:rPr>
          <w:rFonts w:eastAsia="MS Mincho" w:cs="Times New Roman"/>
          <w:szCs w:val="24"/>
        </w:rPr>
        <w:t xml:space="preserve"> -</w:t>
      </w:r>
      <w:r w:rsidR="0070207E" w:rsidRPr="0070207E">
        <w:rPr>
          <w:rFonts w:eastAsia="MS Mincho" w:cs="Times New Roman"/>
          <w:szCs w:val="24"/>
        </w:rPr>
        <w:t xml:space="preserve"> </w:t>
      </w:r>
      <w:r w:rsidR="0070207E" w:rsidRPr="00562EB5">
        <w:rPr>
          <w:rFonts w:eastAsia="MS Mincho" w:cs="Times New Roman"/>
          <w:szCs w:val="24"/>
        </w:rPr>
        <w:t>known markers of disease burden and/or aggressiveness</w:t>
      </w:r>
      <w:r w:rsidR="0070207E">
        <w:rPr>
          <w:rFonts w:eastAsia="MS Mincho" w:cs="Times New Roman"/>
          <w:szCs w:val="24"/>
        </w:rPr>
        <w:t xml:space="preserve"> -</w:t>
      </w:r>
      <w:r w:rsidRPr="00562EB5">
        <w:rPr>
          <w:rFonts w:eastAsia="MS Mincho" w:cs="Times New Roman"/>
          <w:szCs w:val="24"/>
        </w:rPr>
        <w:t xml:space="preserve"> predicted a shorter duration of benefit</w:t>
      </w:r>
      <w:r w:rsidR="002F0F07">
        <w:rPr>
          <w:rFonts w:eastAsia="MS Mincho" w:cs="Times New Roman"/>
          <w:szCs w:val="24"/>
        </w:rPr>
        <w:t>.</w:t>
      </w:r>
      <w:r w:rsidRPr="00562EB5">
        <w:rPr>
          <w:rFonts w:eastAsia="MS Mincho" w:cs="Times New Roman"/>
          <w:szCs w:val="24"/>
        </w:rPr>
        <w:t xml:space="preserve"> </w:t>
      </w:r>
      <w:r w:rsidR="002F0F07">
        <w:rPr>
          <w:rFonts w:eastAsia="MS Mincho" w:cs="Times New Roman"/>
          <w:szCs w:val="24"/>
        </w:rPr>
        <w:t>W</w:t>
      </w:r>
      <w:r w:rsidRPr="00562EB5">
        <w:rPr>
          <w:rFonts w:eastAsia="MS Mincho" w:cs="Times New Roman"/>
          <w:szCs w:val="24"/>
        </w:rPr>
        <w:t xml:space="preserve">hile not surprising </w:t>
      </w:r>
      <w:r w:rsidR="009513CE" w:rsidRPr="00562EB5">
        <w:rPr>
          <w:rFonts w:eastAsia="MS Mincho" w:cs="Times New Roman"/>
          <w:szCs w:val="24"/>
        </w:rPr>
        <w:t xml:space="preserve">this </w:t>
      </w:r>
      <w:r w:rsidRPr="00562EB5">
        <w:rPr>
          <w:rFonts w:eastAsia="MS Mincho" w:cs="Times New Roman"/>
          <w:szCs w:val="24"/>
        </w:rPr>
        <w:t>provides additional prognostic information.</w:t>
      </w:r>
      <w:r w:rsidR="007F270D">
        <w:rPr>
          <w:rFonts w:eastAsia="MS Mincho" w:cs="Times New Roman"/>
          <w:szCs w:val="24"/>
        </w:rPr>
        <w:t xml:space="preserve"> </w:t>
      </w:r>
      <w:r w:rsidR="002F0F07">
        <w:rPr>
          <w:rFonts w:eastAsia="MS Mincho" w:cs="Times New Roman"/>
          <w:szCs w:val="24"/>
        </w:rPr>
        <w:t>AEs</w:t>
      </w:r>
      <w:r w:rsidR="008047EE" w:rsidRPr="00562EB5">
        <w:rPr>
          <w:rFonts w:eastAsia="MS Mincho" w:cs="Times New Roman"/>
          <w:szCs w:val="24"/>
        </w:rPr>
        <w:t xml:space="preserve"> seen </w:t>
      </w:r>
      <w:r w:rsidR="00B91E53">
        <w:rPr>
          <w:rFonts w:eastAsia="MS Mincho" w:cs="Times New Roman"/>
          <w:szCs w:val="24"/>
        </w:rPr>
        <w:t>we</w:t>
      </w:r>
      <w:r w:rsidR="00A4588E" w:rsidRPr="00562EB5">
        <w:rPr>
          <w:rFonts w:eastAsia="MS Mincho" w:cs="Times New Roman"/>
          <w:szCs w:val="24"/>
        </w:rPr>
        <w:t>re in line</w:t>
      </w:r>
      <w:r w:rsidR="008047EE" w:rsidRPr="00562EB5">
        <w:rPr>
          <w:rFonts w:eastAsia="MS Mincho" w:cs="Times New Roman"/>
          <w:szCs w:val="24"/>
        </w:rPr>
        <w:t xml:space="preserve"> with </w:t>
      </w:r>
      <w:r w:rsidRPr="00562EB5">
        <w:rPr>
          <w:rFonts w:eastAsia="MS Mincho" w:cs="Times New Roman"/>
          <w:szCs w:val="24"/>
        </w:rPr>
        <w:t>safety analys</w:t>
      </w:r>
      <w:r w:rsidR="001B5A33">
        <w:rPr>
          <w:rFonts w:eastAsia="MS Mincho" w:cs="Times New Roman"/>
          <w:szCs w:val="24"/>
        </w:rPr>
        <w:t>e</w:t>
      </w:r>
      <w:r w:rsidRPr="00562EB5">
        <w:rPr>
          <w:rFonts w:eastAsia="MS Mincho" w:cs="Times New Roman"/>
          <w:szCs w:val="24"/>
        </w:rPr>
        <w:t xml:space="preserve">s </w:t>
      </w:r>
      <w:r w:rsidR="00A4588E" w:rsidRPr="00562EB5">
        <w:rPr>
          <w:rFonts w:eastAsia="MS Mincho" w:cs="Times New Roman"/>
          <w:szCs w:val="24"/>
        </w:rPr>
        <w:t>from larger studies</w:t>
      </w:r>
      <w:r w:rsidR="002C67CA">
        <w:rPr>
          <w:rFonts w:eastAsia="MS Mincho" w:cs="Times New Roman"/>
          <w:szCs w:val="24"/>
        </w:rPr>
        <w:t xml:space="preserve"> </w:t>
      </w:r>
      <w:r w:rsidR="00A4588E" w:rsidRPr="00562EB5">
        <w:rPr>
          <w:rFonts w:eastAsia="MS Mincho" w:cs="Times New Roman"/>
          <w:szCs w:val="24"/>
        </w:rPr>
        <w:fldChar w:fldCharType="begin"/>
      </w:r>
      <w:r w:rsidR="009D57F3">
        <w:rPr>
          <w:rFonts w:eastAsia="MS Mincho" w:cs="Times New Roman"/>
          <w:szCs w:val="24"/>
        </w:rPr>
        <w:instrText xml:space="preserve"> ADDIN ZOTERO_ITEM CSL_CITATION {"citationID":"1apmhd3rmn","properties":{"formattedCitation":"{\\rtf \\super 12\\nosupersub{}}","plainCitation":"12"},"citationItems":[{"id":4559,"uris":["http://zotero.org/users/150865/items/22KMSRJD"],"uri":["http://zotero.org/users/150865/items/22KMSRJD"],"itemData":{"id":4559,"type":"article-journal","title":"Pembrolizumab versus Ipilimumab in Advanced Melanoma","container-title":"New England Journal of Medicine","page":"2521-2532","volume":"372","issue":"26","source":"Taylor and Francis+NEJM","abstract":"Two therapeutic strategies have improved survival for patients with advanced melanoma in recent years: immunotherapy with checkpoint inhibitors and targeted therapies blocking BRAF and MEK.1 BRAF and MEK inhibitors are indicated for the approximately 40 to 50% of patients with BRAF V600 mutations,1 whereas immunotherapies are effective independently of BRAF mutational status.2 Ipilimumab, which blocks cytotoxic T-lymphocyte–associated protein 4 (CTLA-4), a coinhibitory molecule of the immune system,3,4 is approved for treating advanced melanoma on the basis of its survival benefit.5,6 However, grade 3 or 4 adverse events, mostly immune-related,7 are observed in 23% of patients.5,6 When activated . . .","DOI":"10.1056/NEJMoa1503093","ISSN":"0028-4793","note":"PMID: 25891173","author":[{"family":"Robert","given":"Caroline"},{"family":"Schachter","given":"Jacob"},{"family":"Long","given":"Georgina V."},{"family":"Arance","given":"Ana"},{"family":"Grob","given":"Jean Jacques"},{"family":"Mortier","given":"Laurent"},{"family":"Daud","given":"Adil"},{"family":"Carlino","given":"Matteo S."},{"family":"McNeil","given":"Catriona"},{"family":"Lotem","given":"Michal"},{"family":"Larkin","given":"James"},{"family":"Lorigan","given":"Paul"},{"family":"Neyns","given":"Bart"},{"family":"Blank","given":"Christian U."},{"family":"Hamid","given":"Omid"},{"family":"Mateus","given":"Christine"},{"family":"Shapira-Frommer","given":"Ronnie"},{"family":"Kosh","given":"Michele"},{"family":"Zhou","given":"Honghong"},{"family":"Ibrahim","given":"Nageatte"},{"family":"Ebbinghaus","given":"Scot"},{"family":"Ribas","given":"Antoni"}],"issued":{"date-parts":[["2015",6,25]]},"PMID":"25891173"}}],"schema":"https://github.com/citation-style-language/schema/raw/master/csl-citation.json"} </w:instrText>
      </w:r>
      <w:r w:rsidR="00A4588E" w:rsidRPr="00562EB5">
        <w:rPr>
          <w:rFonts w:eastAsia="MS Mincho" w:cs="Times New Roman"/>
          <w:szCs w:val="24"/>
        </w:rPr>
        <w:fldChar w:fldCharType="separate"/>
      </w:r>
      <w:r w:rsidR="009D57F3" w:rsidRPr="009D57F3">
        <w:rPr>
          <w:rFonts w:ascii="Calibri" w:hAnsi="Calibri" w:cs="Times New Roman"/>
          <w:szCs w:val="24"/>
          <w:vertAlign w:val="superscript"/>
        </w:rPr>
        <w:t>12</w:t>
      </w:r>
      <w:r w:rsidR="00A4588E" w:rsidRPr="00562EB5">
        <w:rPr>
          <w:rFonts w:eastAsia="MS Mincho" w:cs="Times New Roman"/>
          <w:szCs w:val="24"/>
        </w:rPr>
        <w:fldChar w:fldCharType="end"/>
      </w:r>
      <w:r w:rsidRPr="00562EB5">
        <w:rPr>
          <w:rFonts w:eastAsia="MS Mincho" w:cs="Times New Roman"/>
          <w:szCs w:val="24"/>
        </w:rPr>
        <w:t xml:space="preserve"> and confirm that </w:t>
      </w:r>
      <w:r w:rsidR="002F0F07">
        <w:rPr>
          <w:rFonts w:eastAsia="MS Mincho" w:cs="Times New Roman"/>
          <w:szCs w:val="24"/>
        </w:rPr>
        <w:t>pembrolizumab</w:t>
      </w:r>
      <w:r w:rsidRPr="00562EB5">
        <w:rPr>
          <w:rFonts w:eastAsia="MS Mincho" w:cs="Times New Roman"/>
          <w:szCs w:val="24"/>
        </w:rPr>
        <w:t xml:space="preserve"> is well tolerated in this patient population.</w:t>
      </w:r>
    </w:p>
    <w:p w14:paraId="177D14CF" w14:textId="77777777" w:rsidR="00A72480" w:rsidRPr="00562EB5" w:rsidRDefault="00A72480" w:rsidP="00B75DB1">
      <w:pPr>
        <w:spacing w:after="0" w:line="480" w:lineRule="auto"/>
        <w:jc w:val="both"/>
        <w:rPr>
          <w:rFonts w:eastAsia="MS Mincho" w:cs="Times New Roman"/>
          <w:szCs w:val="24"/>
        </w:rPr>
      </w:pPr>
    </w:p>
    <w:p w14:paraId="30A1E6B6" w14:textId="3A4607B1" w:rsidR="00EC0B13" w:rsidRDefault="00E67408" w:rsidP="00B75DB1">
      <w:pPr>
        <w:spacing w:after="0" w:line="480" w:lineRule="auto"/>
        <w:jc w:val="both"/>
        <w:rPr>
          <w:rFonts w:eastAsia="MS Mincho" w:cs="Times New Roman"/>
          <w:szCs w:val="24"/>
        </w:rPr>
      </w:pPr>
      <w:r w:rsidRPr="00E67408">
        <w:rPr>
          <w:rFonts w:eastAsia="MS Mincho" w:cs="Times New Roman"/>
          <w:szCs w:val="24"/>
        </w:rPr>
        <w:t xml:space="preserve">The most dramatic observation </w:t>
      </w:r>
      <w:r w:rsidR="00B91E53">
        <w:rPr>
          <w:rFonts w:eastAsia="MS Mincho" w:cs="Times New Roman"/>
          <w:szCs w:val="24"/>
        </w:rPr>
        <w:t>relates to the role</w:t>
      </w:r>
      <w:r w:rsidRPr="00E67408">
        <w:rPr>
          <w:rFonts w:eastAsia="MS Mincho" w:cs="Times New Roman"/>
          <w:szCs w:val="24"/>
        </w:rPr>
        <w:t xml:space="preserve"> of uncontrolled intrahepatic metastases. Patients with liver deposits as the only site of progression had</w:t>
      </w:r>
      <w:r w:rsidR="00AF2FB4">
        <w:rPr>
          <w:rFonts w:eastAsia="MS Mincho" w:cs="Times New Roman"/>
          <w:szCs w:val="24"/>
        </w:rPr>
        <w:t xml:space="preserve"> significantly</w:t>
      </w:r>
      <w:r w:rsidRPr="00E67408">
        <w:rPr>
          <w:rFonts w:eastAsia="MS Mincho" w:cs="Times New Roman"/>
          <w:szCs w:val="24"/>
        </w:rPr>
        <w:t xml:space="preserve"> shorter PFS as compared to subjects with extrahepatic sites  (</w:t>
      </w:r>
      <w:r w:rsidR="00AF2FB4" w:rsidRPr="00E67408">
        <w:rPr>
          <w:rFonts w:eastAsia="MS Mincho" w:cs="Times New Roman"/>
          <w:szCs w:val="24"/>
        </w:rPr>
        <w:t xml:space="preserve">median </w:t>
      </w:r>
      <w:r w:rsidR="00AF2FB4">
        <w:rPr>
          <w:rFonts w:eastAsia="MS Mincho" w:cs="Times New Roman"/>
          <w:szCs w:val="24"/>
        </w:rPr>
        <w:t>of 63</w:t>
      </w:r>
      <w:r w:rsidR="00AF2FB4" w:rsidRPr="00E67408">
        <w:rPr>
          <w:rFonts w:eastAsia="MS Mincho" w:cs="Times New Roman"/>
          <w:szCs w:val="24"/>
        </w:rPr>
        <w:t xml:space="preserve"> </w:t>
      </w:r>
      <w:r w:rsidR="00AF2FB4">
        <w:rPr>
          <w:rFonts w:eastAsia="MS Mincho" w:cs="Times New Roman"/>
          <w:szCs w:val="24"/>
        </w:rPr>
        <w:t>vs</w:t>
      </w:r>
      <w:r w:rsidR="00AF2FB4" w:rsidRPr="00E67408" w:rsidDel="00EA7D21">
        <w:rPr>
          <w:rFonts w:eastAsia="MS Mincho" w:cs="Times New Roman"/>
          <w:szCs w:val="24"/>
        </w:rPr>
        <w:t xml:space="preserve"> </w:t>
      </w:r>
      <w:r w:rsidR="00AF2FB4">
        <w:rPr>
          <w:rFonts w:eastAsia="MS Mincho" w:cs="Times New Roman"/>
          <w:szCs w:val="24"/>
        </w:rPr>
        <w:t>153</w:t>
      </w:r>
      <w:r w:rsidR="00EA7D21">
        <w:rPr>
          <w:rFonts w:eastAsia="MS Mincho" w:cs="Times New Roman"/>
          <w:szCs w:val="24"/>
        </w:rPr>
        <w:t xml:space="preserve"> </w:t>
      </w:r>
      <w:r w:rsidRPr="00E67408">
        <w:rPr>
          <w:rFonts w:eastAsia="MS Mincho" w:cs="Times New Roman"/>
          <w:szCs w:val="24"/>
        </w:rPr>
        <w:t>days</w:t>
      </w:r>
      <w:r w:rsidR="00AF2FB4">
        <w:rPr>
          <w:rFonts w:eastAsia="MS Mincho" w:cs="Times New Roman"/>
          <w:szCs w:val="24"/>
        </w:rPr>
        <w:t>, Figure 2</w:t>
      </w:r>
      <w:r w:rsidR="00AA3214">
        <w:rPr>
          <w:rFonts w:eastAsia="MS Mincho" w:cs="Times New Roman"/>
          <w:szCs w:val="24"/>
        </w:rPr>
        <w:t>C</w:t>
      </w:r>
      <w:r w:rsidR="00EA7D21">
        <w:rPr>
          <w:rFonts w:eastAsia="MS Mincho" w:cs="Times New Roman"/>
          <w:szCs w:val="24"/>
        </w:rPr>
        <w:t>)</w:t>
      </w:r>
      <w:r w:rsidR="00AF2FB4">
        <w:rPr>
          <w:rFonts w:eastAsia="MS Mincho" w:cs="Times New Roman"/>
          <w:szCs w:val="24"/>
        </w:rPr>
        <w:t>;</w:t>
      </w:r>
      <w:r w:rsidR="00EC0B13">
        <w:rPr>
          <w:rFonts w:eastAsia="MS Mincho" w:cs="Times New Roman"/>
          <w:szCs w:val="24"/>
        </w:rPr>
        <w:t xml:space="preserve"> </w:t>
      </w:r>
      <w:r w:rsidR="00AF2FB4">
        <w:rPr>
          <w:rFonts w:eastAsia="MS Mincho" w:cs="Times New Roman"/>
          <w:szCs w:val="24"/>
        </w:rPr>
        <w:t>a</w:t>
      </w:r>
      <w:r w:rsidR="00EC0B13">
        <w:rPr>
          <w:rFonts w:eastAsia="MS Mincho" w:cs="Times New Roman"/>
          <w:szCs w:val="24"/>
        </w:rPr>
        <w:t>dditionally,</w:t>
      </w:r>
      <w:r w:rsidR="00A72480" w:rsidRPr="00562EB5">
        <w:rPr>
          <w:rFonts w:eastAsia="MS Mincho" w:cs="Times New Roman"/>
          <w:szCs w:val="24"/>
        </w:rPr>
        <w:t xml:space="preserve"> the </w:t>
      </w:r>
      <w:r w:rsidR="004260B8">
        <w:rPr>
          <w:rFonts w:eastAsia="MS Mincho" w:cs="Times New Roman"/>
          <w:szCs w:val="24"/>
        </w:rPr>
        <w:t xml:space="preserve">former </w:t>
      </w:r>
      <w:r w:rsidR="00A72480" w:rsidRPr="00562EB5">
        <w:rPr>
          <w:rFonts w:eastAsia="MS Mincho" w:cs="Times New Roman"/>
          <w:szCs w:val="24"/>
        </w:rPr>
        <w:t xml:space="preserve">uniformly went on to develop disease progression in the liver alone. </w:t>
      </w:r>
      <w:r w:rsidR="007F270D">
        <w:rPr>
          <w:rFonts w:eastAsia="MS Mincho" w:cs="Times New Roman"/>
          <w:szCs w:val="24"/>
        </w:rPr>
        <w:t xml:space="preserve"> </w:t>
      </w:r>
    </w:p>
    <w:p w14:paraId="070B66EF" w14:textId="77777777" w:rsidR="00EC0B13" w:rsidRDefault="00EC0B13" w:rsidP="00B75DB1">
      <w:pPr>
        <w:spacing w:after="0" w:line="480" w:lineRule="auto"/>
        <w:jc w:val="both"/>
        <w:rPr>
          <w:rFonts w:eastAsia="MS Mincho" w:cs="Times New Roman"/>
          <w:szCs w:val="24"/>
        </w:rPr>
      </w:pPr>
    </w:p>
    <w:p w14:paraId="77E03C8B" w14:textId="4AA90527" w:rsidR="00A72480" w:rsidRPr="00562EB5" w:rsidRDefault="00A72480" w:rsidP="00B75DB1">
      <w:pPr>
        <w:spacing w:after="0" w:line="480" w:lineRule="auto"/>
        <w:jc w:val="both"/>
        <w:rPr>
          <w:rFonts w:eastAsia="MS Mincho" w:cs="Times New Roman"/>
          <w:szCs w:val="24"/>
        </w:rPr>
      </w:pPr>
      <w:r w:rsidRPr="00562EB5">
        <w:rPr>
          <w:rFonts w:eastAsia="MS Mincho" w:cs="Times New Roman"/>
          <w:szCs w:val="24"/>
        </w:rPr>
        <w:t>The reasons behind this behaviour are unclear and likely multifactorial.</w:t>
      </w:r>
      <w:r w:rsidR="007F270D">
        <w:rPr>
          <w:rFonts w:eastAsia="MS Mincho" w:cs="Times New Roman"/>
          <w:szCs w:val="24"/>
        </w:rPr>
        <w:t xml:space="preserve"> </w:t>
      </w:r>
      <w:r w:rsidR="00B91E53">
        <w:rPr>
          <w:rFonts w:eastAsia="MS Mincho" w:cs="Times New Roman"/>
          <w:szCs w:val="24"/>
        </w:rPr>
        <w:t>T</w:t>
      </w:r>
      <w:r w:rsidRPr="00562EB5">
        <w:rPr>
          <w:rFonts w:eastAsia="MS Mincho" w:cs="Times New Roman"/>
          <w:szCs w:val="24"/>
        </w:rPr>
        <w:t xml:space="preserve">he liver microenvironment </w:t>
      </w:r>
      <w:r w:rsidR="00B91E53">
        <w:rPr>
          <w:rFonts w:eastAsia="MS Mincho" w:cs="Times New Roman"/>
          <w:szCs w:val="24"/>
        </w:rPr>
        <w:t xml:space="preserve">is known to </w:t>
      </w:r>
      <w:r w:rsidRPr="00562EB5">
        <w:rPr>
          <w:rFonts w:eastAsia="MS Mincho" w:cs="Times New Roman"/>
          <w:szCs w:val="24"/>
        </w:rPr>
        <w:t>facilitate immune escape</w:t>
      </w:r>
      <w:r w:rsidR="00143829">
        <w:rPr>
          <w:rFonts w:eastAsia="MS Mincho" w:cs="Times New Roman"/>
          <w:szCs w:val="24"/>
        </w:rPr>
        <w:t xml:space="preserve"> </w:t>
      </w:r>
      <w:r w:rsidR="00062270" w:rsidRPr="00562EB5">
        <w:rPr>
          <w:rFonts w:eastAsia="MS Mincho" w:cs="Times New Roman"/>
          <w:szCs w:val="24"/>
        </w:rPr>
        <w:fldChar w:fldCharType="begin"/>
      </w:r>
      <w:r w:rsidR="009D57F3">
        <w:rPr>
          <w:rFonts w:eastAsia="MS Mincho" w:cs="Times New Roman"/>
          <w:szCs w:val="24"/>
        </w:rPr>
        <w:instrText xml:space="preserve"> ADDIN ZOTERO_ITEM CSL_CITATION {"citationID":"268e8msmse","properties":{"formattedCitation":"{\\rtf \\super 24\\nosupersub{}}","plainCitation":"24"},"citationItems":[{"id":4472,"uris":["http://zotero.org/users/150865/items/4A9D6NS5"],"uri":["http://zotero.org/users/150865/items/4A9D6NS5"],"itemData":{"id":4472,"type":"article-journal","title":"Immunotherapeutic modulation of the suppressive liver and tumor microenvironments","container-title":"International immunopharmacology","page":"876-886","volume":"11","issue":"7","source":"PubMed Central","abstract":"The liver is an immunologically unique organ, consisting of resident hematopoietic and parenchymal cells which often contribute to a relatively tolerant microenvironment. It is also becoming increasingly clear that tumor-induced immunosuppression occurs via many of the same cellular mechanisms which contribute to the tolerogenic liver microenvironment. Myeloid cells, consisting of dendritic cells (DC), macrophages and myeloid-derived suppressor cells (MDSC), have been implicated in providing a tolerogenic liver environment and immune dysfunction within the tumor microenvironment which can favor tumor progression. As we increase our understanding of the biological mechanisms involved for each phenotypic and/or functionally distinct leukocyte subset, immunotherapeutic strategies can be developed to overcome the inherent barriers to the development of improved strategies for the treatment of liver disease and tumors. In this review, we discuss the principal myeloid cell-based contributions to immunosuppression that are shared between the liver and tumor microenvironments. We further highlight immune-based strategies shown to modulate immunoregulatory cells within each microenvironment and enhance anti-tumor responses.","DOI":"10.1016/j.intimp.2010.12.024","ISSN":"1567-5769","note":"PMID: 21241810\nPMCID: PMC3082592","journalAbbreviation":"Int Immunopharmacol","author":[{"family":"Chan","given":"Tim"},{"family":"Wiltrout","given":"Robert H."},{"family":"Weiss","given":"Jonathan M."}],"issued":{"date-parts":[["2011",7]]},"PMID":"21241810","PMCID":"PMC3082592"}}],"schema":"https://github.com/citation-style-language/schema/raw/master/csl-citation.json"} </w:instrText>
      </w:r>
      <w:r w:rsidR="00062270" w:rsidRPr="00562EB5">
        <w:rPr>
          <w:rFonts w:eastAsia="MS Mincho" w:cs="Times New Roman"/>
          <w:szCs w:val="24"/>
        </w:rPr>
        <w:fldChar w:fldCharType="separate"/>
      </w:r>
      <w:r w:rsidR="009D57F3" w:rsidRPr="009D57F3">
        <w:rPr>
          <w:rFonts w:ascii="Calibri" w:hAnsi="Calibri" w:cs="Times New Roman"/>
          <w:szCs w:val="24"/>
          <w:vertAlign w:val="superscript"/>
        </w:rPr>
        <w:t>24</w:t>
      </w:r>
      <w:r w:rsidR="00062270" w:rsidRPr="00562EB5">
        <w:rPr>
          <w:rFonts w:eastAsia="MS Mincho" w:cs="Times New Roman"/>
          <w:szCs w:val="24"/>
        </w:rPr>
        <w:fldChar w:fldCharType="end"/>
      </w:r>
      <w:r w:rsidR="00062270" w:rsidRPr="00562EB5">
        <w:rPr>
          <w:rFonts w:eastAsia="MS Mincho" w:cs="Times New Roman"/>
          <w:szCs w:val="24"/>
        </w:rPr>
        <w:t xml:space="preserve"> </w:t>
      </w:r>
      <w:r w:rsidRPr="00562EB5">
        <w:rPr>
          <w:rFonts w:eastAsia="MS Mincho" w:cs="Times New Roman"/>
          <w:szCs w:val="24"/>
        </w:rPr>
        <w:t xml:space="preserve">and the specific mechanisms involved may account both for the predilection of UM </w:t>
      </w:r>
      <w:r w:rsidR="00B91E53">
        <w:rPr>
          <w:rFonts w:eastAsia="MS Mincho" w:cs="Times New Roman"/>
          <w:szCs w:val="24"/>
        </w:rPr>
        <w:t>for</w:t>
      </w:r>
      <w:r w:rsidRPr="00562EB5">
        <w:rPr>
          <w:rFonts w:eastAsia="MS Mincho" w:cs="Times New Roman"/>
          <w:szCs w:val="24"/>
        </w:rPr>
        <w:t xml:space="preserve"> liver metastases and the reduced efficacy of immunotherapeutic agents in patients </w:t>
      </w:r>
      <w:r w:rsidR="006D070E">
        <w:rPr>
          <w:rFonts w:eastAsia="MS Mincho" w:cs="Times New Roman"/>
          <w:szCs w:val="24"/>
        </w:rPr>
        <w:t>with</w:t>
      </w:r>
      <w:r w:rsidRPr="00562EB5">
        <w:rPr>
          <w:rFonts w:eastAsia="MS Mincho" w:cs="Times New Roman"/>
          <w:szCs w:val="24"/>
        </w:rPr>
        <w:t xml:space="preserve"> liver disease</w:t>
      </w:r>
      <w:r w:rsidR="007F270D">
        <w:rPr>
          <w:rFonts w:eastAsia="MS Mincho" w:cs="Times New Roman"/>
          <w:szCs w:val="24"/>
        </w:rPr>
        <w:t>.</w:t>
      </w:r>
      <w:r w:rsidR="00B91E53">
        <w:rPr>
          <w:rFonts w:eastAsia="MS Mincho" w:cs="Times New Roman"/>
          <w:szCs w:val="24"/>
        </w:rPr>
        <w:t xml:space="preserve"> </w:t>
      </w:r>
      <w:r w:rsidRPr="00562EB5">
        <w:rPr>
          <w:rFonts w:eastAsia="MS Mincho" w:cs="Times New Roman"/>
          <w:szCs w:val="24"/>
        </w:rPr>
        <w:t xml:space="preserve">A related and not mutually exclusive possibility is that extrahepatic sites of disease allow better priming of an anticancer immune response which can then control </w:t>
      </w:r>
      <w:r w:rsidRPr="00562EB5">
        <w:rPr>
          <w:rFonts w:eastAsia="MS Mincho" w:cs="Times New Roman"/>
          <w:szCs w:val="24"/>
        </w:rPr>
        <w:lastRenderedPageBreak/>
        <w:t>intrahepatic disease.</w:t>
      </w:r>
      <w:r w:rsidR="00901161">
        <w:rPr>
          <w:rFonts w:eastAsia="MS Mincho" w:cs="Times New Roman"/>
          <w:szCs w:val="24"/>
        </w:rPr>
        <w:t xml:space="preserve"> </w:t>
      </w:r>
      <w:r w:rsidRPr="00562EB5">
        <w:rPr>
          <w:rFonts w:eastAsia="MS Mincho" w:cs="Times New Roman"/>
          <w:szCs w:val="24"/>
        </w:rPr>
        <w:t>Finally</w:t>
      </w:r>
      <w:r w:rsidR="00744F47">
        <w:rPr>
          <w:rFonts w:eastAsia="MS Mincho" w:cs="Times New Roman"/>
          <w:szCs w:val="24"/>
        </w:rPr>
        <w:t xml:space="preserve">, </w:t>
      </w:r>
      <w:r w:rsidRPr="00562EB5">
        <w:rPr>
          <w:rFonts w:eastAsia="MS Mincho" w:cs="Times New Roman"/>
          <w:szCs w:val="24"/>
        </w:rPr>
        <w:t xml:space="preserve">the pattern of metastatic spread </w:t>
      </w:r>
      <w:r w:rsidR="00744F47">
        <w:rPr>
          <w:rFonts w:eastAsia="MS Mincho" w:cs="Times New Roman"/>
          <w:szCs w:val="24"/>
        </w:rPr>
        <w:t xml:space="preserve">may </w:t>
      </w:r>
      <w:r w:rsidRPr="00562EB5">
        <w:rPr>
          <w:rFonts w:eastAsia="MS Mincho" w:cs="Times New Roman"/>
          <w:szCs w:val="24"/>
        </w:rPr>
        <w:t xml:space="preserve">reflect underlying biological differences – e.g. mutational load, </w:t>
      </w:r>
      <w:r w:rsidR="00744F47">
        <w:rPr>
          <w:rFonts w:eastAsia="MS Mincho" w:cs="Times New Roman"/>
          <w:szCs w:val="24"/>
        </w:rPr>
        <w:t>underlying</w:t>
      </w:r>
      <w:r w:rsidRPr="00562EB5">
        <w:rPr>
          <w:rFonts w:eastAsia="MS Mincho" w:cs="Times New Roman"/>
          <w:szCs w:val="24"/>
        </w:rPr>
        <w:t xml:space="preserve"> immune escape mechanisms - that influence the ability of checkpoint inhibitors such as pembrolizumab to drive an effective immune response.</w:t>
      </w:r>
    </w:p>
    <w:p w14:paraId="707FAAAA" w14:textId="77777777" w:rsidR="00A72480" w:rsidRPr="00562EB5" w:rsidRDefault="00A72480" w:rsidP="00B75DB1">
      <w:pPr>
        <w:spacing w:after="0" w:line="480" w:lineRule="auto"/>
        <w:jc w:val="both"/>
        <w:rPr>
          <w:rFonts w:eastAsia="MS Mincho" w:cs="Times New Roman"/>
          <w:szCs w:val="24"/>
        </w:rPr>
      </w:pPr>
    </w:p>
    <w:p w14:paraId="43D0AC8A" w14:textId="5CDE8C19" w:rsidR="00EC0B13" w:rsidRDefault="00A72480" w:rsidP="00B75DB1">
      <w:pPr>
        <w:spacing w:after="0" w:line="480" w:lineRule="auto"/>
        <w:jc w:val="both"/>
        <w:rPr>
          <w:rFonts w:eastAsia="MS Mincho" w:cs="Times New Roman"/>
          <w:szCs w:val="24"/>
        </w:rPr>
      </w:pPr>
      <w:r w:rsidRPr="00562EB5">
        <w:rPr>
          <w:rFonts w:eastAsia="MS Mincho" w:cs="Times New Roman"/>
          <w:szCs w:val="24"/>
        </w:rPr>
        <w:t>While this is a small study</w:t>
      </w:r>
      <w:r w:rsidR="00744F47">
        <w:rPr>
          <w:rFonts w:eastAsia="MS Mincho" w:cs="Times New Roman"/>
          <w:szCs w:val="24"/>
        </w:rPr>
        <w:t>,</w:t>
      </w:r>
      <w:r w:rsidRPr="00562EB5">
        <w:rPr>
          <w:rFonts w:eastAsia="MS Mincho" w:cs="Times New Roman"/>
          <w:szCs w:val="24"/>
        </w:rPr>
        <w:t xml:space="preserve"> it has significant implications for the management of UM if the findings are confirmed. Firstly</w:t>
      </w:r>
      <w:r w:rsidR="00062270" w:rsidRPr="00562EB5">
        <w:rPr>
          <w:rFonts w:eastAsia="MS Mincho" w:cs="Times New Roman"/>
          <w:szCs w:val="24"/>
        </w:rPr>
        <w:t>,</w:t>
      </w:r>
      <w:r w:rsidRPr="00562EB5">
        <w:rPr>
          <w:rFonts w:eastAsia="MS Mincho" w:cs="Times New Roman"/>
          <w:szCs w:val="24"/>
        </w:rPr>
        <w:t xml:space="preserve"> while pembrolizumab may not </w:t>
      </w:r>
      <w:r w:rsidR="00062270" w:rsidRPr="00562EB5">
        <w:rPr>
          <w:rFonts w:eastAsia="MS Mincho" w:cs="Times New Roman"/>
          <w:szCs w:val="24"/>
        </w:rPr>
        <w:t>re</w:t>
      </w:r>
      <w:r w:rsidRPr="00562EB5">
        <w:rPr>
          <w:rFonts w:eastAsia="MS Mincho" w:cs="Times New Roman"/>
          <w:szCs w:val="24"/>
        </w:rPr>
        <w:t xml:space="preserve">produce the impressive response rates seen in </w:t>
      </w:r>
      <w:r w:rsidR="00062270" w:rsidRPr="00562EB5">
        <w:rPr>
          <w:rFonts w:eastAsia="MS Mincho" w:cs="Times New Roman"/>
          <w:szCs w:val="24"/>
        </w:rPr>
        <w:t>CM</w:t>
      </w:r>
      <w:r w:rsidRPr="00562EB5">
        <w:rPr>
          <w:rFonts w:eastAsia="MS Mincho" w:cs="Times New Roman"/>
          <w:szCs w:val="24"/>
        </w:rPr>
        <w:t>, it nevertheless appears to</w:t>
      </w:r>
      <w:r w:rsidR="00062270" w:rsidRPr="00562EB5">
        <w:rPr>
          <w:rFonts w:eastAsia="MS Mincho" w:cs="Times New Roman"/>
          <w:szCs w:val="24"/>
        </w:rPr>
        <w:t xml:space="preserve"> achieve</w:t>
      </w:r>
      <w:r w:rsidRPr="00562EB5">
        <w:rPr>
          <w:rFonts w:eastAsia="MS Mincho" w:cs="Times New Roman"/>
          <w:szCs w:val="24"/>
        </w:rPr>
        <w:t xml:space="preserve"> disease control </w:t>
      </w:r>
      <w:r w:rsidR="00062270" w:rsidRPr="00562EB5">
        <w:rPr>
          <w:rFonts w:eastAsia="MS Mincho" w:cs="Times New Roman"/>
          <w:szCs w:val="24"/>
        </w:rPr>
        <w:t xml:space="preserve">of clinically meaningful duration for a significant proportion of patients, </w:t>
      </w:r>
      <w:r w:rsidRPr="00562EB5">
        <w:rPr>
          <w:rFonts w:eastAsia="MS Mincho" w:cs="Times New Roman"/>
          <w:szCs w:val="24"/>
        </w:rPr>
        <w:t xml:space="preserve">justifying its use in the single agent setting, particularly in the absence of alternative effective systemic treatment options. </w:t>
      </w:r>
    </w:p>
    <w:p w14:paraId="1FBB5599" w14:textId="77777777" w:rsidR="00EC0B13" w:rsidRDefault="00EC0B13" w:rsidP="00B75DB1">
      <w:pPr>
        <w:spacing w:after="0" w:line="480" w:lineRule="auto"/>
        <w:jc w:val="both"/>
        <w:rPr>
          <w:rFonts w:eastAsia="MS Mincho" w:cs="Times New Roman"/>
          <w:szCs w:val="24"/>
        </w:rPr>
      </w:pPr>
    </w:p>
    <w:p w14:paraId="1A7C2C78" w14:textId="17C2DE36" w:rsidR="0015107A" w:rsidRPr="00D966BD" w:rsidRDefault="00A72480" w:rsidP="00B75DB1">
      <w:pPr>
        <w:spacing w:after="0" w:line="480" w:lineRule="auto"/>
        <w:jc w:val="both"/>
        <w:rPr>
          <w:rFonts w:eastAsia="MS Mincho" w:cs="Times New Roman"/>
          <w:szCs w:val="24"/>
        </w:rPr>
      </w:pPr>
      <w:r w:rsidRPr="00562EB5">
        <w:rPr>
          <w:rFonts w:eastAsia="MS Mincho" w:cs="Times New Roman"/>
          <w:szCs w:val="24"/>
        </w:rPr>
        <w:t>Secondly</w:t>
      </w:r>
      <w:r w:rsidR="00DC2A00">
        <w:rPr>
          <w:rFonts w:eastAsia="MS Mincho" w:cs="Times New Roman"/>
          <w:szCs w:val="24"/>
        </w:rPr>
        <w:t>,</w:t>
      </w:r>
      <w:r w:rsidRPr="00562EB5">
        <w:rPr>
          <w:rFonts w:eastAsia="MS Mincho" w:cs="Times New Roman"/>
          <w:szCs w:val="24"/>
        </w:rPr>
        <w:t xml:space="preserve"> active liver metastases in the absence</w:t>
      </w:r>
      <w:r w:rsidR="001D06A0">
        <w:rPr>
          <w:rFonts w:eastAsia="MS Mincho" w:cs="Times New Roman"/>
          <w:szCs w:val="24"/>
        </w:rPr>
        <w:t xml:space="preserve"> of extrahepatic disease appear</w:t>
      </w:r>
      <w:r w:rsidRPr="00562EB5">
        <w:rPr>
          <w:rFonts w:eastAsia="MS Mincho" w:cs="Times New Roman"/>
          <w:szCs w:val="24"/>
        </w:rPr>
        <w:t xml:space="preserve"> to have </w:t>
      </w:r>
      <w:r w:rsidR="00FA5A9E" w:rsidRPr="00562EB5">
        <w:rPr>
          <w:rFonts w:eastAsia="MS Mincho" w:cs="Times New Roman"/>
          <w:szCs w:val="24"/>
        </w:rPr>
        <w:t>major</w:t>
      </w:r>
      <w:r w:rsidRPr="00562EB5">
        <w:rPr>
          <w:rFonts w:eastAsia="MS Mincho" w:cs="Times New Roman"/>
          <w:szCs w:val="24"/>
        </w:rPr>
        <w:t xml:space="preserve"> prognostic significance as </w:t>
      </w:r>
      <w:r w:rsidR="001D06A0" w:rsidRPr="00562EB5">
        <w:rPr>
          <w:rFonts w:eastAsia="MS Mincho" w:cs="Times New Roman"/>
          <w:szCs w:val="24"/>
        </w:rPr>
        <w:t>in those circumstances</w:t>
      </w:r>
      <w:r w:rsidR="001D06A0">
        <w:rPr>
          <w:rFonts w:eastAsia="MS Mincho" w:cs="Times New Roman"/>
          <w:szCs w:val="24"/>
        </w:rPr>
        <w:t xml:space="preserve"> </w:t>
      </w:r>
      <w:r w:rsidR="00EC0B13">
        <w:rPr>
          <w:rFonts w:eastAsia="MS Mincho" w:cs="Times New Roman"/>
          <w:szCs w:val="24"/>
        </w:rPr>
        <w:t>p</w:t>
      </w:r>
      <w:r w:rsidRPr="00562EB5">
        <w:rPr>
          <w:rFonts w:eastAsia="MS Mincho" w:cs="Times New Roman"/>
          <w:szCs w:val="24"/>
        </w:rPr>
        <w:t>embrolizumab appears to be ineffective</w:t>
      </w:r>
      <w:r w:rsidR="00CF793D" w:rsidRPr="00562EB5">
        <w:rPr>
          <w:rFonts w:eastAsia="MS Mincho" w:cs="Times New Roman"/>
          <w:szCs w:val="24"/>
        </w:rPr>
        <w:t xml:space="preserve">. </w:t>
      </w:r>
      <w:r w:rsidRPr="00562EB5">
        <w:rPr>
          <w:rFonts w:eastAsia="MS Mincho" w:cs="Times New Roman"/>
          <w:szCs w:val="24"/>
        </w:rPr>
        <w:t>This finding – if confirmed -</w:t>
      </w:r>
      <w:r w:rsidR="0015107A">
        <w:rPr>
          <w:rFonts w:eastAsia="MS Mincho" w:cs="Times New Roman"/>
          <w:szCs w:val="24"/>
        </w:rPr>
        <w:t xml:space="preserve"> </w:t>
      </w:r>
      <w:r w:rsidRPr="00562EB5">
        <w:rPr>
          <w:rFonts w:eastAsia="MS Mincho" w:cs="Times New Roman"/>
          <w:szCs w:val="24"/>
        </w:rPr>
        <w:t>advocates against pembrolizumab single agent use in this setting.</w:t>
      </w:r>
      <w:r w:rsidR="0015107A">
        <w:rPr>
          <w:rFonts w:eastAsia="MS Mincho" w:cs="Times New Roman"/>
          <w:szCs w:val="24"/>
        </w:rPr>
        <w:t xml:space="preserve"> </w:t>
      </w:r>
    </w:p>
    <w:p w14:paraId="3A3FE103" w14:textId="77777777" w:rsidR="00FE2651" w:rsidRDefault="00FE2651" w:rsidP="00B75DB1">
      <w:pPr>
        <w:spacing w:after="0" w:line="480" w:lineRule="auto"/>
        <w:jc w:val="both"/>
        <w:rPr>
          <w:rFonts w:eastAsia="MS Mincho" w:cs="Times New Roman"/>
          <w:szCs w:val="24"/>
        </w:rPr>
      </w:pPr>
    </w:p>
    <w:p w14:paraId="7434BCC8" w14:textId="2BA1E5F9" w:rsidR="00CC1569" w:rsidRPr="00CC1569" w:rsidRDefault="00FE2651" w:rsidP="00CC1569">
      <w:pPr>
        <w:spacing w:after="0" w:line="480" w:lineRule="auto"/>
        <w:jc w:val="both"/>
        <w:rPr>
          <w:rFonts w:eastAsia="MS Mincho" w:cs="Times New Roman"/>
          <w:color w:val="FF0000"/>
          <w:szCs w:val="24"/>
        </w:rPr>
      </w:pPr>
      <w:r>
        <w:rPr>
          <w:rFonts w:eastAsia="MS Mincho" w:cs="Times New Roman"/>
          <w:szCs w:val="24"/>
        </w:rPr>
        <w:t xml:space="preserve">Finally, </w:t>
      </w:r>
      <w:r w:rsidRPr="00562EB5">
        <w:rPr>
          <w:rFonts w:eastAsia="MS Mincho" w:cs="Times New Roman"/>
          <w:szCs w:val="24"/>
        </w:rPr>
        <w:t>a multimodality approach</w:t>
      </w:r>
      <w:r>
        <w:rPr>
          <w:rFonts w:eastAsia="MS Mincho" w:cs="Times New Roman"/>
          <w:szCs w:val="24"/>
        </w:rPr>
        <w:t xml:space="preserve"> could target </w:t>
      </w:r>
      <w:r w:rsidRPr="00BA47AB">
        <w:rPr>
          <w:rFonts w:eastAsia="MS Mincho" w:cs="Times New Roman"/>
          <w:szCs w:val="24"/>
        </w:rPr>
        <w:t>intrahepatic immune escape</w:t>
      </w:r>
      <w:r>
        <w:rPr>
          <w:rFonts w:eastAsia="MS Mincho" w:cs="Times New Roman"/>
          <w:szCs w:val="24"/>
        </w:rPr>
        <w:t xml:space="preserve"> ,</w:t>
      </w:r>
      <w:r w:rsidRPr="00562EB5">
        <w:rPr>
          <w:rFonts w:eastAsia="MS Mincho" w:cs="Times New Roman"/>
          <w:szCs w:val="24"/>
        </w:rPr>
        <w:t xml:space="preserve"> utilising liver directed treatments both prior to commencing pembrolizumab and</w:t>
      </w:r>
      <w:r>
        <w:rPr>
          <w:rFonts w:eastAsia="MS Mincho" w:cs="Times New Roman"/>
          <w:szCs w:val="24"/>
        </w:rPr>
        <w:t>/or</w:t>
      </w:r>
      <w:r w:rsidRPr="00562EB5">
        <w:rPr>
          <w:rFonts w:eastAsia="MS Mincho" w:cs="Times New Roman"/>
          <w:szCs w:val="24"/>
        </w:rPr>
        <w:t xml:space="preserve"> </w:t>
      </w:r>
      <w:r>
        <w:rPr>
          <w:rFonts w:eastAsia="MS Mincho" w:cs="Times New Roman"/>
          <w:szCs w:val="24"/>
        </w:rPr>
        <w:t>during</w:t>
      </w:r>
      <w:r w:rsidRPr="00562EB5">
        <w:rPr>
          <w:rFonts w:eastAsia="MS Mincho" w:cs="Times New Roman"/>
          <w:szCs w:val="24"/>
        </w:rPr>
        <w:t xml:space="preserve"> treatment in response to liver only progression. There is a growing body of evidence</w:t>
      </w:r>
      <w:r>
        <w:rPr>
          <w:rFonts w:eastAsia="MS Mincho" w:cs="Times New Roman"/>
          <w:szCs w:val="24"/>
        </w:rPr>
        <w:t xml:space="preserve"> </w:t>
      </w:r>
      <w:r w:rsidRPr="00562EB5">
        <w:rPr>
          <w:rFonts w:eastAsia="MS Mincho" w:cs="Times New Roman"/>
          <w:szCs w:val="24"/>
        </w:rPr>
        <w:fldChar w:fldCharType="begin"/>
      </w:r>
      <w:r w:rsidR="009D57F3">
        <w:rPr>
          <w:rFonts w:eastAsia="MS Mincho" w:cs="Times New Roman"/>
          <w:szCs w:val="24"/>
        </w:rPr>
        <w:instrText xml:space="preserve"> ADDIN ZOTERO_ITEM CSL_CITATION {"citationID":"77in5fn2c","properties":{"formattedCitation":"{\\rtf \\super 25\\nosupersub{}}","plainCitation":"25"},"citationItems":[{"id":3956,"uris":["http://zotero.org/users/150865/items/3ACUW5RW"],"uri":["http://zotero.org/users/150865/items/3ACUW5RW"],"itemData":{"id":3956,"type":"article-journal","title":"Metastatic melanoma to the liver: A contemporary and comprehensive review of surgical, systemic, and regional therapeutic options","container-title":"Cancer","page":"781-789","volume":"120","issue":"6","source":"Wiley Online Library","abstract":"Effective management of hepatic metastases from ocular and cutaneous melanoma remains a major therapeutic challenge. Treatment options include hepatic resection, hepatic intra-arterial (HIA) chemotherapy, chemoembolization, and hepatic perfusions. Evaluating the efficacy of these interventions is limited by the retrospective nature of most of the data, although controlled phase 3 studies are starting to emerge. Studies of hepatic resection are strongly suggestive of a survival benefit following surgery in selected patients. Effective systemic agents for metastatic cutaneous melanoma are available and supported by randomized controlled phase 3 trials. In contrast, no active systemic treatment has yet been identified for metastatic ocular melanoma. HIA and intravenous delivery of fotemustine have been compared in a randomized phase 3 trial in patients with unresectable metastases from melanoma, but no differences between the 2 approaches were observed. Hepatic arterial chemoembolization appears only to be moderately effective according to uncontrolled studies; targeting patients with less liver involvement may improve outcomes. A recent phase 3 study showed a significant improvement in hepatic progression-free survival with percutaneous hepatic perfusion compared with best alternative care in patients with metastatic melanoma; however, the overall survival analysis was confounded by crossover of control patients to active treatment. In conclusion, hepatic resection offers the possibility of long-term survival in carefully selected patients with liver-limited metastases from melanoma. In patients with unresectable cutaneous melanoma, effective systemic therapy is the best treatment option. For patients with unresectable ocular melanoma, regional treatments are likely to assume a greater role until effective systemic treatments are identified. Cancer 2014;120:781–789. © 2013 American Cancer Society.","DOI":"10.1002/cncr.28480","ISSN":"1097-0142","shortTitle":"Metastatic melanoma to the liver","journalAbbreviation":"Cancer","language":"en","author":[{"family":"Agarwala","given":"Sanjiv S."},{"family":"Eggermont","given":"Alexander M. M."},{"family":"O'Day","given":"Steven"},{"family":"Zager","given":"Jonathan S."}],"issued":{"date-parts":[["2014",3,15]]}}}],"schema":"https://github.com/citation-style-language/schema/raw/master/csl-citation.json"} </w:instrText>
      </w:r>
      <w:r w:rsidRPr="00562EB5">
        <w:rPr>
          <w:rFonts w:eastAsia="MS Mincho" w:cs="Times New Roman"/>
          <w:szCs w:val="24"/>
        </w:rPr>
        <w:fldChar w:fldCharType="separate"/>
      </w:r>
      <w:r w:rsidR="009D57F3" w:rsidRPr="009D57F3">
        <w:rPr>
          <w:rFonts w:ascii="Calibri" w:hAnsi="Calibri" w:cs="Times New Roman"/>
          <w:szCs w:val="24"/>
          <w:vertAlign w:val="superscript"/>
        </w:rPr>
        <w:t>25</w:t>
      </w:r>
      <w:r w:rsidRPr="00562EB5">
        <w:rPr>
          <w:rFonts w:eastAsia="MS Mincho" w:cs="Times New Roman"/>
          <w:szCs w:val="24"/>
        </w:rPr>
        <w:fldChar w:fldCharType="end"/>
      </w:r>
      <w:r w:rsidRPr="00562EB5">
        <w:rPr>
          <w:rFonts w:eastAsia="MS Mincho" w:cs="Times New Roman"/>
          <w:szCs w:val="24"/>
        </w:rPr>
        <w:t xml:space="preserve"> suggesting that liver directed treatments such as </w:t>
      </w:r>
      <w:r w:rsidR="00F06FF8" w:rsidRPr="00562EB5">
        <w:rPr>
          <w:rFonts w:eastAsia="MS Mincho" w:cs="Times New Roman"/>
          <w:szCs w:val="24"/>
        </w:rPr>
        <w:t>metastasectom</w:t>
      </w:r>
      <w:r w:rsidR="00F06FF8">
        <w:rPr>
          <w:rFonts w:eastAsia="MS Mincho" w:cs="Times New Roman"/>
          <w:szCs w:val="24"/>
        </w:rPr>
        <w:t>y</w:t>
      </w:r>
      <w:r w:rsidRPr="00562EB5">
        <w:rPr>
          <w:rFonts w:eastAsia="MS Mincho" w:cs="Times New Roman"/>
          <w:szCs w:val="24"/>
        </w:rPr>
        <w:t xml:space="preserve">, hepatic arterial embolization, and percutaneous hepatic </w:t>
      </w:r>
      <w:r>
        <w:rPr>
          <w:rFonts w:eastAsia="MS Mincho" w:cs="Times New Roman"/>
          <w:szCs w:val="24"/>
        </w:rPr>
        <w:t>chemo</w:t>
      </w:r>
      <w:r w:rsidRPr="00562EB5">
        <w:rPr>
          <w:rFonts w:eastAsia="MS Mincho" w:cs="Times New Roman"/>
          <w:szCs w:val="24"/>
        </w:rPr>
        <w:t>perfusion can result in clinically meaningful periods of disease control</w:t>
      </w:r>
      <w:r>
        <w:rPr>
          <w:rFonts w:eastAsia="MS Mincho" w:cs="Times New Roman"/>
          <w:szCs w:val="24"/>
        </w:rPr>
        <w:t>;  some approaches may additionally stimulate or boost adaptive immune responses through immunogenic cell death and dysregulation of local immune escape mechanisms</w:t>
      </w:r>
      <w:r w:rsidR="009D57F3">
        <w:rPr>
          <w:rFonts w:eastAsia="MS Mincho" w:cs="Times New Roman"/>
          <w:szCs w:val="24"/>
        </w:rPr>
        <w:t>.</w:t>
      </w:r>
      <w:r>
        <w:rPr>
          <w:rFonts w:eastAsia="MS Mincho" w:cs="Times New Roman"/>
          <w:color w:val="FF0000"/>
          <w:szCs w:val="24"/>
        </w:rPr>
        <w:t xml:space="preserve"> </w:t>
      </w:r>
      <w:r>
        <w:rPr>
          <w:rFonts w:eastAsia="MS Mincho" w:cs="Times New Roman"/>
          <w:color w:val="FF0000"/>
          <w:szCs w:val="24"/>
        </w:rPr>
        <w:fldChar w:fldCharType="begin"/>
      </w:r>
      <w:r w:rsidR="009D57F3">
        <w:rPr>
          <w:rFonts w:eastAsia="MS Mincho" w:cs="Times New Roman"/>
          <w:color w:val="FF0000"/>
          <w:szCs w:val="24"/>
        </w:rPr>
        <w:instrText xml:space="preserve"> ADDIN ZOTERO_ITEM CSL_CITATION {"citationID":"L1NG1Joy","properties":{"formattedCitation":"{\\rtf \\super 26,27\\nosupersub{}}","plainCitation":"26,27"},"citationItems":[{"id":4676,"uris":["http://zotero.org/users/150865/items/UJN523WS"],"uri":["http://zotero.org/users/150865/items/UJN523WS"],"itemData":{"id":4676,"type":"article-journal","title":"Efficient loading of dendritic cells following cryo and radiofrequency ablation in combination with immune modulation induces anti-tumour immunity","container-title":"British Journal of Cancer","page":"896","volume":"95","issue":"7","source":"www.ncbi.nlm.nih.gov","abstract":"Dendritic cells (DC) are professional antigen-presenting cells that play a pivotal role in the induction of immunity. Ex vivo-generated, tumour antigen-loaded mature DC are currently exploited as cancer vaccines in clinical studies. However, antigen loading ...","DOI":"10.1038/sj.bjc.6603341","note":"PMID: 16953240","language":"en","author":[{"family":"Brok","given":"M. H. M. G. M.","dropping-particle":"den"},{"family":"Sutmuller","given":"R. P. M."},{"family":"Nierkens","given":"S."},{"family":"Bennink","given":"E. J."},{"family":"Frielink","given":"C."},{"family":"Toonen","given":"L. W. J."},{"family":"Boerman","given":"O. C."},{"family":"Figdor","given":"C. G."},{"family":"Ruers","given":"T. J. M."},{"family":"Adema","given":"G. J."}],"issued":{"date-parts":[["2006",10,9]]},"PMID":"16953240"}},{"id":4673,"uris":["http://zotero.org/users/150865/items/IDUIJGWZ"],"uri":["http://zotero.org/users/150865/items/IDUIJGWZ"],"itemData":{"id":4673,"type":"article-journal","title":"More Than Just Tumor Destruction: Immunomodulation by Thermal Ablation of Cancer","container-title":"Clinical and Developmental Immunology","volume":"2011","source":"www.ncbi.nlm.nih.gov","abstract":"Over the past decades, thermoablative techniques for the therapy of localized tumors have gained importance in the treatment of patients not eligible for surgical resection. Anecdotal reports have described spontaneous distant tumor regression after thermal ...","URL":"http://www.ncbi.nlm.nih.gov/pmc/articles/PMC3254009/","DOI":"10.1155/2011/160250","note":"PMID: 22242035","shortTitle":"More Than Just Tumor Destruction","language":"en","author":[{"family":"Haen","given":"Sebastian P."},{"family":"Pereira","given":"Philippe L."},{"family":"Salih","given":"Helmut R."},{"family":"Rammensee","given":"Hans-Georg"},{"family":"Gouttefangeas","given":"Cécile"}],"issued":{"date-parts":[["2011"]]},"accessed":{"date-parts":[["2015",9,9]]},"PMID":"22242035"}}],"schema":"https://github.com/citation-style-language/schema/raw/master/csl-citation.json"} </w:instrText>
      </w:r>
      <w:r>
        <w:rPr>
          <w:rFonts w:eastAsia="MS Mincho" w:cs="Times New Roman"/>
          <w:color w:val="FF0000"/>
          <w:szCs w:val="24"/>
        </w:rPr>
        <w:fldChar w:fldCharType="separate"/>
      </w:r>
      <w:r w:rsidR="009D57F3" w:rsidRPr="009D57F3">
        <w:rPr>
          <w:rFonts w:ascii="Calibri" w:hAnsi="Calibri" w:cs="Times New Roman"/>
          <w:szCs w:val="24"/>
          <w:vertAlign w:val="superscript"/>
        </w:rPr>
        <w:t>26,27</w:t>
      </w:r>
      <w:r>
        <w:rPr>
          <w:rFonts w:eastAsia="MS Mincho" w:cs="Times New Roman"/>
          <w:color w:val="FF0000"/>
          <w:szCs w:val="24"/>
        </w:rPr>
        <w:fldChar w:fldCharType="end"/>
      </w:r>
      <w:r w:rsidR="00CC1569">
        <w:rPr>
          <w:rFonts w:eastAsia="MS Mincho" w:cs="Times New Roman"/>
          <w:szCs w:val="24"/>
        </w:rPr>
        <w:br w:type="page"/>
      </w:r>
    </w:p>
    <w:p w14:paraId="7D3BC152" w14:textId="685DDEAF" w:rsidR="00A72480" w:rsidRPr="00874415" w:rsidRDefault="00A72480" w:rsidP="00B75DB1">
      <w:pPr>
        <w:spacing w:after="0" w:line="480" w:lineRule="auto"/>
        <w:jc w:val="both"/>
        <w:rPr>
          <w:rFonts w:eastAsia="MS Mincho" w:cs="Times New Roman"/>
          <w:b/>
          <w:sz w:val="28"/>
          <w:szCs w:val="24"/>
        </w:rPr>
      </w:pPr>
      <w:r w:rsidRPr="00874415">
        <w:rPr>
          <w:rFonts w:eastAsia="MS Mincho" w:cs="Times New Roman"/>
          <w:b/>
          <w:sz w:val="28"/>
          <w:szCs w:val="24"/>
        </w:rPr>
        <w:lastRenderedPageBreak/>
        <w:t>Conclusion</w:t>
      </w:r>
    </w:p>
    <w:p w14:paraId="787468DD" w14:textId="77777777" w:rsidR="00A72480" w:rsidRPr="00562EB5" w:rsidRDefault="00A72480" w:rsidP="00B75DB1">
      <w:pPr>
        <w:spacing w:after="0" w:line="480" w:lineRule="auto"/>
        <w:jc w:val="both"/>
        <w:rPr>
          <w:rFonts w:eastAsia="MS Mincho" w:cs="Times New Roman"/>
          <w:szCs w:val="24"/>
        </w:rPr>
      </w:pPr>
    </w:p>
    <w:p w14:paraId="3A83DD79" w14:textId="7D003EAC" w:rsidR="007C6688" w:rsidRDefault="00A72480" w:rsidP="00B75DB1">
      <w:pPr>
        <w:spacing w:after="0" w:line="480" w:lineRule="auto"/>
        <w:jc w:val="both"/>
        <w:rPr>
          <w:rFonts w:eastAsia="MS Mincho" w:cs="Times New Roman"/>
          <w:szCs w:val="24"/>
        </w:rPr>
      </w:pPr>
      <w:r w:rsidRPr="00562EB5">
        <w:rPr>
          <w:rFonts w:eastAsia="MS Mincho" w:cs="Times New Roman"/>
          <w:szCs w:val="24"/>
        </w:rPr>
        <w:t xml:space="preserve">Pembrolizumab as a single agent can be used in the management of metastatic </w:t>
      </w:r>
      <w:r w:rsidR="00D77951">
        <w:rPr>
          <w:rFonts w:eastAsia="MS Mincho" w:cs="Times New Roman"/>
          <w:szCs w:val="24"/>
        </w:rPr>
        <w:t>UM</w:t>
      </w:r>
      <w:r w:rsidRPr="00562EB5">
        <w:rPr>
          <w:rFonts w:eastAsia="MS Mincho" w:cs="Times New Roman"/>
          <w:szCs w:val="24"/>
        </w:rPr>
        <w:t xml:space="preserve"> with an acceptable to</w:t>
      </w:r>
      <w:r w:rsidR="00E360D5" w:rsidRPr="00562EB5">
        <w:rPr>
          <w:rFonts w:eastAsia="MS Mincho" w:cs="Times New Roman"/>
          <w:szCs w:val="24"/>
        </w:rPr>
        <w:t>xicity profile and provide</w:t>
      </w:r>
      <w:r w:rsidR="002E53E2">
        <w:rPr>
          <w:rFonts w:eastAsia="MS Mincho" w:cs="Times New Roman"/>
          <w:szCs w:val="24"/>
        </w:rPr>
        <w:t>s</w:t>
      </w:r>
      <w:r w:rsidR="00E360D5" w:rsidRPr="00562EB5">
        <w:rPr>
          <w:rFonts w:eastAsia="MS Mincho" w:cs="Times New Roman"/>
          <w:szCs w:val="24"/>
        </w:rPr>
        <w:t xml:space="preserve"> clinically</w:t>
      </w:r>
      <w:r w:rsidRPr="00562EB5">
        <w:rPr>
          <w:rFonts w:eastAsia="MS Mincho" w:cs="Times New Roman"/>
          <w:szCs w:val="24"/>
        </w:rPr>
        <w:t xml:space="preserve"> meaningful benefit in a significant proportion of patients.</w:t>
      </w:r>
      <w:r w:rsidR="00E360D5" w:rsidRPr="00562EB5">
        <w:rPr>
          <w:rFonts w:eastAsia="MS Mincho" w:cs="Times New Roman"/>
          <w:szCs w:val="24"/>
        </w:rPr>
        <w:t xml:space="preserve"> </w:t>
      </w:r>
      <w:r w:rsidR="002B0CF2" w:rsidRPr="00562EB5">
        <w:rPr>
          <w:rFonts w:eastAsia="MS Mincho" w:cs="Times New Roman"/>
          <w:szCs w:val="24"/>
        </w:rPr>
        <w:t xml:space="preserve">Prospective clinical trials are needed to characterise the magnitude of benefit and whether specific groups would be best served by alternative </w:t>
      </w:r>
      <w:r w:rsidR="0015107A">
        <w:rPr>
          <w:rFonts w:eastAsia="MS Mincho" w:cs="Times New Roman"/>
          <w:szCs w:val="24"/>
        </w:rPr>
        <w:t xml:space="preserve">or combination </w:t>
      </w:r>
      <w:r w:rsidR="002B0CF2" w:rsidRPr="00562EB5">
        <w:rPr>
          <w:rFonts w:eastAsia="MS Mincho" w:cs="Times New Roman"/>
          <w:szCs w:val="24"/>
        </w:rPr>
        <w:t>treatments</w:t>
      </w:r>
      <w:r w:rsidR="007C6688">
        <w:rPr>
          <w:rFonts w:eastAsia="MS Mincho" w:cs="Times New Roman"/>
          <w:szCs w:val="24"/>
        </w:rPr>
        <w:t xml:space="preserve"> and determine the optimal modalities and sequencing</w:t>
      </w:r>
      <w:r w:rsidR="002B0CF2" w:rsidRPr="00562EB5">
        <w:rPr>
          <w:rFonts w:eastAsia="MS Mincho" w:cs="Times New Roman"/>
          <w:szCs w:val="24"/>
        </w:rPr>
        <w:t xml:space="preserve">. </w:t>
      </w:r>
      <w:r w:rsidR="00E360D5" w:rsidRPr="00562EB5">
        <w:rPr>
          <w:rFonts w:eastAsia="MS Mincho" w:cs="Times New Roman"/>
          <w:szCs w:val="24"/>
        </w:rPr>
        <w:t xml:space="preserve">Further research </w:t>
      </w:r>
      <w:r w:rsidR="0015107A">
        <w:rPr>
          <w:rFonts w:eastAsia="MS Mincho" w:cs="Times New Roman"/>
          <w:szCs w:val="24"/>
        </w:rPr>
        <w:t xml:space="preserve">on </w:t>
      </w:r>
      <w:r w:rsidR="00E360D5" w:rsidRPr="00562EB5">
        <w:rPr>
          <w:rFonts w:eastAsia="MS Mincho" w:cs="Times New Roman"/>
          <w:szCs w:val="24"/>
        </w:rPr>
        <w:t xml:space="preserve">underlying </w:t>
      </w:r>
      <w:r w:rsidR="007C6688">
        <w:rPr>
          <w:rFonts w:eastAsia="MS Mincho" w:cs="Times New Roman"/>
          <w:szCs w:val="24"/>
        </w:rPr>
        <w:t>immune escape</w:t>
      </w:r>
      <w:r w:rsidR="007C6688" w:rsidRPr="00562EB5">
        <w:rPr>
          <w:rFonts w:eastAsia="MS Mincho" w:cs="Times New Roman"/>
          <w:szCs w:val="24"/>
        </w:rPr>
        <w:t xml:space="preserve"> </w:t>
      </w:r>
      <w:r w:rsidR="00E360D5" w:rsidRPr="00562EB5">
        <w:rPr>
          <w:rFonts w:eastAsia="MS Mincho" w:cs="Times New Roman"/>
          <w:szCs w:val="24"/>
        </w:rPr>
        <w:t>mechanisms</w:t>
      </w:r>
      <w:r w:rsidR="007C6688" w:rsidRPr="00562EB5">
        <w:rPr>
          <w:rFonts w:eastAsia="MS Mincho" w:cs="Times New Roman"/>
          <w:szCs w:val="24"/>
        </w:rPr>
        <w:t xml:space="preserve"> is needed</w:t>
      </w:r>
      <w:r w:rsidR="007C6688">
        <w:rPr>
          <w:rFonts w:eastAsia="MS Mincho" w:cs="Times New Roman"/>
          <w:szCs w:val="24"/>
        </w:rPr>
        <w:t xml:space="preserve"> to</w:t>
      </w:r>
      <w:r w:rsidR="007C6688" w:rsidRPr="00562EB5">
        <w:rPr>
          <w:rFonts w:eastAsia="MS Mincho" w:cs="Times New Roman"/>
          <w:szCs w:val="24"/>
        </w:rPr>
        <w:t xml:space="preserve"> drive the rational design of future studies for this rare malignancy.</w:t>
      </w:r>
    </w:p>
    <w:p w14:paraId="462E1EF1" w14:textId="67A5BFD7" w:rsidR="000B39EA" w:rsidRDefault="000B39EA" w:rsidP="00B75DB1">
      <w:pPr>
        <w:spacing w:after="0" w:line="480" w:lineRule="auto"/>
        <w:jc w:val="both"/>
        <w:rPr>
          <w:rFonts w:eastAsia="MS Mincho" w:cs="Times New Roman"/>
          <w:szCs w:val="24"/>
        </w:rPr>
      </w:pPr>
    </w:p>
    <w:p w14:paraId="665D55B6" w14:textId="489C8300" w:rsidR="000B39EA" w:rsidRPr="00874415" w:rsidRDefault="00A62226" w:rsidP="00B75DB1">
      <w:pPr>
        <w:spacing w:after="0" w:line="480" w:lineRule="auto"/>
        <w:jc w:val="both"/>
        <w:rPr>
          <w:rFonts w:eastAsia="MS Mincho" w:cs="Times New Roman"/>
          <w:b/>
          <w:sz w:val="28"/>
          <w:szCs w:val="24"/>
        </w:rPr>
      </w:pPr>
      <w:r>
        <w:rPr>
          <w:rFonts w:eastAsia="MS Mincho" w:cs="Times New Roman"/>
          <w:b/>
          <w:sz w:val="28"/>
          <w:szCs w:val="24"/>
        </w:rPr>
        <w:t>Acknowledgements</w:t>
      </w:r>
    </w:p>
    <w:p w14:paraId="01CB19B4" w14:textId="108F5931" w:rsidR="000B39EA" w:rsidRPr="00562EB5" w:rsidRDefault="000B39EA" w:rsidP="00B75DB1">
      <w:pPr>
        <w:spacing w:after="0" w:line="480" w:lineRule="auto"/>
        <w:jc w:val="both"/>
        <w:rPr>
          <w:rFonts w:eastAsia="MS Mincho" w:cs="Times New Roman"/>
          <w:szCs w:val="24"/>
        </w:rPr>
      </w:pPr>
    </w:p>
    <w:p w14:paraId="24E7CCB7" w14:textId="6BEB37C3" w:rsidR="00A72480" w:rsidRDefault="00530C0C" w:rsidP="00B75DB1">
      <w:pPr>
        <w:spacing w:after="0" w:line="480" w:lineRule="auto"/>
        <w:jc w:val="both"/>
        <w:rPr>
          <w:rFonts w:eastAsia="MS Mincho" w:cs="Times New Roman"/>
          <w:szCs w:val="24"/>
        </w:rPr>
      </w:pPr>
      <w:r>
        <w:rPr>
          <w:rFonts w:eastAsia="MS Mincho" w:cs="Times New Roman"/>
          <w:szCs w:val="24"/>
        </w:rPr>
        <w:t>This work was supported by funding from</w:t>
      </w:r>
      <w:r w:rsidRPr="00530C0C">
        <w:t xml:space="preserve"> </w:t>
      </w:r>
      <w:r>
        <w:rPr>
          <w:rFonts w:eastAsia="MS Mincho" w:cs="Times New Roman"/>
          <w:szCs w:val="24"/>
        </w:rPr>
        <w:t xml:space="preserve">Southampton CR-UK Centre and </w:t>
      </w:r>
      <w:r w:rsidRPr="00530C0C">
        <w:rPr>
          <w:rFonts w:eastAsia="MS Mincho" w:cs="Times New Roman"/>
          <w:szCs w:val="24"/>
        </w:rPr>
        <w:t>NIHR S</w:t>
      </w:r>
      <w:r>
        <w:rPr>
          <w:rFonts w:eastAsia="MS Mincho" w:cs="Times New Roman"/>
          <w:szCs w:val="24"/>
        </w:rPr>
        <w:t>outhampton Experimental Cancer M</w:t>
      </w:r>
      <w:r w:rsidRPr="00530C0C">
        <w:rPr>
          <w:rFonts w:eastAsia="MS Mincho" w:cs="Times New Roman"/>
          <w:szCs w:val="24"/>
        </w:rPr>
        <w:t>edicine Centre</w:t>
      </w:r>
      <w:r>
        <w:rPr>
          <w:rFonts w:eastAsia="MS Mincho" w:cs="Times New Roman"/>
          <w:szCs w:val="24"/>
        </w:rPr>
        <w:t>.</w:t>
      </w:r>
    </w:p>
    <w:p w14:paraId="62E1F499" w14:textId="77777777" w:rsidR="00530C0C" w:rsidRDefault="00530C0C" w:rsidP="00B75DB1">
      <w:pPr>
        <w:spacing w:after="0" w:line="480" w:lineRule="auto"/>
        <w:jc w:val="both"/>
        <w:rPr>
          <w:rFonts w:eastAsia="MS Mincho" w:cs="Times New Roman"/>
          <w:szCs w:val="24"/>
        </w:rPr>
      </w:pPr>
    </w:p>
    <w:p w14:paraId="63BDB8ED" w14:textId="695F2E3C" w:rsidR="00530C0C" w:rsidRPr="00874415" w:rsidRDefault="00530C0C" w:rsidP="00B75DB1">
      <w:pPr>
        <w:spacing w:after="0" w:line="480" w:lineRule="auto"/>
        <w:jc w:val="both"/>
        <w:rPr>
          <w:rFonts w:eastAsia="MS Mincho" w:cs="Times New Roman"/>
          <w:b/>
          <w:sz w:val="28"/>
          <w:szCs w:val="24"/>
        </w:rPr>
      </w:pPr>
      <w:r w:rsidRPr="00874415">
        <w:rPr>
          <w:rFonts w:eastAsia="MS Mincho" w:cs="Times New Roman"/>
          <w:b/>
          <w:sz w:val="28"/>
          <w:szCs w:val="24"/>
        </w:rPr>
        <w:t>Disclosure</w:t>
      </w:r>
    </w:p>
    <w:p w14:paraId="2CE85DB2" w14:textId="77777777" w:rsidR="00530C0C" w:rsidRDefault="00530C0C" w:rsidP="00B75DB1">
      <w:pPr>
        <w:spacing w:after="0" w:line="480" w:lineRule="auto"/>
        <w:jc w:val="both"/>
        <w:rPr>
          <w:rFonts w:eastAsia="MS Mincho" w:cs="Times New Roman"/>
          <w:b/>
          <w:sz w:val="26"/>
          <w:szCs w:val="24"/>
        </w:rPr>
      </w:pPr>
    </w:p>
    <w:p w14:paraId="037D92F6" w14:textId="799C2C64" w:rsidR="00530C0C" w:rsidRPr="00FE0D5A" w:rsidRDefault="00530C0C" w:rsidP="00B75DB1">
      <w:pPr>
        <w:spacing w:after="0" w:line="480" w:lineRule="auto"/>
        <w:jc w:val="both"/>
        <w:rPr>
          <w:rFonts w:eastAsia="MS Mincho" w:cs="Times New Roman"/>
          <w:b/>
          <w:sz w:val="26"/>
          <w:szCs w:val="24"/>
        </w:rPr>
      </w:pPr>
      <w:r w:rsidRPr="00530C0C">
        <w:rPr>
          <w:rFonts w:eastAsia="MS Mincho" w:cs="Times New Roman"/>
          <w:szCs w:val="24"/>
        </w:rPr>
        <w:t>C</w:t>
      </w:r>
      <w:r>
        <w:rPr>
          <w:rFonts w:eastAsia="MS Mincho" w:cs="Times New Roman"/>
          <w:szCs w:val="24"/>
        </w:rPr>
        <w:t>O</w:t>
      </w:r>
      <w:r w:rsidRPr="00530C0C">
        <w:rPr>
          <w:rFonts w:eastAsia="MS Mincho" w:cs="Times New Roman"/>
          <w:szCs w:val="24"/>
        </w:rPr>
        <w:t xml:space="preserve"> has had consulting/advisory roles and has received funding for travel and speaker's honoraria with Merck Sharp &amp; Dohme. All remaining authors have declared no conflicts of interest.</w:t>
      </w:r>
    </w:p>
    <w:p w14:paraId="5DC0D629" w14:textId="77777777" w:rsidR="00530C0C" w:rsidRDefault="00530C0C" w:rsidP="00B75DB1">
      <w:pPr>
        <w:spacing w:after="0" w:line="480" w:lineRule="auto"/>
        <w:jc w:val="both"/>
        <w:rPr>
          <w:rFonts w:eastAsia="MS Mincho" w:cs="Times New Roman"/>
          <w:szCs w:val="24"/>
        </w:rPr>
      </w:pPr>
    </w:p>
    <w:p w14:paraId="3A98E189" w14:textId="77777777" w:rsidR="00F31CBD" w:rsidRPr="00562EB5" w:rsidRDefault="00F31CBD" w:rsidP="00B75DB1">
      <w:pPr>
        <w:spacing w:after="0" w:line="480" w:lineRule="auto"/>
        <w:jc w:val="both"/>
        <w:rPr>
          <w:rFonts w:eastAsia="MS Mincho" w:cs="Times New Roman"/>
          <w:szCs w:val="24"/>
        </w:rPr>
      </w:pPr>
    </w:p>
    <w:p w14:paraId="6BA547A5" w14:textId="6261067A" w:rsidR="001350D8" w:rsidRPr="00562EB5" w:rsidRDefault="001350D8" w:rsidP="00B75DB1">
      <w:pPr>
        <w:spacing w:line="480" w:lineRule="auto"/>
        <w:jc w:val="both"/>
        <w:rPr>
          <w:rFonts w:eastAsia="MS Mincho" w:cs="Times New Roman"/>
          <w:szCs w:val="24"/>
        </w:rPr>
      </w:pPr>
      <w:r w:rsidRPr="00562EB5">
        <w:rPr>
          <w:rFonts w:eastAsia="MS Mincho" w:cs="Times New Roman"/>
          <w:szCs w:val="24"/>
        </w:rPr>
        <w:br w:type="page"/>
      </w:r>
    </w:p>
    <w:p w14:paraId="0087C24D" w14:textId="77777777" w:rsidR="00AC33BB" w:rsidRPr="001C2261" w:rsidRDefault="00AC33BB" w:rsidP="00B75DB1">
      <w:pPr>
        <w:pStyle w:val="Bibliography"/>
        <w:spacing w:line="480" w:lineRule="auto"/>
        <w:jc w:val="both"/>
        <w:rPr>
          <w:b/>
          <w:sz w:val="28"/>
        </w:rPr>
      </w:pPr>
      <w:r w:rsidRPr="001C2261">
        <w:rPr>
          <w:b/>
          <w:sz w:val="28"/>
        </w:rPr>
        <w:lastRenderedPageBreak/>
        <w:t>References</w:t>
      </w:r>
    </w:p>
    <w:p w14:paraId="0582D3A0" w14:textId="77777777" w:rsidR="009D57F3" w:rsidRPr="009D57F3" w:rsidRDefault="00D77951" w:rsidP="00111B1B">
      <w:pPr>
        <w:pStyle w:val="Bibliography"/>
        <w:spacing w:line="480" w:lineRule="auto"/>
        <w:rPr>
          <w:rFonts w:ascii="Calibri" w:hAnsi="Calibri" w:cs="Times New Roman"/>
          <w:szCs w:val="24"/>
        </w:rPr>
      </w:pPr>
      <w:r>
        <w:fldChar w:fldCharType="begin"/>
      </w:r>
      <w:r w:rsidR="009D57F3">
        <w:instrText xml:space="preserve"> ADDIN ZOTERO_BIBL {"custom":[[["http://zotero.org/users/150865/items/IDUIJGWZ"],"27. \\tab{}Haen SP, Pereira PL, Salih HR, Rammensee H-G, Gouttefangeas C. More Than Just Tumor Destruction: Immunomodulation by Thermal Ablation of Cancer. Clin Dev Immunol; vol. 2011, Article ID 160250, 19 pages, 2011. doi:10.1155/2011/160250 [cited 2015 Sep 9]. Available from: http://www.ncbi.nlm.nih.gov/pmc/articles/PMC3254009/"]]} CSL_BIBLIOGRAPHY </w:instrText>
      </w:r>
      <w:r>
        <w:fldChar w:fldCharType="separate"/>
      </w:r>
      <w:r w:rsidR="009D57F3" w:rsidRPr="009D57F3">
        <w:rPr>
          <w:rFonts w:ascii="Calibri" w:hAnsi="Calibri" w:cs="Times New Roman"/>
          <w:szCs w:val="24"/>
        </w:rPr>
        <w:t xml:space="preserve">1. </w:t>
      </w:r>
      <w:r w:rsidR="009D57F3" w:rsidRPr="009D57F3">
        <w:rPr>
          <w:rFonts w:ascii="Calibri" w:hAnsi="Calibri" w:cs="Times New Roman"/>
          <w:szCs w:val="24"/>
        </w:rPr>
        <w:tab/>
        <w:t xml:space="preserve">Martorano LM, Winkelmann RR, Cebulla CM, Abdel-Rahman MH, Campbell SM. Ocular melanoma and the BAP1 hereditary cancer syndrome: implications for the dermatologist. Int J Dermatol 2014; 53:657–63. </w:t>
      </w:r>
    </w:p>
    <w:p w14:paraId="06FD4DF0"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 </w:t>
      </w:r>
      <w:r w:rsidRPr="009D57F3">
        <w:rPr>
          <w:rFonts w:ascii="Calibri" w:hAnsi="Calibri" w:cs="Times New Roman"/>
          <w:szCs w:val="24"/>
        </w:rPr>
        <w:tab/>
        <w:t xml:space="preserve">Papadopoulos S, Benter T, Anastassiou G, Pape M, Gerhard S, Bornfeld N, Ludwig W-D, Dörken B. Assessment of genomic instability in breast cancer and uveal melanoma by random amplified polymorphic DNA analysis. Int J Cancer 2002; 99:193–200. </w:t>
      </w:r>
    </w:p>
    <w:p w14:paraId="3EA39521"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3. </w:t>
      </w:r>
      <w:r w:rsidRPr="009D57F3">
        <w:rPr>
          <w:rFonts w:ascii="Calibri" w:hAnsi="Calibri" w:cs="Times New Roman"/>
          <w:szCs w:val="24"/>
        </w:rPr>
        <w:tab/>
        <w:t xml:space="preserve">Alexandrov LB, Nik-Zainal S, Wedge DC, Aparicio SAJR, Behjati S, Biankin AV, Bignell GR, Bolli N, Borg A, Børresen-Dale A-L, et al. Signatures of mutational processes in human cancer. Nature 2013; 500:415–21. </w:t>
      </w:r>
    </w:p>
    <w:p w14:paraId="249CDB85"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4. </w:t>
      </w:r>
      <w:r w:rsidRPr="009D57F3">
        <w:rPr>
          <w:rFonts w:ascii="Calibri" w:hAnsi="Calibri" w:cs="Times New Roman"/>
          <w:szCs w:val="24"/>
        </w:rPr>
        <w:tab/>
        <w:t xml:space="preserve">Harbour JW. The genetics of uveal melanoma: an emerging framework for targeted therapy. Pigment Cell Melanoma Res 2012; 25:171–81. </w:t>
      </w:r>
    </w:p>
    <w:p w14:paraId="309E5090"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5. </w:t>
      </w:r>
      <w:r w:rsidRPr="009D57F3">
        <w:rPr>
          <w:rFonts w:ascii="Calibri" w:hAnsi="Calibri" w:cs="Times New Roman"/>
          <w:szCs w:val="24"/>
        </w:rPr>
        <w:tab/>
        <w:t xml:space="preserve">Forbes SA, Beare D, Gunasekaran P, Leung K, Bindal N, Boutselakis H, Ding M, Bamford S, Cole C, Ward S, et al. COSMIC: exploring the world’s knowledge of somatic mutations in human cancer. Nucleic Acids Res 2015; 43:D805–11. </w:t>
      </w:r>
    </w:p>
    <w:p w14:paraId="44857695"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6. </w:t>
      </w:r>
      <w:r w:rsidRPr="009D57F3">
        <w:rPr>
          <w:rFonts w:ascii="Calibri" w:hAnsi="Calibri" w:cs="Times New Roman"/>
          <w:szCs w:val="24"/>
        </w:rPr>
        <w:tab/>
        <w:t xml:space="preserve">Luscan A, Just PA, Briand A, Roziers CB des, Goussard P, Nitschké P, Vidaud M, Avril MF, Terris B, Pasmant E. Uveal melanoma hepatic metastases mutation spectrum analysis using targeted next-generation sequencing of 400 cancer genes. Br J Ophthalmol 2015; 99:437–9. </w:t>
      </w:r>
    </w:p>
    <w:p w14:paraId="4F231CE7"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7. </w:t>
      </w:r>
      <w:r w:rsidRPr="009D57F3">
        <w:rPr>
          <w:rFonts w:ascii="Calibri" w:hAnsi="Calibri" w:cs="Times New Roman"/>
          <w:szCs w:val="24"/>
        </w:rPr>
        <w:tab/>
        <w:t xml:space="preserve">Diener-West M, Reynolds SM, Agugliaro DJ, Caldwell R, Cumming K, Earle JD, Hawkins BS, Hayman JA, Jaiyesimi I, Jampol LM, et al. Development of metastatic disease after enrollment in the COMS trials for treatment of choroidal melanoma: Collaborative Ocular Melanoma Study Group Report No. 26. Arch Ophthalmol Chic Ill 1960 2005; 123:1639–43. </w:t>
      </w:r>
    </w:p>
    <w:p w14:paraId="11189D8B"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lastRenderedPageBreak/>
        <w:t xml:space="preserve">8. </w:t>
      </w:r>
      <w:r w:rsidRPr="009D57F3">
        <w:rPr>
          <w:rFonts w:ascii="Calibri" w:hAnsi="Calibri" w:cs="Times New Roman"/>
          <w:szCs w:val="24"/>
        </w:rPr>
        <w:tab/>
        <w:t xml:space="preserve">Albert DM, Ryan LM, Borden EC. Metastatic ocular and cutaneous melanoma: a comparison of patient characteristics and prognosis. Arch Ophthalmol 1996; 114:107–8. </w:t>
      </w:r>
    </w:p>
    <w:p w14:paraId="786085E1"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9. </w:t>
      </w:r>
      <w:r w:rsidRPr="009D57F3">
        <w:rPr>
          <w:rFonts w:ascii="Calibri" w:hAnsi="Calibri" w:cs="Times New Roman"/>
          <w:szCs w:val="24"/>
        </w:rPr>
        <w:tab/>
        <w:t xml:space="preserve">Flaherty LE, Unger JM, Liu PY, Mertens WC, Sondak VK. Metastatic melanoma from intraocular primary tumors: the Southwest Oncology Group experience in phase II advanced melanoma clinical trials. Am J Clin Oncol 1998; 21:568–72. </w:t>
      </w:r>
    </w:p>
    <w:p w14:paraId="29FD0545"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10. </w:t>
      </w:r>
      <w:r w:rsidRPr="009D57F3">
        <w:rPr>
          <w:rFonts w:ascii="Calibri" w:hAnsi="Calibri" w:cs="Times New Roman"/>
          <w:szCs w:val="24"/>
        </w:rPr>
        <w:tab/>
        <w:t xml:space="preserve">Carvajal RD, Sosman JA, Quevedo JF, Milhem MM, Joshua AM, Kudchadkar RR, Linette GP, Gajewski TF, Lutzky J, Lawson DH, et al. Effect of selumetinib vs chemotherapy on progression-free survival in uveal melanoma: a randomized clinical trial. JAMA 2014; 311:2397–405. </w:t>
      </w:r>
    </w:p>
    <w:p w14:paraId="6ABFFDB5"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11. </w:t>
      </w:r>
      <w:r w:rsidRPr="009D57F3">
        <w:rPr>
          <w:rFonts w:ascii="Calibri" w:hAnsi="Calibri" w:cs="Times New Roman"/>
          <w:szCs w:val="24"/>
        </w:rPr>
        <w:tab/>
        <w:t xml:space="preserve">Hodi FS, O’Day SJ, McDermott DF, Weber RW, Sosman JA, Haanen JB, Gonzalez R, Robert C, Schadendorf D, Hassel JC, et al. Improved Survival with Ipilimumab in Patients with Metastatic Melanoma. N Engl J Med 2010; 363:711–23. </w:t>
      </w:r>
    </w:p>
    <w:p w14:paraId="6274FA32"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12. </w:t>
      </w:r>
      <w:r w:rsidRPr="009D57F3">
        <w:rPr>
          <w:rFonts w:ascii="Calibri" w:hAnsi="Calibri" w:cs="Times New Roman"/>
          <w:szCs w:val="24"/>
        </w:rPr>
        <w:tab/>
        <w:t xml:space="preserve">Robert C, Schachter J, Long GV, Arance A, Grob JJ, Mortier L, Daud A, Carlino MS, McNeil C, Lotem M, et al. Pembrolizumab versus Ipilimumab in Advanced Melanoma. N Engl J Med 2015; 372:2521–32. </w:t>
      </w:r>
    </w:p>
    <w:p w14:paraId="3CAF2A27"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13. </w:t>
      </w:r>
      <w:r w:rsidRPr="009D57F3">
        <w:rPr>
          <w:rFonts w:ascii="Calibri" w:hAnsi="Calibri" w:cs="Times New Roman"/>
          <w:szCs w:val="24"/>
        </w:rPr>
        <w:tab/>
        <w:t xml:space="preserve">Larkin J, Chiarion-Sileni V, Gonzalez R, Grob JJ, Cowey CL, Lao CD, Schadendorf D, Dummer R, Smylie M, Rutkowski P, et al. Combined Nivolumab and Ipilimumab or Monotherapy in Untreated Melanoma. N Engl J Med 2015; 373:23–34. </w:t>
      </w:r>
    </w:p>
    <w:p w14:paraId="26F0F9C7"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14. </w:t>
      </w:r>
      <w:r w:rsidRPr="009D57F3">
        <w:rPr>
          <w:rFonts w:ascii="Calibri" w:hAnsi="Calibri" w:cs="Times New Roman"/>
          <w:szCs w:val="24"/>
        </w:rPr>
        <w:tab/>
        <w:t xml:space="preserve">Wolchok JD, Kluger H, Callahan MK, Postow MA, Rizvi NA, Lesokhin AM, Segal NH, Ariyan CE, Gordon R-A, Reed K, et al. Nivolumab plus Ipilimumab in Advanced Melanoma. N Engl J Med 2013; 369:122–33. </w:t>
      </w:r>
    </w:p>
    <w:p w14:paraId="05AB1872"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15. </w:t>
      </w:r>
      <w:r w:rsidRPr="009D57F3">
        <w:rPr>
          <w:rFonts w:ascii="Calibri" w:hAnsi="Calibri" w:cs="Times New Roman"/>
          <w:szCs w:val="24"/>
        </w:rPr>
        <w:tab/>
        <w:t xml:space="preserve">Kelderman S, van der Kooij MK, van den Eertwegh AJM, Soetekouw PMMB, Jansen RLH, van den Brom RRH, Hospers GAP, Haanen JBAG, Kapiteijn E, Blank CU. Ipilimumab in pretreated </w:t>
      </w:r>
      <w:r w:rsidRPr="009D57F3">
        <w:rPr>
          <w:rFonts w:ascii="Calibri" w:hAnsi="Calibri" w:cs="Times New Roman"/>
          <w:szCs w:val="24"/>
        </w:rPr>
        <w:lastRenderedPageBreak/>
        <w:t xml:space="preserve">metastastic uveal melanoma patients. Results of the Dutch Working group on Immunotherapy of Oncology (WIN-O). Acta Oncol 2013; 52:1786–8. </w:t>
      </w:r>
    </w:p>
    <w:p w14:paraId="0FD57607"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16. </w:t>
      </w:r>
      <w:r w:rsidRPr="009D57F3">
        <w:rPr>
          <w:rFonts w:ascii="Calibri" w:hAnsi="Calibri" w:cs="Times New Roman"/>
          <w:szCs w:val="24"/>
        </w:rPr>
        <w:tab/>
        <w:t xml:space="preserve">Maio M, Danielli R, Chiarion-Sileni V, Pigozzo J, Parmiani G, Ridolfi R, Rosa FD, Vecchio MD, Guardo LD, Queirolo P, et al. Efficacy and safety of ipilimumab in patients with pre-treated, uveal melanoma. Ann Oncol 2013; 24:2911–5. </w:t>
      </w:r>
    </w:p>
    <w:p w14:paraId="0B1DAF41"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17. </w:t>
      </w:r>
      <w:r w:rsidRPr="009D57F3">
        <w:rPr>
          <w:rFonts w:ascii="Calibri" w:hAnsi="Calibri" w:cs="Times New Roman"/>
          <w:szCs w:val="24"/>
        </w:rPr>
        <w:tab/>
        <w:t xml:space="preserve">Zimmer L, Vaubel J, Mohr P, Hauschild A, Utikal J, Simon J, Garbe C, Herbst R, Enk A, Kämpgen E, et al. Phase II DeCOG-Study of Ipilimumab in Pretreated and Treatment-Naïve Patients with Metastatic Uveal Melanoma. PLoS ONE 2015; 10:e0118564. </w:t>
      </w:r>
    </w:p>
    <w:p w14:paraId="0CD919BF"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18. </w:t>
      </w:r>
      <w:r w:rsidRPr="009D57F3">
        <w:rPr>
          <w:rFonts w:ascii="Calibri" w:hAnsi="Calibri" w:cs="Times New Roman"/>
          <w:szCs w:val="24"/>
        </w:rPr>
        <w:tab/>
        <w:t xml:space="preserve">Van Raamsdonk CD, Griewank KG, Crosby MB, Garrido MC, Vemula S, Wiesner T, Obenauf AC, Wackernagel W, Green G, Bouvier N, et al. Mutations in GNA11 in Uveal Melanoma. N Engl J Med 2010; 363:2191–9. </w:t>
      </w:r>
    </w:p>
    <w:p w14:paraId="7FBD72A6"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19. </w:t>
      </w:r>
      <w:r w:rsidRPr="009D57F3">
        <w:rPr>
          <w:rFonts w:ascii="Calibri" w:hAnsi="Calibri" w:cs="Times New Roman"/>
          <w:szCs w:val="24"/>
        </w:rPr>
        <w:tab/>
        <w:t xml:space="preserve">Errington JA, Conway RM, Walsh-Conway N, Browning J, Freyer C, Cebon J, Madigan MC. Expression of cancer-testis antigens (MAGE-A1, MAGE-A3/6, MAGE-A4, MAGE-C1 and NY-ESO-1) in primary human uveal and conjunctival melanoma. Br J Ophthalmol 2012; 96:451–8. </w:t>
      </w:r>
    </w:p>
    <w:p w14:paraId="21E44856"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20. </w:t>
      </w:r>
      <w:r w:rsidRPr="009D57F3">
        <w:rPr>
          <w:rFonts w:ascii="Calibri" w:hAnsi="Calibri" w:cs="Times New Roman"/>
          <w:szCs w:val="24"/>
        </w:rPr>
        <w:tab/>
        <w:t xml:space="preserve">De Cruz POL, Specht CS, McLean IW. Lymphocytic infiltration in uveal malignant melanoma. Cancer 1990; 65:112–5. </w:t>
      </w:r>
    </w:p>
    <w:p w14:paraId="4DB7D2CC"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21. </w:t>
      </w:r>
      <w:r w:rsidRPr="009D57F3">
        <w:rPr>
          <w:rFonts w:ascii="Calibri" w:hAnsi="Calibri" w:cs="Times New Roman"/>
          <w:szCs w:val="24"/>
        </w:rPr>
        <w:tab/>
        <w:t xml:space="preserve">Kottschade LA, McWilliams RR, Markovic S, Block MS, Villasboas Bisneto J, Pham AQ, Dronca RS. The use of pembrolizumab for the treatment of metastatic uveal melanoma. ASCO Meet Abstr 2015; 33:9010. </w:t>
      </w:r>
    </w:p>
    <w:p w14:paraId="201EC7DC"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22. </w:t>
      </w:r>
      <w:r w:rsidRPr="009D57F3">
        <w:rPr>
          <w:rFonts w:ascii="Calibri" w:hAnsi="Calibri" w:cs="Times New Roman"/>
          <w:szCs w:val="24"/>
        </w:rPr>
        <w:tab/>
        <w:t xml:space="preserve">Wolchok JD, Hoos A, O’Day S, Weber JS, Hamid O, Lebbé C, Maio M, Binder M, Bohnsack O, Nichol G, et al. Guidelines for the Evaluation of Immune Therapy Activity in Solid Tumors: Immune-Related Response Criteria. Clin Cancer Res 2009; 15:7412–20. </w:t>
      </w:r>
    </w:p>
    <w:p w14:paraId="57E5FE0A"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lastRenderedPageBreak/>
        <w:t xml:space="preserve">23. </w:t>
      </w:r>
      <w:r w:rsidRPr="009D57F3">
        <w:rPr>
          <w:rFonts w:ascii="Calibri" w:hAnsi="Calibri" w:cs="Times New Roman"/>
          <w:szCs w:val="24"/>
        </w:rPr>
        <w:tab/>
        <w:t xml:space="preserve">Eisenhauer EA, Therasse P, Bogaerts J, Schwartz LH, Sargent D, Ford R, Dancey J, Arbuck S, Gwyther S, Mooney M, et al. New response evaluation criteria in solid tumours: revised RECIST guideline (version 1.1). Eur J Cancer Oxf Engl 1990 2009; 45:228–47. </w:t>
      </w:r>
    </w:p>
    <w:p w14:paraId="2D4FAB89"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24. </w:t>
      </w:r>
      <w:r w:rsidRPr="009D57F3">
        <w:rPr>
          <w:rFonts w:ascii="Calibri" w:hAnsi="Calibri" w:cs="Times New Roman"/>
          <w:szCs w:val="24"/>
        </w:rPr>
        <w:tab/>
        <w:t xml:space="preserve">Chan T, Wiltrout RH, Weiss JM. Immunotherapeutic modulation of the suppressive liver and tumor microenvironments. Int Immunopharmacol 2011; 11:876–86. </w:t>
      </w:r>
    </w:p>
    <w:p w14:paraId="647481CE"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25. </w:t>
      </w:r>
      <w:r w:rsidRPr="009D57F3">
        <w:rPr>
          <w:rFonts w:ascii="Calibri" w:hAnsi="Calibri" w:cs="Times New Roman"/>
          <w:szCs w:val="24"/>
        </w:rPr>
        <w:tab/>
        <w:t xml:space="preserve">Agarwala SS, Eggermont AMM, O’Day S, Zager JS. Metastatic melanoma to the liver: A contemporary and comprehensive review of surgical, systemic, and regional therapeutic options. Cancer 2014; 120:781–9. </w:t>
      </w:r>
    </w:p>
    <w:p w14:paraId="64A4B046"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26. </w:t>
      </w:r>
      <w:r w:rsidRPr="009D57F3">
        <w:rPr>
          <w:rFonts w:ascii="Calibri" w:hAnsi="Calibri" w:cs="Times New Roman"/>
          <w:szCs w:val="24"/>
        </w:rPr>
        <w:tab/>
        <w:t xml:space="preserve">Brok MHMGM den, Sutmuller RPM, Nierkens S, Bennink EJ, Frielink C, Toonen LWJ, Boerman OC, Figdor CG, Ruers TJM, Adema GJ. Efficient loading of dendritic cells following cryo and radiofrequency ablation in combination with immune modulation induces anti-tumour immunity. Br J Cancer 2006; 95:896. </w:t>
      </w:r>
    </w:p>
    <w:p w14:paraId="1D0B519C" w14:textId="77777777" w:rsidR="009D57F3" w:rsidRPr="009D57F3" w:rsidRDefault="009D57F3" w:rsidP="00111B1B">
      <w:pPr>
        <w:pStyle w:val="Bibliography"/>
        <w:spacing w:line="480" w:lineRule="auto"/>
        <w:rPr>
          <w:rFonts w:ascii="Calibri" w:hAnsi="Calibri" w:cs="Times New Roman"/>
          <w:szCs w:val="24"/>
        </w:rPr>
      </w:pPr>
      <w:r w:rsidRPr="009D57F3">
        <w:rPr>
          <w:rFonts w:ascii="Calibri" w:hAnsi="Calibri" w:cs="Times New Roman"/>
          <w:szCs w:val="24"/>
        </w:rPr>
        <w:t xml:space="preserve">27. </w:t>
      </w:r>
      <w:r w:rsidRPr="009D57F3">
        <w:rPr>
          <w:rFonts w:ascii="Calibri" w:hAnsi="Calibri" w:cs="Times New Roman"/>
          <w:szCs w:val="24"/>
        </w:rPr>
        <w:tab/>
        <w:t>Haen SP, Pereira PL, Salih HR, Rammensee H-G, Gouttefangeas C. More Than Just Tumor Destruction: Immunomodulation by Thermal Ablation of Cancer. Clin Dev Immunol; vol. 2011, Article ID 160250, 19 pages, 2011. doi:10.1155/2011/160250 [cited 2015 Sep 9]. Available from: http://www.ncbi.nlm.nih.gov/pmc/articles/PMC3254009/</w:t>
      </w:r>
    </w:p>
    <w:p w14:paraId="6BCDF59B" w14:textId="5646A1E4" w:rsidR="00756CC5" w:rsidRDefault="00D77951" w:rsidP="00111B1B">
      <w:pPr>
        <w:pStyle w:val="Bibliography"/>
        <w:spacing w:line="480" w:lineRule="auto"/>
        <w:jc w:val="both"/>
      </w:pPr>
      <w:r>
        <w:fldChar w:fldCharType="end"/>
      </w:r>
    </w:p>
    <w:p w14:paraId="65EC0F97" w14:textId="77777777" w:rsidR="00CC1569" w:rsidRDefault="00CC1569">
      <w:pPr>
        <w:rPr>
          <w:b/>
          <w:sz w:val="28"/>
          <w:szCs w:val="28"/>
        </w:rPr>
      </w:pPr>
      <w:r>
        <w:rPr>
          <w:b/>
          <w:sz w:val="28"/>
          <w:szCs w:val="28"/>
        </w:rPr>
        <w:br w:type="page"/>
      </w:r>
    </w:p>
    <w:p w14:paraId="575768C2" w14:textId="157FE11F" w:rsidR="00A62226" w:rsidRDefault="00A62226" w:rsidP="00A62226">
      <w:pPr>
        <w:rPr>
          <w:b/>
          <w:sz w:val="28"/>
          <w:szCs w:val="28"/>
        </w:rPr>
      </w:pPr>
      <w:r w:rsidRPr="00A62226">
        <w:rPr>
          <w:b/>
          <w:sz w:val="28"/>
          <w:szCs w:val="28"/>
        </w:rPr>
        <w:lastRenderedPageBreak/>
        <w:t>Figure Legends:</w:t>
      </w:r>
    </w:p>
    <w:p w14:paraId="04DC8E81" w14:textId="77777777" w:rsidR="00A62226" w:rsidRPr="00A62226" w:rsidRDefault="00A62226" w:rsidP="00A62226">
      <w:pPr>
        <w:spacing w:line="480" w:lineRule="auto"/>
      </w:pPr>
      <w:r w:rsidRPr="00F22553">
        <w:rPr>
          <w:b/>
        </w:rPr>
        <w:t>Figure 1:</w:t>
      </w:r>
      <w:r w:rsidRPr="00A62226">
        <w:t xml:space="preserve"> Disease status of UM patients participating in the Pembrolizumab EAP. Treatment was administered at 3 weekly intervals with tumour assessments performed at baseline and every 3 cycles of treatment or as clinically indicated.</w:t>
      </w:r>
    </w:p>
    <w:p w14:paraId="02625F33" w14:textId="629AA516" w:rsidR="00A62226" w:rsidRPr="00A62226" w:rsidRDefault="00A62226" w:rsidP="00A62226">
      <w:pPr>
        <w:spacing w:line="480" w:lineRule="auto"/>
      </w:pPr>
      <w:r w:rsidRPr="00F22553">
        <w:rPr>
          <w:b/>
        </w:rPr>
        <w:t>Figure 2:</w:t>
      </w:r>
      <w:r w:rsidRPr="00A62226">
        <w:t xml:space="preserve"> Kaplan-Meier plots of overall and progression free survival of UM patients treated with pembrolizumab at 2mg/kg as part of the expanded access programme. (</w:t>
      </w:r>
      <w:r w:rsidR="003B1DD0">
        <w:t>A</w:t>
      </w:r>
      <w:r w:rsidRPr="00A62226">
        <w:t>) Curves for entire group, m</w:t>
      </w:r>
      <w:r w:rsidR="003B1DD0">
        <w:t>edian OS not reached. (</w:t>
      </w:r>
      <w:r w:rsidR="00AA3214">
        <w:t>B-H</w:t>
      </w:r>
      <w:r w:rsidRPr="00A62226">
        <w:t>) Curves stratified by</w:t>
      </w:r>
      <w:r w:rsidR="00AA3214">
        <w:t xml:space="preserve"> best</w:t>
      </w:r>
      <w:r w:rsidRPr="00A62226">
        <w:t xml:space="preserve"> </w:t>
      </w:r>
      <w:r w:rsidR="00AA3214">
        <w:t xml:space="preserve">previous response to ipilimumab (B), </w:t>
      </w:r>
      <w:r w:rsidRPr="00A62226">
        <w:t>site of disease progression at baseline (</w:t>
      </w:r>
      <w:r w:rsidR="003B1DD0">
        <w:t>C</w:t>
      </w:r>
      <w:r w:rsidR="00AA3214">
        <w:t>-D</w:t>
      </w:r>
      <w:r w:rsidRPr="00A62226">
        <w:t>), number of liver directed treatments received prior to enrolling to the EAP (</w:t>
      </w:r>
      <w:r w:rsidR="00AA3214">
        <w:t>E</w:t>
      </w:r>
      <w:r w:rsidRPr="00A62226">
        <w:t>),</w:t>
      </w:r>
      <w:r w:rsidR="00202B5E">
        <w:t xml:space="preserve"> number of previous systemic treatments (</w:t>
      </w:r>
      <w:r w:rsidR="00AA3214">
        <w:t>F</w:t>
      </w:r>
      <w:r w:rsidR="00202B5E">
        <w:t>),</w:t>
      </w:r>
      <w:r w:rsidRPr="00A62226">
        <w:t xml:space="preserve"> </w:t>
      </w:r>
      <w:r w:rsidR="00202B5E" w:rsidRPr="00A62226">
        <w:t>serum LDH (</w:t>
      </w:r>
      <w:r w:rsidR="00AA3214">
        <w:t>G</w:t>
      </w:r>
      <w:r w:rsidR="00202B5E" w:rsidRPr="00A62226">
        <w:t>)</w:t>
      </w:r>
      <w:r w:rsidR="00202B5E">
        <w:t xml:space="preserve"> </w:t>
      </w:r>
      <w:r w:rsidRPr="00A62226">
        <w:t xml:space="preserve">and </w:t>
      </w:r>
      <w:r w:rsidR="00202B5E" w:rsidRPr="00A62226">
        <w:t>ECOG PS (</w:t>
      </w:r>
      <w:r w:rsidR="00AA3214">
        <w:t>H</w:t>
      </w:r>
      <w:r w:rsidR="00202B5E">
        <w:t>)</w:t>
      </w:r>
      <w:r w:rsidRPr="00A62226">
        <w:t>.</w:t>
      </w:r>
    </w:p>
    <w:p w14:paraId="25B9F597" w14:textId="32D49BB0" w:rsidR="00A62226" w:rsidRDefault="00A62226" w:rsidP="00A62226">
      <w:pPr>
        <w:spacing w:line="480" w:lineRule="auto"/>
      </w:pPr>
      <w:r w:rsidRPr="00F22553">
        <w:rPr>
          <w:b/>
        </w:rPr>
        <w:t>Figure 3:</w:t>
      </w:r>
      <w:r w:rsidRPr="00A62226">
        <w:t xml:space="preserve"> Plots demonstrating lead- in time</w:t>
      </w:r>
      <w:r w:rsidR="00202B5E">
        <w:t>s</w:t>
      </w:r>
      <w:r w:rsidRPr="00A62226">
        <w:t xml:space="preserve"> from diagnosis of UM recurrence </w:t>
      </w:r>
      <w:r w:rsidR="00202B5E">
        <w:t xml:space="preserve">to commencing pembrolizumab </w:t>
      </w:r>
      <w:r w:rsidRPr="00A62226">
        <w:t>stratified by (</w:t>
      </w:r>
      <w:r w:rsidR="003B1DD0">
        <w:t>A</w:t>
      </w:r>
      <w:r w:rsidRPr="00A62226">
        <w:t>) location of disease progression at time of commencing pembrolizumab</w:t>
      </w:r>
      <w:r w:rsidR="00202B5E">
        <w:t>,</w:t>
      </w:r>
      <w:r w:rsidRPr="00A62226">
        <w:t xml:space="preserve"> (</w:t>
      </w:r>
      <w:r w:rsidR="003B1DD0">
        <w:t>B</w:t>
      </w:r>
      <w:r w:rsidRPr="00A62226">
        <w:t>) number of liver directed treatments received prior to enrolling to the EAP</w:t>
      </w:r>
      <w:r w:rsidR="00202B5E">
        <w:t xml:space="preserve"> and (C) number of previous systemic treatments</w:t>
      </w:r>
      <w:r w:rsidRPr="00A62226">
        <w:t>.</w:t>
      </w:r>
    </w:p>
    <w:p w14:paraId="583E8BFC" w14:textId="24A25DA1" w:rsidR="00F22553" w:rsidRPr="00F22553" w:rsidRDefault="00F22553" w:rsidP="00F22553">
      <w:r w:rsidRPr="00F22553">
        <w:rPr>
          <w:b/>
          <w:sz w:val="28"/>
          <w:szCs w:val="28"/>
        </w:rPr>
        <w:t>Tables</w:t>
      </w:r>
    </w:p>
    <w:p w14:paraId="5CB0508D" w14:textId="77777777" w:rsidR="00F22553" w:rsidRDefault="00F22553">
      <w:r>
        <w:br w:type="page"/>
      </w:r>
    </w:p>
    <w:p w14:paraId="65F926DA" w14:textId="77B10240" w:rsidR="00F22553" w:rsidRDefault="00F22553" w:rsidP="00F22553">
      <w:r w:rsidRPr="00F22553">
        <w:rPr>
          <w:b/>
        </w:rPr>
        <w:lastRenderedPageBreak/>
        <w:t>Table 1.</w:t>
      </w:r>
      <w:r w:rsidRPr="00F22553">
        <w:t xml:space="preserve"> Baseline patient characteristics</w:t>
      </w:r>
    </w:p>
    <w:tbl>
      <w:tblPr>
        <w:tblStyle w:val="ListTable4-Accent310"/>
        <w:tblW w:w="0" w:type="auto"/>
        <w:tblLook w:val="04A0" w:firstRow="1" w:lastRow="0" w:firstColumn="1" w:lastColumn="0" w:noHBand="0" w:noVBand="1"/>
      </w:tblPr>
      <w:tblGrid>
        <w:gridCol w:w="4390"/>
        <w:gridCol w:w="1275"/>
        <w:gridCol w:w="1560"/>
        <w:gridCol w:w="1791"/>
      </w:tblGrid>
      <w:tr w:rsidR="00202B5E" w:rsidRPr="00F22553" w14:paraId="0682DF83" w14:textId="77777777" w:rsidTr="00C8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bottom w:val="single" w:sz="4" w:space="0" w:color="auto"/>
            </w:tcBorders>
          </w:tcPr>
          <w:p w14:paraId="7057A770" w14:textId="3D722397" w:rsidR="00202B5E" w:rsidRPr="00452A1A" w:rsidRDefault="00202B5E" w:rsidP="00452A1A">
            <w:pPr>
              <w:ind w:left="360"/>
              <w:jc w:val="both"/>
            </w:pPr>
            <w:r w:rsidRPr="00452A1A">
              <w:rPr>
                <w:b w:val="0"/>
                <w:bCs w:val="0"/>
              </w:rPr>
              <w:t>a.</w:t>
            </w:r>
            <w:r>
              <w:t xml:space="preserve"> </w:t>
            </w:r>
            <w:r w:rsidRPr="00452A1A">
              <w:t>Demographic Characteristics</w:t>
            </w:r>
          </w:p>
        </w:tc>
        <w:tc>
          <w:tcPr>
            <w:tcW w:w="1560" w:type="dxa"/>
            <w:tcBorders>
              <w:top w:val="single" w:sz="4" w:space="0" w:color="auto"/>
              <w:bottom w:val="single" w:sz="4" w:space="0" w:color="auto"/>
            </w:tcBorders>
          </w:tcPr>
          <w:p w14:paraId="6DBF5804" w14:textId="77777777" w:rsidR="00202B5E" w:rsidRPr="00F22553" w:rsidRDefault="00202B5E" w:rsidP="00C84571">
            <w:pPr>
              <w:jc w:val="both"/>
              <w:cnfStyle w:val="100000000000" w:firstRow="1" w:lastRow="0" w:firstColumn="0" w:lastColumn="0" w:oddVBand="0" w:evenVBand="0" w:oddHBand="0" w:evenHBand="0" w:firstRowFirstColumn="0" w:firstRowLastColumn="0" w:lastRowFirstColumn="0" w:lastRowLastColumn="0"/>
            </w:pPr>
          </w:p>
        </w:tc>
        <w:tc>
          <w:tcPr>
            <w:tcW w:w="1791" w:type="dxa"/>
            <w:tcBorders>
              <w:top w:val="single" w:sz="4" w:space="0" w:color="auto"/>
              <w:bottom w:val="single" w:sz="4" w:space="0" w:color="auto"/>
              <w:right w:val="single" w:sz="4" w:space="0" w:color="auto"/>
            </w:tcBorders>
          </w:tcPr>
          <w:p w14:paraId="60A073AF" w14:textId="77777777" w:rsidR="00202B5E" w:rsidRPr="00F22553" w:rsidRDefault="00202B5E" w:rsidP="00C84571">
            <w:pPr>
              <w:jc w:val="both"/>
              <w:cnfStyle w:val="100000000000" w:firstRow="1" w:lastRow="0" w:firstColumn="0" w:lastColumn="0" w:oddVBand="0" w:evenVBand="0" w:oddHBand="0" w:evenHBand="0" w:firstRowFirstColumn="0" w:firstRowLastColumn="0" w:lastRowFirstColumn="0" w:lastRowLastColumn="0"/>
            </w:pPr>
          </w:p>
        </w:tc>
      </w:tr>
      <w:tr w:rsidR="00202B5E" w:rsidRPr="00F22553" w14:paraId="4C027A54"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bottom w:val="single" w:sz="4" w:space="0" w:color="auto"/>
              <w:right w:val="single" w:sz="4" w:space="0" w:color="auto"/>
            </w:tcBorders>
          </w:tcPr>
          <w:p w14:paraId="65C55D62" w14:textId="77777777" w:rsidR="00202B5E" w:rsidRPr="00F22553" w:rsidRDefault="00202B5E" w:rsidP="00C84571">
            <w:pPr>
              <w:jc w:val="both"/>
            </w:pPr>
            <w:r w:rsidRPr="00F22553">
              <w:t>Number of patients</w:t>
            </w:r>
          </w:p>
        </w:tc>
        <w:tc>
          <w:tcPr>
            <w:tcW w:w="1560" w:type="dxa"/>
            <w:tcBorders>
              <w:top w:val="single" w:sz="4" w:space="0" w:color="auto"/>
              <w:left w:val="single" w:sz="4" w:space="0" w:color="auto"/>
              <w:bottom w:val="single" w:sz="4" w:space="0" w:color="auto"/>
              <w:right w:val="single" w:sz="4" w:space="0" w:color="auto"/>
            </w:tcBorders>
            <w:vAlign w:val="center"/>
          </w:tcPr>
          <w:p w14:paraId="5F9C6CAA"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N=</w:t>
            </w:r>
          </w:p>
        </w:tc>
        <w:tc>
          <w:tcPr>
            <w:tcW w:w="1791" w:type="dxa"/>
            <w:tcBorders>
              <w:top w:val="single" w:sz="4" w:space="0" w:color="auto"/>
              <w:left w:val="single" w:sz="4" w:space="0" w:color="auto"/>
              <w:bottom w:val="single" w:sz="4" w:space="0" w:color="auto"/>
              <w:right w:val="single" w:sz="4" w:space="0" w:color="auto"/>
            </w:tcBorders>
            <w:vAlign w:val="center"/>
          </w:tcPr>
          <w:p w14:paraId="0F019D76"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w:t>
            </w:r>
          </w:p>
        </w:tc>
      </w:tr>
      <w:tr w:rsidR="00202B5E" w:rsidRPr="00F22553" w14:paraId="60223AC3" w14:textId="77777777" w:rsidTr="00C84571">
        <w:tc>
          <w:tcPr>
            <w:cnfStyle w:val="001000000000" w:firstRow="0" w:lastRow="0" w:firstColumn="1" w:lastColumn="0" w:oddVBand="0" w:evenVBand="0" w:oddHBand="0" w:evenHBand="0" w:firstRowFirstColumn="0" w:firstRowLastColumn="0" w:lastRowFirstColumn="0" w:lastRowLastColumn="0"/>
            <w:tcW w:w="4390" w:type="dxa"/>
            <w:vMerge w:val="restart"/>
            <w:tcBorders>
              <w:top w:val="single" w:sz="4" w:space="0" w:color="auto"/>
              <w:left w:val="single" w:sz="4" w:space="0" w:color="auto"/>
              <w:right w:val="single" w:sz="4" w:space="0" w:color="auto"/>
            </w:tcBorders>
            <w:vAlign w:val="center"/>
          </w:tcPr>
          <w:p w14:paraId="161BC6C7" w14:textId="77777777" w:rsidR="00202B5E" w:rsidRPr="00F22553" w:rsidRDefault="00202B5E" w:rsidP="00C84571">
            <w:r>
              <w:t>Patient gender</w:t>
            </w:r>
          </w:p>
        </w:tc>
        <w:tc>
          <w:tcPr>
            <w:tcW w:w="1275" w:type="dxa"/>
            <w:tcBorders>
              <w:top w:val="single" w:sz="4" w:space="0" w:color="auto"/>
              <w:left w:val="single" w:sz="4" w:space="0" w:color="auto"/>
              <w:right w:val="single" w:sz="4" w:space="0" w:color="auto"/>
            </w:tcBorders>
            <w:vAlign w:val="center"/>
          </w:tcPr>
          <w:p w14:paraId="42A5871A"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rPr>
                <w:b/>
                <w:bCs/>
              </w:rPr>
            </w:pPr>
            <w:r w:rsidRPr="00F22553">
              <w:rPr>
                <w:b/>
                <w:bCs/>
              </w:rPr>
              <w:t>Male</w:t>
            </w:r>
          </w:p>
        </w:tc>
        <w:tc>
          <w:tcPr>
            <w:tcW w:w="1560" w:type="dxa"/>
            <w:tcBorders>
              <w:top w:val="single" w:sz="4" w:space="0" w:color="auto"/>
              <w:left w:val="single" w:sz="4" w:space="0" w:color="auto"/>
              <w:right w:val="single" w:sz="4" w:space="0" w:color="auto"/>
            </w:tcBorders>
            <w:vAlign w:val="center"/>
          </w:tcPr>
          <w:p w14:paraId="633CBCDF"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13</w:t>
            </w:r>
          </w:p>
        </w:tc>
        <w:tc>
          <w:tcPr>
            <w:tcW w:w="1791" w:type="dxa"/>
            <w:tcBorders>
              <w:top w:val="single" w:sz="4" w:space="0" w:color="auto"/>
              <w:left w:val="single" w:sz="4" w:space="0" w:color="auto"/>
              <w:right w:val="single" w:sz="4" w:space="0" w:color="auto"/>
            </w:tcBorders>
            <w:vAlign w:val="center"/>
          </w:tcPr>
          <w:p w14:paraId="2C269B58"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52%</w:t>
            </w:r>
          </w:p>
        </w:tc>
      </w:tr>
      <w:tr w:rsidR="00202B5E" w:rsidRPr="00F22553" w14:paraId="19E36329"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Merge/>
            <w:tcBorders>
              <w:left w:val="single" w:sz="4" w:space="0" w:color="auto"/>
              <w:bottom w:val="single" w:sz="4" w:space="0" w:color="auto"/>
              <w:right w:val="single" w:sz="4" w:space="0" w:color="auto"/>
            </w:tcBorders>
          </w:tcPr>
          <w:p w14:paraId="1C3522BC" w14:textId="77777777" w:rsidR="00202B5E" w:rsidRPr="00F22553" w:rsidRDefault="00202B5E" w:rsidP="00C84571">
            <w:pPr>
              <w:jc w:val="both"/>
            </w:pPr>
          </w:p>
        </w:tc>
        <w:tc>
          <w:tcPr>
            <w:tcW w:w="1275" w:type="dxa"/>
            <w:tcBorders>
              <w:left w:val="single" w:sz="4" w:space="0" w:color="auto"/>
              <w:bottom w:val="single" w:sz="4" w:space="0" w:color="auto"/>
              <w:right w:val="single" w:sz="4" w:space="0" w:color="auto"/>
            </w:tcBorders>
            <w:vAlign w:val="center"/>
          </w:tcPr>
          <w:p w14:paraId="3D823C3F"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rPr>
                <w:b/>
                <w:bCs/>
              </w:rPr>
            </w:pPr>
            <w:r w:rsidRPr="00F22553">
              <w:rPr>
                <w:b/>
                <w:bCs/>
              </w:rPr>
              <w:t>Female</w:t>
            </w:r>
          </w:p>
        </w:tc>
        <w:tc>
          <w:tcPr>
            <w:tcW w:w="1560" w:type="dxa"/>
            <w:tcBorders>
              <w:left w:val="single" w:sz="4" w:space="0" w:color="auto"/>
              <w:bottom w:val="single" w:sz="4" w:space="0" w:color="auto"/>
              <w:right w:val="single" w:sz="4" w:space="0" w:color="auto"/>
            </w:tcBorders>
            <w:vAlign w:val="center"/>
          </w:tcPr>
          <w:p w14:paraId="484E0E55"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12</w:t>
            </w:r>
          </w:p>
        </w:tc>
        <w:tc>
          <w:tcPr>
            <w:tcW w:w="1791" w:type="dxa"/>
            <w:tcBorders>
              <w:left w:val="single" w:sz="4" w:space="0" w:color="auto"/>
              <w:right w:val="single" w:sz="4" w:space="0" w:color="auto"/>
            </w:tcBorders>
            <w:vAlign w:val="center"/>
          </w:tcPr>
          <w:p w14:paraId="7588BDB9"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48%</w:t>
            </w:r>
          </w:p>
        </w:tc>
      </w:tr>
      <w:tr w:rsidR="00202B5E" w:rsidRPr="00F22553" w14:paraId="3DC99C7F" w14:textId="77777777" w:rsidTr="00C84571">
        <w:tc>
          <w:tcPr>
            <w:cnfStyle w:val="001000000000" w:firstRow="0" w:lastRow="0" w:firstColumn="1" w:lastColumn="0" w:oddVBand="0" w:evenVBand="0" w:oddHBand="0" w:evenHBand="0" w:firstRowFirstColumn="0" w:firstRowLastColumn="0" w:lastRowFirstColumn="0" w:lastRowLastColumn="0"/>
            <w:tcW w:w="4390" w:type="dxa"/>
            <w:vMerge w:val="restart"/>
            <w:tcBorders>
              <w:top w:val="single" w:sz="4" w:space="0" w:color="auto"/>
              <w:left w:val="single" w:sz="4" w:space="0" w:color="auto"/>
              <w:right w:val="single" w:sz="4" w:space="0" w:color="auto"/>
            </w:tcBorders>
            <w:vAlign w:val="center"/>
          </w:tcPr>
          <w:p w14:paraId="3820A0A5" w14:textId="77777777" w:rsidR="00202B5E" w:rsidRPr="00F22553" w:rsidRDefault="00202B5E" w:rsidP="00C84571">
            <w:r w:rsidRPr="00F22553">
              <w:t>Eastern Co-operative Oncology Group performance status</w:t>
            </w:r>
          </w:p>
        </w:tc>
        <w:tc>
          <w:tcPr>
            <w:tcW w:w="1275" w:type="dxa"/>
            <w:tcBorders>
              <w:top w:val="single" w:sz="4" w:space="0" w:color="auto"/>
              <w:left w:val="single" w:sz="4" w:space="0" w:color="auto"/>
              <w:right w:val="single" w:sz="4" w:space="0" w:color="auto"/>
            </w:tcBorders>
            <w:vAlign w:val="center"/>
          </w:tcPr>
          <w:p w14:paraId="56BFB8F3"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rPr>
                <w:b/>
                <w:bCs/>
              </w:rPr>
            </w:pPr>
            <w:r w:rsidRPr="00F22553">
              <w:rPr>
                <w:b/>
                <w:bCs/>
              </w:rPr>
              <w:t>0</w:t>
            </w:r>
          </w:p>
        </w:tc>
        <w:tc>
          <w:tcPr>
            <w:tcW w:w="1560" w:type="dxa"/>
            <w:tcBorders>
              <w:top w:val="single" w:sz="4" w:space="0" w:color="auto"/>
              <w:left w:val="single" w:sz="4" w:space="0" w:color="auto"/>
              <w:right w:val="single" w:sz="4" w:space="0" w:color="auto"/>
            </w:tcBorders>
            <w:vAlign w:val="center"/>
          </w:tcPr>
          <w:p w14:paraId="14272868"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12</w:t>
            </w:r>
          </w:p>
        </w:tc>
        <w:tc>
          <w:tcPr>
            <w:tcW w:w="1791" w:type="dxa"/>
            <w:tcBorders>
              <w:top w:val="single" w:sz="4" w:space="0" w:color="auto"/>
              <w:left w:val="single" w:sz="4" w:space="0" w:color="auto"/>
              <w:right w:val="single" w:sz="4" w:space="0" w:color="auto"/>
            </w:tcBorders>
            <w:vAlign w:val="center"/>
          </w:tcPr>
          <w:p w14:paraId="3D45E75C"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48%</w:t>
            </w:r>
          </w:p>
        </w:tc>
      </w:tr>
      <w:tr w:rsidR="00202B5E" w:rsidRPr="00F22553" w14:paraId="7426CF04"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Merge/>
            <w:tcBorders>
              <w:left w:val="single" w:sz="4" w:space="0" w:color="auto"/>
              <w:right w:val="single" w:sz="4" w:space="0" w:color="auto"/>
            </w:tcBorders>
          </w:tcPr>
          <w:p w14:paraId="7A859970" w14:textId="77777777" w:rsidR="00202B5E" w:rsidRPr="00F22553" w:rsidRDefault="00202B5E" w:rsidP="00C84571">
            <w:pPr>
              <w:jc w:val="both"/>
            </w:pPr>
          </w:p>
        </w:tc>
        <w:tc>
          <w:tcPr>
            <w:tcW w:w="1275" w:type="dxa"/>
            <w:tcBorders>
              <w:left w:val="single" w:sz="4" w:space="0" w:color="auto"/>
              <w:bottom w:val="nil"/>
              <w:right w:val="single" w:sz="4" w:space="0" w:color="auto"/>
            </w:tcBorders>
            <w:vAlign w:val="center"/>
          </w:tcPr>
          <w:p w14:paraId="725C4DB4"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rPr>
                <w:b/>
                <w:bCs/>
              </w:rPr>
            </w:pPr>
            <w:r w:rsidRPr="00F22553">
              <w:rPr>
                <w:b/>
                <w:bCs/>
              </w:rPr>
              <w:t>1</w:t>
            </w:r>
          </w:p>
        </w:tc>
        <w:tc>
          <w:tcPr>
            <w:tcW w:w="1560" w:type="dxa"/>
            <w:tcBorders>
              <w:left w:val="single" w:sz="4" w:space="0" w:color="auto"/>
              <w:bottom w:val="nil"/>
              <w:right w:val="single" w:sz="4" w:space="0" w:color="auto"/>
            </w:tcBorders>
            <w:vAlign w:val="center"/>
          </w:tcPr>
          <w:p w14:paraId="5A1DE182"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12</w:t>
            </w:r>
          </w:p>
        </w:tc>
        <w:tc>
          <w:tcPr>
            <w:tcW w:w="1791" w:type="dxa"/>
            <w:tcBorders>
              <w:left w:val="single" w:sz="4" w:space="0" w:color="auto"/>
              <w:right w:val="single" w:sz="4" w:space="0" w:color="auto"/>
            </w:tcBorders>
            <w:vAlign w:val="center"/>
          </w:tcPr>
          <w:p w14:paraId="47612074"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48%</w:t>
            </w:r>
          </w:p>
        </w:tc>
      </w:tr>
      <w:tr w:rsidR="00202B5E" w:rsidRPr="00F22553" w14:paraId="44AD09C4" w14:textId="77777777" w:rsidTr="00C84571">
        <w:tc>
          <w:tcPr>
            <w:cnfStyle w:val="001000000000" w:firstRow="0" w:lastRow="0" w:firstColumn="1" w:lastColumn="0" w:oddVBand="0" w:evenVBand="0" w:oddHBand="0" w:evenHBand="0" w:firstRowFirstColumn="0" w:firstRowLastColumn="0" w:lastRowFirstColumn="0" w:lastRowLastColumn="0"/>
            <w:tcW w:w="4390" w:type="dxa"/>
            <w:vMerge/>
            <w:tcBorders>
              <w:left w:val="single" w:sz="4" w:space="0" w:color="auto"/>
              <w:bottom w:val="single" w:sz="4" w:space="0" w:color="auto"/>
              <w:right w:val="single" w:sz="4" w:space="0" w:color="auto"/>
            </w:tcBorders>
          </w:tcPr>
          <w:p w14:paraId="0FE0B43B" w14:textId="77777777" w:rsidR="00202B5E" w:rsidRPr="00F22553" w:rsidRDefault="00202B5E" w:rsidP="00C84571">
            <w:pPr>
              <w:jc w:val="both"/>
            </w:pPr>
          </w:p>
        </w:tc>
        <w:tc>
          <w:tcPr>
            <w:tcW w:w="1275" w:type="dxa"/>
            <w:tcBorders>
              <w:top w:val="nil"/>
              <w:left w:val="single" w:sz="4" w:space="0" w:color="auto"/>
              <w:bottom w:val="single" w:sz="4" w:space="0" w:color="auto"/>
              <w:right w:val="single" w:sz="4" w:space="0" w:color="auto"/>
            </w:tcBorders>
            <w:vAlign w:val="center"/>
          </w:tcPr>
          <w:p w14:paraId="3A6F04F0"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rPr>
                <w:b/>
                <w:bCs/>
              </w:rPr>
            </w:pPr>
            <w:r>
              <w:rPr>
                <w:b/>
                <w:bCs/>
              </w:rPr>
              <w:t>2</w:t>
            </w:r>
          </w:p>
        </w:tc>
        <w:tc>
          <w:tcPr>
            <w:tcW w:w="1560" w:type="dxa"/>
            <w:tcBorders>
              <w:top w:val="nil"/>
              <w:left w:val="single" w:sz="4" w:space="0" w:color="auto"/>
              <w:bottom w:val="single" w:sz="4" w:space="0" w:color="auto"/>
              <w:right w:val="single" w:sz="4" w:space="0" w:color="auto"/>
            </w:tcBorders>
            <w:vAlign w:val="center"/>
          </w:tcPr>
          <w:p w14:paraId="501D4C4B" w14:textId="77777777" w:rsidR="00202B5E" w:rsidRPr="00F22553" w:rsidDel="00CF3D19" w:rsidRDefault="00202B5E" w:rsidP="00C84571">
            <w:pPr>
              <w:jc w:val="center"/>
              <w:cnfStyle w:val="000000000000" w:firstRow="0" w:lastRow="0" w:firstColumn="0" w:lastColumn="0" w:oddVBand="0" w:evenVBand="0" w:oddHBand="0" w:evenHBand="0" w:firstRowFirstColumn="0" w:firstRowLastColumn="0" w:lastRowFirstColumn="0" w:lastRowLastColumn="0"/>
            </w:pPr>
            <w:r>
              <w:t>1</w:t>
            </w:r>
          </w:p>
        </w:tc>
        <w:tc>
          <w:tcPr>
            <w:tcW w:w="1791" w:type="dxa"/>
            <w:tcBorders>
              <w:left w:val="single" w:sz="4" w:space="0" w:color="auto"/>
              <w:right w:val="single" w:sz="4" w:space="0" w:color="auto"/>
            </w:tcBorders>
            <w:vAlign w:val="center"/>
          </w:tcPr>
          <w:p w14:paraId="0F04C2AC" w14:textId="0D7135B0"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4%</w:t>
            </w:r>
          </w:p>
        </w:tc>
      </w:tr>
      <w:tr w:rsidR="00202B5E" w:rsidRPr="00F22553" w14:paraId="5A4444E9" w14:textId="77777777" w:rsidTr="00202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bottom w:val="single" w:sz="4" w:space="0" w:color="auto"/>
              <w:right w:val="single" w:sz="4" w:space="0" w:color="auto"/>
            </w:tcBorders>
          </w:tcPr>
          <w:p w14:paraId="3D5C7068" w14:textId="77777777" w:rsidR="00202B5E" w:rsidRPr="00F22553" w:rsidRDefault="00202B5E" w:rsidP="00C84571">
            <w:pPr>
              <w:jc w:val="both"/>
            </w:pPr>
          </w:p>
        </w:tc>
        <w:tc>
          <w:tcPr>
            <w:tcW w:w="1560" w:type="dxa"/>
            <w:tcBorders>
              <w:top w:val="single" w:sz="4" w:space="0" w:color="auto"/>
              <w:left w:val="single" w:sz="4" w:space="0" w:color="auto"/>
              <w:bottom w:val="single" w:sz="4" w:space="0" w:color="auto"/>
              <w:right w:val="single" w:sz="4" w:space="0" w:color="auto"/>
            </w:tcBorders>
            <w:vAlign w:val="center"/>
          </w:tcPr>
          <w:p w14:paraId="1E511535" w14:textId="73AA62F6" w:rsidR="00202B5E" w:rsidRPr="00F22553" w:rsidDel="00F2420A" w:rsidRDefault="00202B5E" w:rsidP="00C84571">
            <w:pPr>
              <w:jc w:val="center"/>
              <w:cnfStyle w:val="000000100000" w:firstRow="0" w:lastRow="0" w:firstColumn="0" w:lastColumn="0" w:oddVBand="0" w:evenVBand="0" w:oddHBand="1" w:evenHBand="0" w:firstRowFirstColumn="0" w:firstRowLastColumn="0" w:lastRowFirstColumn="0" w:lastRowLastColumn="0"/>
            </w:pPr>
            <w:r>
              <w:t>Median</w:t>
            </w:r>
          </w:p>
        </w:tc>
        <w:tc>
          <w:tcPr>
            <w:tcW w:w="1791" w:type="dxa"/>
            <w:tcBorders>
              <w:top w:val="single" w:sz="4" w:space="0" w:color="auto"/>
              <w:left w:val="single" w:sz="4" w:space="0" w:color="auto"/>
              <w:bottom w:val="single" w:sz="4" w:space="0" w:color="auto"/>
              <w:right w:val="single" w:sz="4" w:space="0" w:color="auto"/>
            </w:tcBorders>
            <w:vAlign w:val="center"/>
          </w:tcPr>
          <w:p w14:paraId="27A75A69"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Range</w:t>
            </w:r>
          </w:p>
        </w:tc>
      </w:tr>
      <w:tr w:rsidR="00202B5E" w:rsidRPr="00F22553" w14:paraId="58C6F94D" w14:textId="77777777" w:rsidTr="00C84571">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bottom w:val="single" w:sz="4" w:space="0" w:color="auto"/>
              <w:right w:val="single" w:sz="4" w:space="0" w:color="auto"/>
            </w:tcBorders>
          </w:tcPr>
          <w:p w14:paraId="08148586" w14:textId="424F8004" w:rsidR="00202B5E" w:rsidRPr="00F22553" w:rsidRDefault="00202B5E" w:rsidP="00C84571">
            <w:pPr>
              <w:jc w:val="both"/>
            </w:pPr>
            <w:r>
              <w:t>A</w:t>
            </w:r>
            <w:r w:rsidRPr="00F22553">
              <w:t xml:space="preserve">ge at </w:t>
            </w:r>
            <w:r>
              <w:t>1</w:t>
            </w:r>
            <w:r w:rsidRPr="00D866B3">
              <w:rPr>
                <w:vertAlign w:val="superscript"/>
              </w:rPr>
              <w:t>st</w:t>
            </w:r>
            <w:r>
              <w:t xml:space="preserve"> pembrolizumab cycle</w:t>
            </w:r>
            <w:r w:rsidRPr="00F22553">
              <w:t xml:space="preserve"> (</w:t>
            </w:r>
            <w:r>
              <w:t>years</w:t>
            </w:r>
            <w:r w:rsidRPr="00F22553">
              <w:t>)</w:t>
            </w:r>
          </w:p>
        </w:tc>
        <w:tc>
          <w:tcPr>
            <w:tcW w:w="1560" w:type="dxa"/>
            <w:tcBorders>
              <w:top w:val="single" w:sz="4" w:space="0" w:color="auto"/>
              <w:left w:val="single" w:sz="4" w:space="0" w:color="auto"/>
              <w:bottom w:val="single" w:sz="4" w:space="0" w:color="auto"/>
              <w:right w:val="single" w:sz="4" w:space="0" w:color="auto"/>
            </w:tcBorders>
            <w:vAlign w:val="center"/>
          </w:tcPr>
          <w:p w14:paraId="16532838" w14:textId="77777777" w:rsidR="00202B5E" w:rsidRPr="00F22553" w:rsidDel="00F2420A"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58</w:t>
            </w:r>
            <w:r>
              <w:t xml:space="preserve"> </w:t>
            </w:r>
          </w:p>
        </w:tc>
        <w:tc>
          <w:tcPr>
            <w:tcW w:w="1791" w:type="dxa"/>
            <w:tcBorders>
              <w:top w:val="single" w:sz="4" w:space="0" w:color="auto"/>
              <w:left w:val="single" w:sz="4" w:space="0" w:color="auto"/>
              <w:bottom w:val="single" w:sz="4" w:space="0" w:color="auto"/>
              <w:right w:val="single" w:sz="4" w:space="0" w:color="auto"/>
            </w:tcBorders>
            <w:vAlign w:val="center"/>
          </w:tcPr>
          <w:p w14:paraId="0F3AAB36"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 xml:space="preserve">32-83 </w:t>
            </w:r>
          </w:p>
        </w:tc>
      </w:tr>
      <w:tr w:rsidR="00202B5E" w:rsidRPr="00F22553" w14:paraId="7373DC45"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bottom w:val="single" w:sz="4" w:space="0" w:color="auto"/>
              <w:right w:val="single" w:sz="4" w:space="0" w:color="auto"/>
            </w:tcBorders>
          </w:tcPr>
          <w:p w14:paraId="6456F223" w14:textId="2DB68FEA" w:rsidR="00202B5E" w:rsidRPr="00F22553" w:rsidRDefault="00202B5E" w:rsidP="00C84571">
            <w:pPr>
              <w:jc w:val="both"/>
            </w:pPr>
            <w:r>
              <w:t>T</w:t>
            </w:r>
            <w:r w:rsidRPr="00F22553">
              <w:t>ime from primary diagnosis (</w:t>
            </w:r>
            <w:r>
              <w:t>months</w:t>
            </w:r>
            <w:r w:rsidRPr="00F22553">
              <w:t>)</w:t>
            </w:r>
          </w:p>
        </w:tc>
        <w:tc>
          <w:tcPr>
            <w:tcW w:w="1560" w:type="dxa"/>
            <w:tcBorders>
              <w:top w:val="single" w:sz="4" w:space="0" w:color="auto"/>
              <w:left w:val="single" w:sz="4" w:space="0" w:color="auto"/>
              <w:bottom w:val="single" w:sz="4" w:space="0" w:color="auto"/>
              <w:right w:val="single" w:sz="4" w:space="0" w:color="auto"/>
            </w:tcBorders>
            <w:vAlign w:val="center"/>
          </w:tcPr>
          <w:p w14:paraId="76940985"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 xml:space="preserve">47 </w:t>
            </w:r>
          </w:p>
        </w:tc>
        <w:tc>
          <w:tcPr>
            <w:tcW w:w="1791" w:type="dxa"/>
            <w:tcBorders>
              <w:top w:val="single" w:sz="4" w:space="0" w:color="auto"/>
              <w:left w:val="single" w:sz="4" w:space="0" w:color="auto"/>
              <w:bottom w:val="single" w:sz="4" w:space="0" w:color="auto"/>
              <w:right w:val="single" w:sz="4" w:space="0" w:color="auto"/>
            </w:tcBorders>
            <w:vAlign w:val="center"/>
          </w:tcPr>
          <w:p w14:paraId="283E273B"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rsidRPr="00F22553">
              <w:t>9-18</w:t>
            </w:r>
            <w:r>
              <w:t xml:space="preserve">6 </w:t>
            </w:r>
          </w:p>
        </w:tc>
      </w:tr>
      <w:tr w:rsidR="00202B5E" w:rsidRPr="00F22553" w14:paraId="17D821A1" w14:textId="77777777" w:rsidTr="00C84571">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bottom w:val="single" w:sz="4" w:space="0" w:color="auto"/>
              <w:right w:val="single" w:sz="4" w:space="0" w:color="auto"/>
            </w:tcBorders>
          </w:tcPr>
          <w:p w14:paraId="3ED63B1A" w14:textId="6E3A0D85" w:rsidR="00202B5E" w:rsidRPr="00F22553" w:rsidRDefault="00202B5E" w:rsidP="00C84571">
            <w:pPr>
              <w:jc w:val="both"/>
            </w:pPr>
            <w:r>
              <w:t>T</w:t>
            </w:r>
            <w:r w:rsidRPr="00F22553">
              <w:t>ime from original systemic recurrence (</w:t>
            </w:r>
            <w:r>
              <w:t>months</w:t>
            </w:r>
            <w:r w:rsidRPr="00F22553">
              <w:t>)</w:t>
            </w:r>
          </w:p>
        </w:tc>
        <w:tc>
          <w:tcPr>
            <w:tcW w:w="1560" w:type="dxa"/>
            <w:tcBorders>
              <w:top w:val="single" w:sz="4" w:space="0" w:color="auto"/>
              <w:left w:val="single" w:sz="4" w:space="0" w:color="auto"/>
              <w:bottom w:val="single" w:sz="4" w:space="0" w:color="auto"/>
              <w:right w:val="single" w:sz="4" w:space="0" w:color="auto"/>
            </w:tcBorders>
            <w:vAlign w:val="center"/>
          </w:tcPr>
          <w:p w14:paraId="3BA62DFC"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 xml:space="preserve">11.3 </w:t>
            </w:r>
          </w:p>
        </w:tc>
        <w:tc>
          <w:tcPr>
            <w:tcW w:w="1791" w:type="dxa"/>
            <w:tcBorders>
              <w:top w:val="single" w:sz="4" w:space="0" w:color="auto"/>
              <w:left w:val="single" w:sz="4" w:space="0" w:color="auto"/>
              <w:bottom w:val="single" w:sz="4" w:space="0" w:color="auto"/>
              <w:right w:val="single" w:sz="4" w:space="0" w:color="auto"/>
            </w:tcBorders>
            <w:vAlign w:val="center"/>
          </w:tcPr>
          <w:p w14:paraId="713EF8B5"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3.7</w:t>
            </w:r>
            <w:r w:rsidRPr="00F22553">
              <w:t>-65.1</w:t>
            </w:r>
            <w:r>
              <w:t xml:space="preserve"> </w:t>
            </w:r>
          </w:p>
        </w:tc>
      </w:tr>
    </w:tbl>
    <w:p w14:paraId="094E6124" w14:textId="77777777" w:rsidR="00F22553" w:rsidRPr="00F22553" w:rsidRDefault="00F22553" w:rsidP="00F22553"/>
    <w:tbl>
      <w:tblPr>
        <w:tblStyle w:val="ListTable4-Accent32"/>
        <w:tblW w:w="0" w:type="auto"/>
        <w:tblLook w:val="04A0" w:firstRow="1" w:lastRow="0" w:firstColumn="1" w:lastColumn="0" w:noHBand="0" w:noVBand="1"/>
      </w:tblPr>
      <w:tblGrid>
        <w:gridCol w:w="2670"/>
        <w:gridCol w:w="2995"/>
        <w:gridCol w:w="1560"/>
        <w:gridCol w:w="1791"/>
      </w:tblGrid>
      <w:tr w:rsidR="00202B5E" w:rsidRPr="00F22553" w14:paraId="15B77483" w14:textId="77777777" w:rsidTr="00C8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bottom w:val="single" w:sz="4" w:space="0" w:color="auto"/>
              <w:right w:val="nil"/>
            </w:tcBorders>
          </w:tcPr>
          <w:p w14:paraId="3A43CDD4" w14:textId="6EA55C36" w:rsidR="00202B5E" w:rsidRPr="00452A1A" w:rsidRDefault="00202B5E" w:rsidP="00452A1A">
            <w:pPr>
              <w:ind w:left="360"/>
              <w:jc w:val="both"/>
            </w:pPr>
            <w:r w:rsidRPr="00452A1A">
              <w:rPr>
                <w:b w:val="0"/>
                <w:bCs w:val="0"/>
              </w:rPr>
              <w:t>b.</w:t>
            </w:r>
            <w:r>
              <w:t xml:space="preserve"> </w:t>
            </w:r>
            <w:r w:rsidRPr="00452A1A">
              <w:t>Disease Characteristics</w:t>
            </w:r>
          </w:p>
        </w:tc>
        <w:tc>
          <w:tcPr>
            <w:tcW w:w="1560" w:type="dxa"/>
            <w:tcBorders>
              <w:top w:val="single" w:sz="4" w:space="0" w:color="auto"/>
              <w:left w:val="nil"/>
              <w:bottom w:val="single" w:sz="4" w:space="0" w:color="auto"/>
            </w:tcBorders>
          </w:tcPr>
          <w:p w14:paraId="563C13F5" w14:textId="77777777" w:rsidR="00202B5E" w:rsidRPr="00F22553" w:rsidRDefault="00202B5E" w:rsidP="00C84571">
            <w:pPr>
              <w:jc w:val="both"/>
              <w:cnfStyle w:val="100000000000" w:firstRow="1" w:lastRow="0" w:firstColumn="0" w:lastColumn="0" w:oddVBand="0" w:evenVBand="0" w:oddHBand="0" w:evenHBand="0" w:firstRowFirstColumn="0" w:firstRowLastColumn="0" w:lastRowFirstColumn="0" w:lastRowLastColumn="0"/>
            </w:pPr>
          </w:p>
        </w:tc>
        <w:tc>
          <w:tcPr>
            <w:tcW w:w="1791" w:type="dxa"/>
            <w:tcBorders>
              <w:top w:val="single" w:sz="4" w:space="0" w:color="auto"/>
              <w:bottom w:val="single" w:sz="4" w:space="0" w:color="auto"/>
              <w:right w:val="single" w:sz="4" w:space="0" w:color="auto"/>
            </w:tcBorders>
          </w:tcPr>
          <w:p w14:paraId="59D684F4" w14:textId="77777777" w:rsidR="00202B5E" w:rsidRPr="00F22553" w:rsidRDefault="00202B5E" w:rsidP="00C84571">
            <w:pPr>
              <w:jc w:val="both"/>
              <w:cnfStyle w:val="100000000000" w:firstRow="1" w:lastRow="0" w:firstColumn="0" w:lastColumn="0" w:oddVBand="0" w:evenVBand="0" w:oddHBand="0" w:evenHBand="0" w:firstRowFirstColumn="0" w:firstRowLastColumn="0" w:lastRowFirstColumn="0" w:lastRowLastColumn="0"/>
            </w:pPr>
          </w:p>
        </w:tc>
      </w:tr>
      <w:tr w:rsidR="00202B5E" w:rsidRPr="00F22553" w14:paraId="53A3449A"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auto"/>
              <w:left w:val="single" w:sz="4" w:space="0" w:color="auto"/>
              <w:right w:val="single" w:sz="4" w:space="0" w:color="auto"/>
            </w:tcBorders>
          </w:tcPr>
          <w:p w14:paraId="39FD8056" w14:textId="77777777" w:rsidR="00202B5E" w:rsidRPr="00F22553" w:rsidRDefault="00202B5E" w:rsidP="00C84571">
            <w:pPr>
              <w:jc w:val="both"/>
            </w:pPr>
          </w:p>
        </w:tc>
        <w:tc>
          <w:tcPr>
            <w:tcW w:w="1560" w:type="dxa"/>
            <w:tcBorders>
              <w:top w:val="single" w:sz="4" w:space="0" w:color="auto"/>
              <w:left w:val="single" w:sz="4" w:space="0" w:color="auto"/>
              <w:right w:val="single" w:sz="4" w:space="0" w:color="auto"/>
            </w:tcBorders>
          </w:tcPr>
          <w:p w14:paraId="4D31264D"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No of patients</w:t>
            </w:r>
          </w:p>
        </w:tc>
        <w:tc>
          <w:tcPr>
            <w:tcW w:w="1791" w:type="dxa"/>
            <w:tcBorders>
              <w:top w:val="single" w:sz="4" w:space="0" w:color="auto"/>
              <w:left w:val="single" w:sz="4" w:space="0" w:color="auto"/>
              <w:right w:val="single" w:sz="4" w:space="0" w:color="auto"/>
            </w:tcBorders>
            <w:vAlign w:val="center"/>
          </w:tcPr>
          <w:p w14:paraId="7197479D"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rsidRPr="00F22553">
              <w:t>(%)</w:t>
            </w:r>
          </w:p>
        </w:tc>
      </w:tr>
      <w:tr w:rsidR="00202B5E" w:rsidRPr="00F22553" w14:paraId="2C5729E0" w14:textId="77777777" w:rsidTr="00C84571">
        <w:tc>
          <w:tcPr>
            <w:cnfStyle w:val="001000000000" w:firstRow="0" w:lastRow="0" w:firstColumn="1" w:lastColumn="0" w:oddVBand="0" w:evenVBand="0" w:oddHBand="0" w:evenHBand="0" w:firstRowFirstColumn="0" w:firstRowLastColumn="0" w:lastRowFirstColumn="0" w:lastRowLastColumn="0"/>
            <w:tcW w:w="2670" w:type="dxa"/>
            <w:vMerge w:val="restart"/>
            <w:tcBorders>
              <w:top w:val="single" w:sz="4" w:space="0" w:color="auto"/>
              <w:left w:val="single" w:sz="4" w:space="0" w:color="auto"/>
              <w:right w:val="single" w:sz="4" w:space="0" w:color="auto"/>
            </w:tcBorders>
            <w:vAlign w:val="center"/>
          </w:tcPr>
          <w:p w14:paraId="398B9772" w14:textId="77777777" w:rsidR="00202B5E" w:rsidRPr="00F22553" w:rsidRDefault="00202B5E" w:rsidP="00C84571">
            <w:r w:rsidRPr="00F22553">
              <w:t>Site of metastatic disease at baseline</w:t>
            </w:r>
          </w:p>
        </w:tc>
        <w:tc>
          <w:tcPr>
            <w:tcW w:w="2995" w:type="dxa"/>
            <w:tcBorders>
              <w:top w:val="single" w:sz="4" w:space="0" w:color="auto"/>
              <w:left w:val="single" w:sz="4" w:space="0" w:color="auto"/>
              <w:right w:val="single" w:sz="4" w:space="0" w:color="auto"/>
            </w:tcBorders>
          </w:tcPr>
          <w:p w14:paraId="3B3DBF8A"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Liver only</w:t>
            </w:r>
          </w:p>
        </w:tc>
        <w:tc>
          <w:tcPr>
            <w:tcW w:w="1560" w:type="dxa"/>
            <w:tcBorders>
              <w:top w:val="single" w:sz="4" w:space="0" w:color="auto"/>
              <w:left w:val="single" w:sz="4" w:space="0" w:color="auto"/>
              <w:right w:val="single" w:sz="4" w:space="0" w:color="auto"/>
            </w:tcBorders>
            <w:vAlign w:val="center"/>
          </w:tcPr>
          <w:p w14:paraId="4AE9E3C7"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5</w:t>
            </w:r>
          </w:p>
        </w:tc>
        <w:tc>
          <w:tcPr>
            <w:tcW w:w="1791" w:type="dxa"/>
            <w:tcBorders>
              <w:top w:val="single" w:sz="4" w:space="0" w:color="auto"/>
              <w:left w:val="single" w:sz="4" w:space="0" w:color="auto"/>
              <w:right w:val="single" w:sz="4" w:space="0" w:color="auto"/>
            </w:tcBorders>
            <w:vAlign w:val="center"/>
          </w:tcPr>
          <w:p w14:paraId="09D4308C"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2</w:t>
            </w:r>
            <w:r>
              <w:t>0</w:t>
            </w:r>
            <w:r w:rsidRPr="00F22553">
              <w:t>%</w:t>
            </w:r>
          </w:p>
        </w:tc>
      </w:tr>
      <w:tr w:rsidR="00202B5E" w:rsidRPr="00F22553" w14:paraId="66427236"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right w:val="single" w:sz="4" w:space="0" w:color="auto"/>
            </w:tcBorders>
            <w:vAlign w:val="center"/>
          </w:tcPr>
          <w:p w14:paraId="26EE4700" w14:textId="77777777" w:rsidR="00202B5E" w:rsidRPr="00F22553" w:rsidRDefault="00202B5E" w:rsidP="00C84571"/>
        </w:tc>
        <w:tc>
          <w:tcPr>
            <w:tcW w:w="2995" w:type="dxa"/>
            <w:tcBorders>
              <w:left w:val="single" w:sz="4" w:space="0" w:color="auto"/>
              <w:right w:val="single" w:sz="4" w:space="0" w:color="auto"/>
            </w:tcBorders>
          </w:tcPr>
          <w:p w14:paraId="1E268F90"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Extrahepatic  only</w:t>
            </w:r>
          </w:p>
        </w:tc>
        <w:tc>
          <w:tcPr>
            <w:tcW w:w="1560" w:type="dxa"/>
            <w:tcBorders>
              <w:left w:val="single" w:sz="4" w:space="0" w:color="auto"/>
              <w:right w:val="single" w:sz="4" w:space="0" w:color="auto"/>
            </w:tcBorders>
            <w:vAlign w:val="center"/>
          </w:tcPr>
          <w:p w14:paraId="485E4281"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6</w:t>
            </w:r>
          </w:p>
        </w:tc>
        <w:tc>
          <w:tcPr>
            <w:tcW w:w="1791" w:type="dxa"/>
            <w:tcBorders>
              <w:left w:val="single" w:sz="4" w:space="0" w:color="auto"/>
              <w:right w:val="single" w:sz="4" w:space="0" w:color="auto"/>
            </w:tcBorders>
            <w:vAlign w:val="center"/>
          </w:tcPr>
          <w:p w14:paraId="632A3BBB"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24</w:t>
            </w:r>
            <w:r w:rsidRPr="00F22553">
              <w:t>%</w:t>
            </w:r>
          </w:p>
        </w:tc>
      </w:tr>
      <w:tr w:rsidR="00202B5E" w:rsidRPr="00F22553" w14:paraId="5020C900" w14:textId="77777777" w:rsidTr="00C84571">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bottom w:val="single" w:sz="4" w:space="0" w:color="auto"/>
              <w:right w:val="single" w:sz="4" w:space="0" w:color="auto"/>
            </w:tcBorders>
            <w:vAlign w:val="center"/>
          </w:tcPr>
          <w:p w14:paraId="1E24766F" w14:textId="77777777" w:rsidR="00202B5E" w:rsidRPr="00F22553" w:rsidRDefault="00202B5E" w:rsidP="00C84571"/>
        </w:tc>
        <w:tc>
          <w:tcPr>
            <w:tcW w:w="2995" w:type="dxa"/>
            <w:tcBorders>
              <w:left w:val="single" w:sz="4" w:space="0" w:color="auto"/>
              <w:bottom w:val="single" w:sz="4" w:space="0" w:color="auto"/>
              <w:right w:val="single" w:sz="4" w:space="0" w:color="auto"/>
            </w:tcBorders>
          </w:tcPr>
          <w:p w14:paraId="77E03A9E"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Cs/>
              </w:rPr>
            </w:pPr>
            <w:r w:rsidRPr="00F22553">
              <w:rPr>
                <w:bCs/>
              </w:rPr>
              <w:t>Liver &amp; Extrahepatic</w:t>
            </w:r>
          </w:p>
        </w:tc>
        <w:tc>
          <w:tcPr>
            <w:tcW w:w="1560" w:type="dxa"/>
            <w:tcBorders>
              <w:left w:val="single" w:sz="4" w:space="0" w:color="auto"/>
              <w:bottom w:val="single" w:sz="4" w:space="0" w:color="auto"/>
              <w:right w:val="single" w:sz="4" w:space="0" w:color="auto"/>
            </w:tcBorders>
            <w:vAlign w:val="center"/>
          </w:tcPr>
          <w:p w14:paraId="7035A560"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1</w:t>
            </w:r>
            <w:r>
              <w:t>7</w:t>
            </w:r>
          </w:p>
        </w:tc>
        <w:tc>
          <w:tcPr>
            <w:tcW w:w="1791" w:type="dxa"/>
            <w:tcBorders>
              <w:left w:val="single" w:sz="4" w:space="0" w:color="auto"/>
              <w:bottom w:val="single" w:sz="4" w:space="0" w:color="auto"/>
              <w:right w:val="single" w:sz="4" w:space="0" w:color="auto"/>
            </w:tcBorders>
            <w:vAlign w:val="center"/>
          </w:tcPr>
          <w:p w14:paraId="551635F5"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68</w:t>
            </w:r>
            <w:r w:rsidRPr="00F22553">
              <w:t>%</w:t>
            </w:r>
          </w:p>
        </w:tc>
      </w:tr>
      <w:tr w:rsidR="00202B5E" w:rsidRPr="00F22553" w14:paraId="3F8BC2C1"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vMerge w:val="restart"/>
            <w:tcBorders>
              <w:top w:val="single" w:sz="4" w:space="0" w:color="auto"/>
              <w:left w:val="single" w:sz="4" w:space="0" w:color="auto"/>
              <w:right w:val="single" w:sz="4" w:space="0" w:color="auto"/>
            </w:tcBorders>
            <w:vAlign w:val="center"/>
          </w:tcPr>
          <w:p w14:paraId="14CBEC67" w14:textId="77777777" w:rsidR="00202B5E" w:rsidRPr="00F22553" w:rsidRDefault="00202B5E" w:rsidP="00C84571">
            <w:r w:rsidRPr="00F22553">
              <w:t xml:space="preserve">Site of </w:t>
            </w:r>
            <w:r>
              <w:t xml:space="preserve">radiological </w:t>
            </w:r>
            <w:r w:rsidRPr="00F22553">
              <w:t>disease progression at baseline</w:t>
            </w:r>
          </w:p>
        </w:tc>
        <w:tc>
          <w:tcPr>
            <w:tcW w:w="2995" w:type="dxa"/>
            <w:tcBorders>
              <w:top w:val="single" w:sz="4" w:space="0" w:color="auto"/>
              <w:left w:val="single" w:sz="4" w:space="0" w:color="auto"/>
              <w:right w:val="single" w:sz="4" w:space="0" w:color="auto"/>
            </w:tcBorders>
          </w:tcPr>
          <w:p w14:paraId="6E38F85E"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Liver only</w:t>
            </w:r>
          </w:p>
        </w:tc>
        <w:tc>
          <w:tcPr>
            <w:tcW w:w="1560" w:type="dxa"/>
            <w:tcBorders>
              <w:top w:val="single" w:sz="4" w:space="0" w:color="auto"/>
              <w:left w:val="single" w:sz="4" w:space="0" w:color="auto"/>
              <w:right w:val="single" w:sz="4" w:space="0" w:color="auto"/>
            </w:tcBorders>
            <w:vAlign w:val="center"/>
          </w:tcPr>
          <w:p w14:paraId="1A9D1CE5"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11</w:t>
            </w:r>
          </w:p>
        </w:tc>
        <w:tc>
          <w:tcPr>
            <w:tcW w:w="1791" w:type="dxa"/>
            <w:tcBorders>
              <w:left w:val="single" w:sz="4" w:space="0" w:color="auto"/>
              <w:right w:val="single" w:sz="4" w:space="0" w:color="auto"/>
            </w:tcBorders>
            <w:vAlign w:val="center"/>
          </w:tcPr>
          <w:p w14:paraId="186A42A7"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rsidRPr="00F22553">
              <w:t>4</w:t>
            </w:r>
            <w:r>
              <w:t>4</w:t>
            </w:r>
            <w:r w:rsidRPr="00F22553">
              <w:t>%</w:t>
            </w:r>
          </w:p>
        </w:tc>
      </w:tr>
      <w:tr w:rsidR="00202B5E" w:rsidRPr="00F22553" w14:paraId="460ABDF6" w14:textId="77777777" w:rsidTr="00C84571">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right w:val="single" w:sz="4" w:space="0" w:color="auto"/>
            </w:tcBorders>
            <w:vAlign w:val="center"/>
          </w:tcPr>
          <w:p w14:paraId="6FBB47E4" w14:textId="77777777" w:rsidR="00202B5E" w:rsidRPr="00F22553" w:rsidRDefault="00202B5E" w:rsidP="00C84571"/>
        </w:tc>
        <w:tc>
          <w:tcPr>
            <w:tcW w:w="2995" w:type="dxa"/>
            <w:tcBorders>
              <w:left w:val="single" w:sz="4" w:space="0" w:color="auto"/>
              <w:right w:val="single" w:sz="4" w:space="0" w:color="auto"/>
            </w:tcBorders>
          </w:tcPr>
          <w:p w14:paraId="7EC1F79A"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Extrahepatic only</w:t>
            </w:r>
          </w:p>
        </w:tc>
        <w:tc>
          <w:tcPr>
            <w:tcW w:w="1560" w:type="dxa"/>
            <w:tcBorders>
              <w:left w:val="single" w:sz="4" w:space="0" w:color="auto"/>
              <w:right w:val="single" w:sz="4" w:space="0" w:color="auto"/>
            </w:tcBorders>
            <w:vAlign w:val="center"/>
          </w:tcPr>
          <w:p w14:paraId="7244BFDC"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5</w:t>
            </w:r>
          </w:p>
        </w:tc>
        <w:tc>
          <w:tcPr>
            <w:tcW w:w="1791" w:type="dxa"/>
            <w:tcBorders>
              <w:left w:val="single" w:sz="4" w:space="0" w:color="auto"/>
              <w:right w:val="single" w:sz="4" w:space="0" w:color="auto"/>
            </w:tcBorders>
            <w:vAlign w:val="center"/>
          </w:tcPr>
          <w:p w14:paraId="528150EF"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2</w:t>
            </w:r>
            <w:r>
              <w:t>0</w:t>
            </w:r>
            <w:r w:rsidRPr="00F22553">
              <w:t>%</w:t>
            </w:r>
          </w:p>
        </w:tc>
      </w:tr>
      <w:tr w:rsidR="00202B5E" w:rsidRPr="00F22553" w14:paraId="117F1C59"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right w:val="single" w:sz="4" w:space="0" w:color="auto"/>
            </w:tcBorders>
            <w:vAlign w:val="center"/>
          </w:tcPr>
          <w:p w14:paraId="252657BE" w14:textId="77777777" w:rsidR="00202B5E" w:rsidRPr="00F22553" w:rsidRDefault="00202B5E" w:rsidP="00C84571"/>
        </w:tc>
        <w:tc>
          <w:tcPr>
            <w:tcW w:w="2995" w:type="dxa"/>
            <w:tcBorders>
              <w:left w:val="single" w:sz="4" w:space="0" w:color="auto"/>
              <w:right w:val="single" w:sz="4" w:space="0" w:color="auto"/>
            </w:tcBorders>
          </w:tcPr>
          <w:p w14:paraId="4B00D18A"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rPr>
                <w:bCs/>
              </w:rPr>
              <w:t>Liver &amp; Extrahepatic</w:t>
            </w:r>
          </w:p>
        </w:tc>
        <w:tc>
          <w:tcPr>
            <w:tcW w:w="1560" w:type="dxa"/>
            <w:tcBorders>
              <w:left w:val="single" w:sz="4" w:space="0" w:color="auto"/>
              <w:right w:val="single" w:sz="4" w:space="0" w:color="auto"/>
            </w:tcBorders>
            <w:vAlign w:val="center"/>
          </w:tcPr>
          <w:p w14:paraId="797379D7"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7</w:t>
            </w:r>
          </w:p>
        </w:tc>
        <w:tc>
          <w:tcPr>
            <w:tcW w:w="1791" w:type="dxa"/>
            <w:tcBorders>
              <w:left w:val="single" w:sz="4" w:space="0" w:color="auto"/>
              <w:right w:val="single" w:sz="4" w:space="0" w:color="auto"/>
            </w:tcBorders>
            <w:vAlign w:val="center"/>
          </w:tcPr>
          <w:p w14:paraId="5E161DB9"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28</w:t>
            </w:r>
            <w:r w:rsidRPr="00F22553">
              <w:t>%</w:t>
            </w:r>
          </w:p>
        </w:tc>
      </w:tr>
      <w:tr w:rsidR="00202B5E" w:rsidRPr="00F22553" w14:paraId="2662C7BE" w14:textId="77777777" w:rsidTr="00C84571">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bottom w:val="single" w:sz="4" w:space="0" w:color="auto"/>
              <w:right w:val="single" w:sz="4" w:space="0" w:color="auto"/>
            </w:tcBorders>
            <w:vAlign w:val="center"/>
          </w:tcPr>
          <w:p w14:paraId="546F4983" w14:textId="77777777" w:rsidR="00202B5E" w:rsidRPr="00F22553" w:rsidRDefault="00202B5E" w:rsidP="00C84571"/>
        </w:tc>
        <w:tc>
          <w:tcPr>
            <w:tcW w:w="2995" w:type="dxa"/>
            <w:tcBorders>
              <w:left w:val="single" w:sz="4" w:space="0" w:color="auto"/>
              <w:bottom w:val="single" w:sz="4" w:space="0" w:color="auto"/>
              <w:right w:val="single" w:sz="4" w:space="0" w:color="auto"/>
            </w:tcBorders>
          </w:tcPr>
          <w:p w14:paraId="4C6415DC"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Cs/>
              </w:rPr>
            </w:pPr>
            <w:r>
              <w:rPr>
                <w:bCs/>
              </w:rPr>
              <w:t>None</w:t>
            </w:r>
          </w:p>
        </w:tc>
        <w:tc>
          <w:tcPr>
            <w:tcW w:w="1560" w:type="dxa"/>
            <w:tcBorders>
              <w:left w:val="single" w:sz="4" w:space="0" w:color="auto"/>
              <w:bottom w:val="single" w:sz="4" w:space="0" w:color="auto"/>
              <w:right w:val="single" w:sz="4" w:space="0" w:color="auto"/>
            </w:tcBorders>
            <w:vAlign w:val="center"/>
          </w:tcPr>
          <w:p w14:paraId="36A768A5"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2</w:t>
            </w:r>
          </w:p>
        </w:tc>
        <w:tc>
          <w:tcPr>
            <w:tcW w:w="1791" w:type="dxa"/>
            <w:tcBorders>
              <w:left w:val="single" w:sz="4" w:space="0" w:color="auto"/>
              <w:bottom w:val="single" w:sz="4" w:space="0" w:color="auto"/>
              <w:right w:val="single" w:sz="4" w:space="0" w:color="auto"/>
            </w:tcBorders>
            <w:vAlign w:val="center"/>
          </w:tcPr>
          <w:p w14:paraId="4F6665F8"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8%</w:t>
            </w:r>
          </w:p>
        </w:tc>
      </w:tr>
      <w:tr w:rsidR="00202B5E" w:rsidRPr="00F22553" w14:paraId="095293C9"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vMerge w:val="restart"/>
            <w:tcBorders>
              <w:top w:val="single" w:sz="4" w:space="0" w:color="auto"/>
              <w:left w:val="single" w:sz="4" w:space="0" w:color="auto"/>
              <w:right w:val="single" w:sz="4" w:space="0" w:color="auto"/>
            </w:tcBorders>
            <w:vAlign w:val="center"/>
          </w:tcPr>
          <w:p w14:paraId="36958609" w14:textId="77777777" w:rsidR="00202B5E" w:rsidRPr="00F22553" w:rsidRDefault="00202B5E" w:rsidP="00C84571">
            <w:r w:rsidRPr="00F22553">
              <w:t>LDH</w:t>
            </w:r>
            <w:r>
              <w:t xml:space="preserve"> at baseline</w:t>
            </w:r>
          </w:p>
        </w:tc>
        <w:tc>
          <w:tcPr>
            <w:tcW w:w="2995" w:type="dxa"/>
            <w:tcBorders>
              <w:top w:val="single" w:sz="4" w:space="0" w:color="auto"/>
              <w:left w:val="single" w:sz="4" w:space="0" w:color="auto"/>
              <w:right w:val="single" w:sz="4" w:space="0" w:color="auto"/>
            </w:tcBorders>
          </w:tcPr>
          <w:p w14:paraId="2143E216" w14:textId="77777777" w:rsidR="00202B5E" w:rsidRPr="00D866B3" w:rsidRDefault="00202B5E" w:rsidP="00C84571">
            <w:pPr>
              <w:jc w:val="both"/>
              <w:cnfStyle w:val="000000100000" w:firstRow="0" w:lastRow="0" w:firstColumn="0" w:lastColumn="0" w:oddVBand="0" w:evenVBand="0" w:oddHBand="1" w:evenHBand="0" w:firstRowFirstColumn="0" w:firstRowLastColumn="0" w:lastRowFirstColumn="0" w:lastRowLastColumn="0"/>
              <w:rPr>
                <w:bCs/>
              </w:rPr>
            </w:pPr>
            <w:r w:rsidRPr="00D866B3">
              <w:rPr>
                <w:bCs/>
              </w:rPr>
              <w:t>&lt;=ULN</w:t>
            </w:r>
          </w:p>
        </w:tc>
        <w:tc>
          <w:tcPr>
            <w:tcW w:w="1560" w:type="dxa"/>
            <w:tcBorders>
              <w:top w:val="single" w:sz="4" w:space="0" w:color="auto"/>
              <w:left w:val="single" w:sz="4" w:space="0" w:color="auto"/>
              <w:right w:val="single" w:sz="4" w:space="0" w:color="auto"/>
            </w:tcBorders>
            <w:vAlign w:val="center"/>
          </w:tcPr>
          <w:p w14:paraId="44451F2A"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rsidRPr="00F22553">
              <w:t>7</w:t>
            </w:r>
          </w:p>
        </w:tc>
        <w:tc>
          <w:tcPr>
            <w:tcW w:w="1791" w:type="dxa"/>
            <w:tcBorders>
              <w:left w:val="single" w:sz="4" w:space="0" w:color="auto"/>
              <w:right w:val="single" w:sz="4" w:space="0" w:color="auto"/>
            </w:tcBorders>
            <w:vAlign w:val="center"/>
          </w:tcPr>
          <w:p w14:paraId="2AC95870"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28</w:t>
            </w:r>
            <w:r w:rsidRPr="00F22553">
              <w:t>%</w:t>
            </w:r>
          </w:p>
        </w:tc>
      </w:tr>
      <w:tr w:rsidR="00202B5E" w:rsidRPr="00F22553" w14:paraId="031EA269" w14:textId="77777777" w:rsidTr="00C84571">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right w:val="single" w:sz="4" w:space="0" w:color="auto"/>
            </w:tcBorders>
            <w:vAlign w:val="center"/>
          </w:tcPr>
          <w:p w14:paraId="3FFC4A5B" w14:textId="77777777" w:rsidR="00202B5E" w:rsidRPr="00F22553" w:rsidRDefault="00202B5E" w:rsidP="00C84571"/>
        </w:tc>
        <w:tc>
          <w:tcPr>
            <w:tcW w:w="2995" w:type="dxa"/>
            <w:tcBorders>
              <w:left w:val="single" w:sz="4" w:space="0" w:color="auto"/>
              <w:right w:val="single" w:sz="4" w:space="0" w:color="auto"/>
            </w:tcBorders>
          </w:tcPr>
          <w:p w14:paraId="4CBD51B6" w14:textId="77777777" w:rsidR="00202B5E" w:rsidRPr="00D866B3" w:rsidRDefault="00202B5E" w:rsidP="00C84571">
            <w:pPr>
              <w:jc w:val="both"/>
              <w:cnfStyle w:val="000000000000" w:firstRow="0" w:lastRow="0" w:firstColumn="0" w:lastColumn="0" w:oddVBand="0" w:evenVBand="0" w:oddHBand="0" w:evenHBand="0" w:firstRowFirstColumn="0" w:firstRowLastColumn="0" w:lastRowFirstColumn="0" w:lastRowLastColumn="0"/>
              <w:rPr>
                <w:bCs/>
              </w:rPr>
            </w:pPr>
            <w:r w:rsidRPr="00D866B3">
              <w:rPr>
                <w:bCs/>
              </w:rPr>
              <w:t>1-2*ULN</w:t>
            </w:r>
          </w:p>
        </w:tc>
        <w:tc>
          <w:tcPr>
            <w:tcW w:w="1560" w:type="dxa"/>
            <w:tcBorders>
              <w:left w:val="single" w:sz="4" w:space="0" w:color="auto"/>
              <w:right w:val="single" w:sz="4" w:space="0" w:color="auto"/>
            </w:tcBorders>
            <w:vAlign w:val="center"/>
          </w:tcPr>
          <w:p w14:paraId="15F485FE"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11</w:t>
            </w:r>
          </w:p>
        </w:tc>
        <w:tc>
          <w:tcPr>
            <w:tcW w:w="1791" w:type="dxa"/>
            <w:tcBorders>
              <w:left w:val="single" w:sz="4" w:space="0" w:color="auto"/>
              <w:right w:val="single" w:sz="4" w:space="0" w:color="auto"/>
            </w:tcBorders>
            <w:vAlign w:val="center"/>
          </w:tcPr>
          <w:p w14:paraId="60C510B4"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44</w:t>
            </w:r>
            <w:r w:rsidRPr="00F22553">
              <w:t>%</w:t>
            </w:r>
          </w:p>
        </w:tc>
      </w:tr>
      <w:tr w:rsidR="00202B5E" w:rsidRPr="00F22553" w14:paraId="4FBE832A" w14:textId="77777777" w:rsidTr="00202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right w:val="single" w:sz="4" w:space="0" w:color="auto"/>
            </w:tcBorders>
            <w:vAlign w:val="center"/>
          </w:tcPr>
          <w:p w14:paraId="49494187" w14:textId="77777777" w:rsidR="00202B5E" w:rsidRPr="00F22553" w:rsidRDefault="00202B5E" w:rsidP="00C84571"/>
        </w:tc>
        <w:tc>
          <w:tcPr>
            <w:tcW w:w="2995" w:type="dxa"/>
            <w:tcBorders>
              <w:left w:val="single" w:sz="4" w:space="0" w:color="auto"/>
              <w:right w:val="single" w:sz="4" w:space="0" w:color="auto"/>
            </w:tcBorders>
          </w:tcPr>
          <w:p w14:paraId="1A63B868" w14:textId="77777777" w:rsidR="00202B5E" w:rsidRPr="00D866B3" w:rsidRDefault="00202B5E" w:rsidP="00C84571">
            <w:pPr>
              <w:jc w:val="both"/>
              <w:cnfStyle w:val="000000100000" w:firstRow="0" w:lastRow="0" w:firstColumn="0" w:lastColumn="0" w:oddVBand="0" w:evenVBand="0" w:oddHBand="1" w:evenHBand="0" w:firstRowFirstColumn="0" w:firstRowLastColumn="0" w:lastRowFirstColumn="0" w:lastRowLastColumn="0"/>
              <w:rPr>
                <w:bCs/>
              </w:rPr>
            </w:pPr>
            <w:r w:rsidRPr="00D866B3">
              <w:rPr>
                <w:bCs/>
              </w:rPr>
              <w:t>&gt;2*ULN</w:t>
            </w:r>
          </w:p>
        </w:tc>
        <w:tc>
          <w:tcPr>
            <w:tcW w:w="1560" w:type="dxa"/>
            <w:tcBorders>
              <w:left w:val="single" w:sz="4" w:space="0" w:color="auto"/>
              <w:right w:val="single" w:sz="4" w:space="0" w:color="auto"/>
            </w:tcBorders>
            <w:vAlign w:val="center"/>
          </w:tcPr>
          <w:p w14:paraId="7EA62886" w14:textId="77777777" w:rsidR="00202B5E" w:rsidRPr="00F22553" w:rsidDel="007304AB" w:rsidRDefault="00202B5E" w:rsidP="00C84571">
            <w:pPr>
              <w:jc w:val="center"/>
              <w:cnfStyle w:val="000000100000" w:firstRow="0" w:lastRow="0" w:firstColumn="0" w:lastColumn="0" w:oddVBand="0" w:evenVBand="0" w:oddHBand="1" w:evenHBand="0" w:firstRowFirstColumn="0" w:firstRowLastColumn="0" w:lastRowFirstColumn="0" w:lastRowLastColumn="0"/>
            </w:pPr>
            <w:r w:rsidRPr="007304AB">
              <w:t>4</w:t>
            </w:r>
          </w:p>
        </w:tc>
        <w:tc>
          <w:tcPr>
            <w:tcW w:w="1791" w:type="dxa"/>
            <w:tcBorders>
              <w:left w:val="single" w:sz="4" w:space="0" w:color="auto"/>
              <w:bottom w:val="single" w:sz="4" w:space="0" w:color="000000"/>
              <w:right w:val="single" w:sz="4" w:space="0" w:color="auto"/>
            </w:tcBorders>
            <w:vAlign w:val="center"/>
          </w:tcPr>
          <w:p w14:paraId="476D861B"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16%</w:t>
            </w:r>
          </w:p>
        </w:tc>
      </w:tr>
      <w:tr w:rsidR="00202B5E" w:rsidRPr="00F22553" w14:paraId="6E2B0E57" w14:textId="77777777" w:rsidTr="00202B5E">
        <w:tc>
          <w:tcPr>
            <w:cnfStyle w:val="001000000000" w:firstRow="0" w:lastRow="0" w:firstColumn="1" w:lastColumn="0" w:oddVBand="0" w:evenVBand="0" w:oddHBand="0" w:evenHBand="0" w:firstRowFirstColumn="0" w:firstRowLastColumn="0" w:lastRowFirstColumn="0" w:lastRowLastColumn="0"/>
            <w:tcW w:w="2670" w:type="dxa"/>
            <w:vMerge w:val="restart"/>
            <w:tcBorders>
              <w:top w:val="single" w:sz="4" w:space="0" w:color="auto"/>
              <w:left w:val="single" w:sz="4" w:space="0" w:color="auto"/>
              <w:right w:val="single" w:sz="4" w:space="0" w:color="auto"/>
            </w:tcBorders>
            <w:vAlign w:val="center"/>
          </w:tcPr>
          <w:p w14:paraId="5ABAB56D" w14:textId="77777777" w:rsidR="00202B5E" w:rsidRPr="00F22553" w:rsidRDefault="00202B5E" w:rsidP="00C84571">
            <w:r w:rsidRPr="00F22553">
              <w:t>Liver function test (ALT/AST and/or bilirubin) abnormalities at baseline</w:t>
            </w:r>
          </w:p>
        </w:tc>
        <w:tc>
          <w:tcPr>
            <w:tcW w:w="2995" w:type="dxa"/>
            <w:tcBorders>
              <w:top w:val="single" w:sz="4" w:space="0" w:color="auto"/>
              <w:left w:val="single" w:sz="4" w:space="0" w:color="auto"/>
              <w:right w:val="single" w:sz="4" w:space="0" w:color="auto"/>
            </w:tcBorders>
          </w:tcPr>
          <w:p w14:paraId="47CF0844" w14:textId="77777777" w:rsidR="00202B5E" w:rsidRPr="00D866B3" w:rsidRDefault="00202B5E" w:rsidP="00C84571">
            <w:pPr>
              <w:jc w:val="both"/>
              <w:cnfStyle w:val="000000000000" w:firstRow="0" w:lastRow="0" w:firstColumn="0" w:lastColumn="0" w:oddVBand="0" w:evenVBand="0" w:oddHBand="0" w:evenHBand="0" w:firstRowFirstColumn="0" w:firstRowLastColumn="0" w:lastRowFirstColumn="0" w:lastRowLastColumn="0"/>
              <w:rPr>
                <w:bCs/>
              </w:rPr>
            </w:pPr>
            <w:r w:rsidRPr="00D866B3">
              <w:rPr>
                <w:bCs/>
              </w:rPr>
              <w:t>&lt;=ULN</w:t>
            </w:r>
          </w:p>
        </w:tc>
        <w:tc>
          <w:tcPr>
            <w:tcW w:w="1560" w:type="dxa"/>
            <w:tcBorders>
              <w:top w:val="single" w:sz="4" w:space="0" w:color="auto"/>
              <w:left w:val="single" w:sz="4" w:space="0" w:color="auto"/>
              <w:right w:val="single" w:sz="4" w:space="0" w:color="auto"/>
            </w:tcBorders>
            <w:vAlign w:val="center"/>
          </w:tcPr>
          <w:p w14:paraId="6C7CE13B"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16</w:t>
            </w:r>
          </w:p>
        </w:tc>
        <w:tc>
          <w:tcPr>
            <w:tcW w:w="1791" w:type="dxa"/>
            <w:tcBorders>
              <w:top w:val="single" w:sz="4" w:space="0" w:color="000000"/>
              <w:left w:val="single" w:sz="4" w:space="0" w:color="auto"/>
              <w:right w:val="single" w:sz="4" w:space="0" w:color="auto"/>
            </w:tcBorders>
            <w:vAlign w:val="center"/>
          </w:tcPr>
          <w:p w14:paraId="0DD98E0C"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t>6</w:t>
            </w:r>
            <w:r w:rsidRPr="00F22553">
              <w:t>4%</w:t>
            </w:r>
          </w:p>
        </w:tc>
      </w:tr>
      <w:tr w:rsidR="00202B5E" w:rsidRPr="00F22553" w14:paraId="6B62D1E2"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right w:val="single" w:sz="4" w:space="0" w:color="auto"/>
            </w:tcBorders>
          </w:tcPr>
          <w:p w14:paraId="04D2115A" w14:textId="77777777" w:rsidR="00202B5E" w:rsidRPr="00F22553" w:rsidRDefault="00202B5E" w:rsidP="00C84571">
            <w:pPr>
              <w:jc w:val="both"/>
            </w:pPr>
          </w:p>
        </w:tc>
        <w:tc>
          <w:tcPr>
            <w:tcW w:w="2995" w:type="dxa"/>
            <w:tcBorders>
              <w:left w:val="single" w:sz="4" w:space="0" w:color="auto"/>
              <w:right w:val="single" w:sz="4" w:space="0" w:color="auto"/>
            </w:tcBorders>
          </w:tcPr>
          <w:p w14:paraId="09F052FC" w14:textId="77777777" w:rsidR="00202B5E" w:rsidRPr="00D866B3" w:rsidRDefault="00202B5E" w:rsidP="00C84571">
            <w:pPr>
              <w:jc w:val="both"/>
              <w:cnfStyle w:val="000000100000" w:firstRow="0" w:lastRow="0" w:firstColumn="0" w:lastColumn="0" w:oddVBand="0" w:evenVBand="0" w:oddHBand="1" w:evenHBand="0" w:firstRowFirstColumn="0" w:firstRowLastColumn="0" w:lastRowFirstColumn="0" w:lastRowLastColumn="0"/>
              <w:rPr>
                <w:bCs/>
              </w:rPr>
            </w:pPr>
            <w:r w:rsidRPr="00D866B3">
              <w:rPr>
                <w:bCs/>
              </w:rPr>
              <w:t>Grade 1</w:t>
            </w:r>
          </w:p>
        </w:tc>
        <w:tc>
          <w:tcPr>
            <w:tcW w:w="1560" w:type="dxa"/>
            <w:tcBorders>
              <w:left w:val="single" w:sz="4" w:space="0" w:color="auto"/>
              <w:right w:val="single" w:sz="4" w:space="0" w:color="auto"/>
            </w:tcBorders>
            <w:vAlign w:val="center"/>
          </w:tcPr>
          <w:p w14:paraId="63AC443E"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5</w:t>
            </w:r>
          </w:p>
        </w:tc>
        <w:tc>
          <w:tcPr>
            <w:tcW w:w="1791" w:type="dxa"/>
            <w:tcBorders>
              <w:left w:val="single" w:sz="4" w:space="0" w:color="auto"/>
              <w:right w:val="single" w:sz="4" w:space="0" w:color="auto"/>
            </w:tcBorders>
            <w:vAlign w:val="center"/>
          </w:tcPr>
          <w:p w14:paraId="62C2EF4A" w14:textId="77777777" w:rsidR="00202B5E" w:rsidRPr="00F22553" w:rsidRDefault="00202B5E" w:rsidP="00C84571">
            <w:pPr>
              <w:jc w:val="center"/>
              <w:cnfStyle w:val="000000100000" w:firstRow="0" w:lastRow="0" w:firstColumn="0" w:lastColumn="0" w:oddVBand="0" w:evenVBand="0" w:oddHBand="1" w:evenHBand="0" w:firstRowFirstColumn="0" w:firstRowLastColumn="0" w:lastRowFirstColumn="0" w:lastRowLastColumn="0"/>
            </w:pPr>
            <w:r>
              <w:t>20%</w:t>
            </w:r>
          </w:p>
        </w:tc>
      </w:tr>
      <w:tr w:rsidR="00202B5E" w:rsidRPr="00F22553" w14:paraId="4710B8CB" w14:textId="77777777" w:rsidTr="00C84571">
        <w:tc>
          <w:tcPr>
            <w:cnfStyle w:val="001000000000" w:firstRow="0" w:lastRow="0" w:firstColumn="1" w:lastColumn="0" w:oddVBand="0" w:evenVBand="0" w:oddHBand="0" w:evenHBand="0" w:firstRowFirstColumn="0" w:firstRowLastColumn="0" w:lastRowFirstColumn="0" w:lastRowLastColumn="0"/>
            <w:tcW w:w="2670" w:type="dxa"/>
            <w:vMerge/>
            <w:tcBorders>
              <w:left w:val="single" w:sz="4" w:space="0" w:color="auto"/>
              <w:bottom w:val="single" w:sz="4" w:space="0" w:color="auto"/>
              <w:right w:val="single" w:sz="4" w:space="0" w:color="auto"/>
            </w:tcBorders>
          </w:tcPr>
          <w:p w14:paraId="491AA970" w14:textId="77777777" w:rsidR="00202B5E" w:rsidRPr="00F22553" w:rsidRDefault="00202B5E" w:rsidP="00C84571">
            <w:pPr>
              <w:jc w:val="both"/>
            </w:pPr>
          </w:p>
        </w:tc>
        <w:tc>
          <w:tcPr>
            <w:tcW w:w="2995" w:type="dxa"/>
            <w:tcBorders>
              <w:left w:val="single" w:sz="4" w:space="0" w:color="auto"/>
              <w:bottom w:val="single" w:sz="4" w:space="0" w:color="auto"/>
              <w:right w:val="single" w:sz="4" w:space="0" w:color="auto"/>
            </w:tcBorders>
          </w:tcPr>
          <w:p w14:paraId="1EE2FB8A" w14:textId="77777777" w:rsidR="00202B5E" w:rsidRPr="00D866B3" w:rsidRDefault="00202B5E" w:rsidP="00C84571">
            <w:pPr>
              <w:jc w:val="both"/>
              <w:cnfStyle w:val="000000000000" w:firstRow="0" w:lastRow="0" w:firstColumn="0" w:lastColumn="0" w:oddVBand="0" w:evenVBand="0" w:oddHBand="0" w:evenHBand="0" w:firstRowFirstColumn="0" w:firstRowLastColumn="0" w:lastRowFirstColumn="0" w:lastRowLastColumn="0"/>
              <w:rPr>
                <w:bCs/>
              </w:rPr>
            </w:pPr>
            <w:r w:rsidRPr="00D866B3">
              <w:rPr>
                <w:bCs/>
              </w:rPr>
              <w:t>Grade 2</w:t>
            </w:r>
          </w:p>
        </w:tc>
        <w:tc>
          <w:tcPr>
            <w:tcW w:w="1560" w:type="dxa"/>
            <w:tcBorders>
              <w:left w:val="single" w:sz="4" w:space="0" w:color="auto"/>
              <w:bottom w:val="single" w:sz="4" w:space="0" w:color="auto"/>
              <w:right w:val="single" w:sz="4" w:space="0" w:color="auto"/>
            </w:tcBorders>
            <w:vAlign w:val="center"/>
          </w:tcPr>
          <w:p w14:paraId="04D8AC69"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3</w:t>
            </w:r>
          </w:p>
        </w:tc>
        <w:tc>
          <w:tcPr>
            <w:tcW w:w="1791" w:type="dxa"/>
            <w:tcBorders>
              <w:left w:val="single" w:sz="4" w:space="0" w:color="auto"/>
              <w:bottom w:val="single" w:sz="4" w:space="0" w:color="auto"/>
              <w:right w:val="single" w:sz="4" w:space="0" w:color="auto"/>
            </w:tcBorders>
            <w:vAlign w:val="center"/>
          </w:tcPr>
          <w:p w14:paraId="075AF25E" w14:textId="77777777" w:rsidR="00202B5E" w:rsidRPr="00F22553" w:rsidRDefault="00202B5E" w:rsidP="00C84571">
            <w:pPr>
              <w:jc w:val="center"/>
              <w:cnfStyle w:val="000000000000" w:firstRow="0" w:lastRow="0" w:firstColumn="0" w:lastColumn="0" w:oddVBand="0" w:evenVBand="0" w:oddHBand="0" w:evenHBand="0" w:firstRowFirstColumn="0" w:firstRowLastColumn="0" w:lastRowFirstColumn="0" w:lastRowLastColumn="0"/>
            </w:pPr>
            <w:r w:rsidRPr="00F22553">
              <w:t>1</w:t>
            </w:r>
            <w:r>
              <w:t>2</w:t>
            </w:r>
            <w:r w:rsidRPr="00F22553">
              <w:t>%</w:t>
            </w:r>
          </w:p>
        </w:tc>
      </w:tr>
    </w:tbl>
    <w:p w14:paraId="3719F931" w14:textId="77777777" w:rsidR="00F22553" w:rsidRPr="00F22553" w:rsidRDefault="00F22553" w:rsidP="00F22553"/>
    <w:tbl>
      <w:tblPr>
        <w:tblStyle w:val="ListTable4-Accent33"/>
        <w:tblW w:w="0" w:type="auto"/>
        <w:tblLook w:val="04A0" w:firstRow="1" w:lastRow="0" w:firstColumn="1" w:lastColumn="0" w:noHBand="0" w:noVBand="1"/>
      </w:tblPr>
      <w:tblGrid>
        <w:gridCol w:w="3280"/>
        <w:gridCol w:w="8"/>
        <w:gridCol w:w="3751"/>
        <w:gridCol w:w="1938"/>
      </w:tblGrid>
      <w:tr w:rsidR="00202B5E" w:rsidRPr="00F22553" w14:paraId="51B905D3" w14:textId="77777777" w:rsidTr="00C84571">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039" w:type="dxa"/>
            <w:gridSpan w:val="3"/>
            <w:tcBorders>
              <w:top w:val="single" w:sz="4" w:space="0" w:color="auto"/>
              <w:left w:val="single" w:sz="4" w:space="0" w:color="auto"/>
              <w:bottom w:val="single" w:sz="4" w:space="0" w:color="auto"/>
            </w:tcBorders>
          </w:tcPr>
          <w:p w14:paraId="0F9BF4F8" w14:textId="3D172F2F" w:rsidR="00202B5E" w:rsidRPr="00F22553" w:rsidRDefault="00202B5E" w:rsidP="00452A1A">
            <w:pPr>
              <w:ind w:left="360"/>
              <w:contextualSpacing/>
              <w:jc w:val="both"/>
            </w:pPr>
            <w:r>
              <w:t xml:space="preserve">c. </w:t>
            </w:r>
            <w:r w:rsidRPr="00F22553">
              <w:t>Previous treatments</w:t>
            </w:r>
          </w:p>
        </w:tc>
        <w:tc>
          <w:tcPr>
            <w:tcW w:w="1938" w:type="dxa"/>
            <w:tcBorders>
              <w:top w:val="single" w:sz="4" w:space="0" w:color="auto"/>
              <w:bottom w:val="single" w:sz="4" w:space="0" w:color="auto"/>
              <w:right w:val="single" w:sz="4" w:space="0" w:color="auto"/>
            </w:tcBorders>
          </w:tcPr>
          <w:p w14:paraId="6D1174C1" w14:textId="77777777" w:rsidR="00202B5E" w:rsidRPr="00F22553" w:rsidRDefault="00202B5E" w:rsidP="00C84571">
            <w:pPr>
              <w:jc w:val="both"/>
              <w:cnfStyle w:val="100000000000" w:firstRow="1" w:lastRow="0" w:firstColumn="0" w:lastColumn="0" w:oddVBand="0" w:evenVBand="0" w:oddHBand="0" w:evenHBand="0" w:firstRowFirstColumn="0" w:firstRowLastColumn="0" w:lastRowFirstColumn="0" w:lastRowLastColumn="0"/>
            </w:pPr>
          </w:p>
        </w:tc>
      </w:tr>
      <w:tr w:rsidR="00202B5E" w:rsidRPr="00F22553" w14:paraId="62D762AF" w14:textId="77777777" w:rsidTr="00C84571">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7039" w:type="dxa"/>
            <w:gridSpan w:val="3"/>
            <w:tcBorders>
              <w:top w:val="single" w:sz="4" w:space="0" w:color="auto"/>
              <w:left w:val="single" w:sz="4" w:space="0" w:color="auto"/>
              <w:right w:val="single" w:sz="4" w:space="0" w:color="auto"/>
            </w:tcBorders>
          </w:tcPr>
          <w:p w14:paraId="42215747" w14:textId="77777777" w:rsidR="00202B5E" w:rsidRPr="00F22553" w:rsidRDefault="00202B5E" w:rsidP="00C84571">
            <w:pPr>
              <w:jc w:val="both"/>
            </w:pPr>
          </w:p>
        </w:tc>
        <w:tc>
          <w:tcPr>
            <w:tcW w:w="1938" w:type="dxa"/>
            <w:tcBorders>
              <w:top w:val="single" w:sz="4" w:space="0" w:color="auto"/>
              <w:left w:val="single" w:sz="4" w:space="0" w:color="auto"/>
              <w:right w:val="single" w:sz="4" w:space="0" w:color="auto"/>
            </w:tcBorders>
          </w:tcPr>
          <w:p w14:paraId="141E20A7"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No of patients treated (%)</w:t>
            </w:r>
          </w:p>
        </w:tc>
      </w:tr>
      <w:tr w:rsidR="00202B5E" w:rsidRPr="00F22553" w14:paraId="03499D84" w14:textId="77777777" w:rsidTr="00C84571">
        <w:trPr>
          <w:trHeight w:val="267"/>
        </w:trPr>
        <w:tc>
          <w:tcPr>
            <w:cnfStyle w:val="001000000000" w:firstRow="0" w:lastRow="0" w:firstColumn="1" w:lastColumn="0" w:oddVBand="0" w:evenVBand="0" w:oddHBand="0" w:evenHBand="0" w:firstRowFirstColumn="0" w:firstRowLastColumn="0" w:lastRowFirstColumn="0" w:lastRowLastColumn="0"/>
            <w:tcW w:w="7039" w:type="dxa"/>
            <w:gridSpan w:val="3"/>
            <w:tcBorders>
              <w:top w:val="single" w:sz="4" w:space="0" w:color="auto"/>
              <w:left w:val="single" w:sz="4" w:space="0" w:color="auto"/>
              <w:right w:val="single" w:sz="4" w:space="0" w:color="auto"/>
            </w:tcBorders>
          </w:tcPr>
          <w:p w14:paraId="7BF1C05E" w14:textId="77777777" w:rsidR="00202B5E" w:rsidRPr="00F22553" w:rsidRDefault="00202B5E" w:rsidP="00C84571">
            <w:pPr>
              <w:jc w:val="both"/>
            </w:pPr>
            <w:r w:rsidRPr="00F22553">
              <w:t>Liver directed therapy</w:t>
            </w:r>
          </w:p>
        </w:tc>
        <w:tc>
          <w:tcPr>
            <w:tcW w:w="1938" w:type="dxa"/>
            <w:tcBorders>
              <w:top w:val="single" w:sz="4" w:space="0" w:color="auto"/>
              <w:left w:val="single" w:sz="4" w:space="0" w:color="auto"/>
              <w:right w:val="single" w:sz="4" w:space="0" w:color="auto"/>
            </w:tcBorders>
          </w:tcPr>
          <w:p w14:paraId="046DCC77"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p>
        </w:tc>
      </w:tr>
      <w:tr w:rsidR="00202B5E" w:rsidRPr="00F22553" w14:paraId="60FA4E57" w14:textId="77777777" w:rsidTr="00C8457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80" w:type="dxa"/>
            <w:vMerge w:val="restart"/>
            <w:tcBorders>
              <w:left w:val="single" w:sz="4" w:space="0" w:color="auto"/>
              <w:right w:val="single" w:sz="4" w:space="0" w:color="auto"/>
            </w:tcBorders>
          </w:tcPr>
          <w:p w14:paraId="3A2C91D7" w14:textId="77777777" w:rsidR="00202B5E" w:rsidRPr="00F22553" w:rsidRDefault="00202B5E" w:rsidP="00C84571">
            <w:pPr>
              <w:jc w:val="both"/>
            </w:pPr>
          </w:p>
        </w:tc>
        <w:tc>
          <w:tcPr>
            <w:tcW w:w="3759" w:type="dxa"/>
            <w:gridSpan w:val="2"/>
            <w:tcBorders>
              <w:left w:val="single" w:sz="4" w:space="0" w:color="auto"/>
              <w:right w:val="single" w:sz="4" w:space="0" w:color="auto"/>
            </w:tcBorders>
          </w:tcPr>
          <w:p w14:paraId="5AE3CA7C"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Any</w:t>
            </w:r>
          </w:p>
        </w:tc>
        <w:tc>
          <w:tcPr>
            <w:tcW w:w="1938" w:type="dxa"/>
            <w:tcBorders>
              <w:left w:val="single" w:sz="4" w:space="0" w:color="auto"/>
              <w:right w:val="single" w:sz="4" w:space="0" w:color="auto"/>
            </w:tcBorders>
          </w:tcPr>
          <w:p w14:paraId="6FDBDEAC"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11 (</w:t>
            </w:r>
            <w:r>
              <w:t>44</w:t>
            </w:r>
            <w:r w:rsidRPr="00F22553">
              <w:t>%)</w:t>
            </w:r>
          </w:p>
        </w:tc>
      </w:tr>
      <w:tr w:rsidR="00202B5E" w:rsidRPr="00F22553" w14:paraId="06AB822B" w14:textId="77777777" w:rsidTr="00C84571">
        <w:trPr>
          <w:trHeight w:val="267"/>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right w:val="single" w:sz="4" w:space="0" w:color="auto"/>
            </w:tcBorders>
          </w:tcPr>
          <w:p w14:paraId="7D9C4222" w14:textId="77777777" w:rsidR="00202B5E" w:rsidRPr="00F22553" w:rsidRDefault="00202B5E" w:rsidP="00C84571">
            <w:pPr>
              <w:jc w:val="both"/>
            </w:pPr>
          </w:p>
        </w:tc>
        <w:tc>
          <w:tcPr>
            <w:tcW w:w="3759" w:type="dxa"/>
            <w:gridSpan w:val="2"/>
            <w:tcBorders>
              <w:left w:val="single" w:sz="4" w:space="0" w:color="auto"/>
              <w:right w:val="single" w:sz="4" w:space="0" w:color="auto"/>
            </w:tcBorders>
          </w:tcPr>
          <w:p w14:paraId="6EA20D15" w14:textId="4CC968EA" w:rsidR="00202B5E" w:rsidRPr="00F22553" w:rsidRDefault="00953AC5" w:rsidP="00C84571">
            <w:pPr>
              <w:jc w:val="both"/>
              <w:cnfStyle w:val="000000000000" w:firstRow="0" w:lastRow="0" w:firstColumn="0" w:lastColumn="0" w:oddVBand="0" w:evenVBand="0" w:oddHBand="0" w:evenHBand="0" w:firstRowFirstColumn="0" w:firstRowLastColumn="0" w:lastRowFirstColumn="0" w:lastRowLastColumn="0"/>
              <w:rPr>
                <w:b/>
                <w:bCs/>
              </w:rPr>
            </w:pPr>
            <w:r>
              <w:rPr>
                <w:b/>
                <w:bCs/>
              </w:rPr>
              <w:t>S</w:t>
            </w:r>
            <w:r w:rsidR="00202B5E" w:rsidRPr="00F22553">
              <w:rPr>
                <w:b/>
                <w:bCs/>
              </w:rPr>
              <w:t>urgery</w:t>
            </w:r>
          </w:p>
        </w:tc>
        <w:tc>
          <w:tcPr>
            <w:tcW w:w="1938" w:type="dxa"/>
            <w:tcBorders>
              <w:left w:val="single" w:sz="4" w:space="0" w:color="auto"/>
              <w:right w:val="single" w:sz="4" w:space="0" w:color="auto"/>
            </w:tcBorders>
          </w:tcPr>
          <w:p w14:paraId="59DCCCD9"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3 (1</w:t>
            </w:r>
            <w:r>
              <w:t>2</w:t>
            </w:r>
            <w:r w:rsidRPr="00F22553">
              <w:t>%)</w:t>
            </w:r>
          </w:p>
        </w:tc>
      </w:tr>
      <w:tr w:rsidR="00202B5E" w:rsidRPr="00F22553" w14:paraId="7305A9E3" w14:textId="77777777" w:rsidTr="00C8457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right w:val="single" w:sz="4" w:space="0" w:color="auto"/>
            </w:tcBorders>
          </w:tcPr>
          <w:p w14:paraId="7CAD5D38" w14:textId="77777777" w:rsidR="00202B5E" w:rsidRPr="00F22553" w:rsidRDefault="00202B5E" w:rsidP="00C84571">
            <w:pPr>
              <w:jc w:val="both"/>
            </w:pPr>
          </w:p>
        </w:tc>
        <w:tc>
          <w:tcPr>
            <w:tcW w:w="3759" w:type="dxa"/>
            <w:gridSpan w:val="2"/>
            <w:tcBorders>
              <w:left w:val="single" w:sz="4" w:space="0" w:color="auto"/>
              <w:right w:val="single" w:sz="4" w:space="0" w:color="auto"/>
            </w:tcBorders>
          </w:tcPr>
          <w:p w14:paraId="21DE36FD"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Melphalan chemoperfusion</w:t>
            </w:r>
          </w:p>
        </w:tc>
        <w:tc>
          <w:tcPr>
            <w:tcW w:w="1938" w:type="dxa"/>
            <w:tcBorders>
              <w:left w:val="single" w:sz="4" w:space="0" w:color="auto"/>
              <w:right w:val="single" w:sz="4" w:space="0" w:color="auto"/>
            </w:tcBorders>
          </w:tcPr>
          <w:p w14:paraId="64F0554F"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8 (</w:t>
            </w:r>
            <w:r>
              <w:t>32</w:t>
            </w:r>
            <w:r w:rsidRPr="00F22553">
              <w:t>%)</w:t>
            </w:r>
          </w:p>
        </w:tc>
      </w:tr>
      <w:tr w:rsidR="00202B5E" w:rsidRPr="00F22553" w14:paraId="04267B2E" w14:textId="77777777" w:rsidTr="00C84571">
        <w:trPr>
          <w:trHeight w:val="267"/>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right w:val="single" w:sz="4" w:space="0" w:color="auto"/>
            </w:tcBorders>
          </w:tcPr>
          <w:p w14:paraId="3B5362C6" w14:textId="77777777" w:rsidR="00202B5E" w:rsidRPr="00F22553" w:rsidRDefault="00202B5E" w:rsidP="00C84571">
            <w:pPr>
              <w:jc w:val="both"/>
            </w:pPr>
          </w:p>
        </w:tc>
        <w:tc>
          <w:tcPr>
            <w:tcW w:w="3759" w:type="dxa"/>
            <w:gridSpan w:val="2"/>
            <w:tcBorders>
              <w:left w:val="single" w:sz="4" w:space="0" w:color="auto"/>
              <w:right w:val="single" w:sz="4" w:space="0" w:color="auto"/>
            </w:tcBorders>
          </w:tcPr>
          <w:p w14:paraId="090122C5" w14:textId="523426BA" w:rsidR="00202B5E" w:rsidRPr="00F22553" w:rsidRDefault="00953AC5" w:rsidP="00C84571">
            <w:pPr>
              <w:jc w:val="both"/>
              <w:cnfStyle w:val="000000000000" w:firstRow="0" w:lastRow="0" w:firstColumn="0" w:lastColumn="0" w:oddVBand="0" w:evenVBand="0" w:oddHBand="0" w:evenHBand="0" w:firstRowFirstColumn="0" w:firstRowLastColumn="0" w:lastRowFirstColumn="0" w:lastRowLastColumn="0"/>
              <w:rPr>
                <w:b/>
                <w:bCs/>
              </w:rPr>
            </w:pPr>
            <w:r>
              <w:rPr>
                <w:b/>
                <w:bCs/>
              </w:rPr>
              <w:t>SIRT</w:t>
            </w:r>
          </w:p>
        </w:tc>
        <w:tc>
          <w:tcPr>
            <w:tcW w:w="1938" w:type="dxa"/>
            <w:tcBorders>
              <w:left w:val="single" w:sz="4" w:space="0" w:color="auto"/>
              <w:right w:val="single" w:sz="4" w:space="0" w:color="auto"/>
            </w:tcBorders>
          </w:tcPr>
          <w:p w14:paraId="0B9F9512"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2 (</w:t>
            </w:r>
            <w:r>
              <w:t>8</w:t>
            </w:r>
            <w:r w:rsidRPr="00F22553">
              <w:t>%)</w:t>
            </w:r>
          </w:p>
        </w:tc>
      </w:tr>
      <w:tr w:rsidR="00202B5E" w:rsidRPr="00F22553" w14:paraId="2F5638AA" w14:textId="77777777" w:rsidTr="00C8457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right w:val="single" w:sz="4" w:space="0" w:color="auto"/>
            </w:tcBorders>
          </w:tcPr>
          <w:p w14:paraId="53504A8F" w14:textId="77777777" w:rsidR="00202B5E" w:rsidRPr="00F22553" w:rsidRDefault="00202B5E" w:rsidP="00C84571">
            <w:pPr>
              <w:jc w:val="both"/>
            </w:pPr>
          </w:p>
        </w:tc>
        <w:tc>
          <w:tcPr>
            <w:tcW w:w="3759" w:type="dxa"/>
            <w:gridSpan w:val="2"/>
            <w:tcBorders>
              <w:left w:val="single" w:sz="4" w:space="0" w:color="auto"/>
              <w:right w:val="single" w:sz="4" w:space="0" w:color="auto"/>
            </w:tcBorders>
          </w:tcPr>
          <w:p w14:paraId="4A49284A"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TACE</w:t>
            </w:r>
          </w:p>
        </w:tc>
        <w:tc>
          <w:tcPr>
            <w:tcW w:w="1938" w:type="dxa"/>
            <w:tcBorders>
              <w:left w:val="single" w:sz="4" w:space="0" w:color="auto"/>
              <w:right w:val="single" w:sz="4" w:space="0" w:color="auto"/>
            </w:tcBorders>
          </w:tcPr>
          <w:p w14:paraId="739B7EA3"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3 (1</w:t>
            </w:r>
            <w:r>
              <w:t>2</w:t>
            </w:r>
            <w:r w:rsidRPr="00F22553">
              <w:t>%)</w:t>
            </w:r>
          </w:p>
        </w:tc>
      </w:tr>
      <w:tr w:rsidR="00202B5E" w:rsidRPr="00F22553" w14:paraId="728B8A15" w14:textId="77777777" w:rsidTr="00C84571">
        <w:trPr>
          <w:trHeight w:val="267"/>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bottom w:val="single" w:sz="4" w:space="0" w:color="auto"/>
              <w:right w:val="single" w:sz="4" w:space="0" w:color="auto"/>
            </w:tcBorders>
          </w:tcPr>
          <w:p w14:paraId="19C89891" w14:textId="77777777" w:rsidR="00202B5E" w:rsidRPr="00F22553" w:rsidRDefault="00202B5E" w:rsidP="00C84571">
            <w:pPr>
              <w:jc w:val="both"/>
            </w:pPr>
          </w:p>
        </w:tc>
        <w:tc>
          <w:tcPr>
            <w:tcW w:w="3759" w:type="dxa"/>
            <w:gridSpan w:val="2"/>
            <w:tcBorders>
              <w:left w:val="single" w:sz="4" w:space="0" w:color="auto"/>
              <w:bottom w:val="single" w:sz="4" w:space="0" w:color="auto"/>
              <w:right w:val="single" w:sz="4" w:space="0" w:color="auto"/>
            </w:tcBorders>
          </w:tcPr>
          <w:p w14:paraId="3F91BF1A"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sidRPr="00F22553">
              <w:rPr>
                <w:b/>
                <w:bCs/>
              </w:rPr>
              <w:t>RFA</w:t>
            </w:r>
          </w:p>
        </w:tc>
        <w:tc>
          <w:tcPr>
            <w:tcW w:w="1938" w:type="dxa"/>
            <w:tcBorders>
              <w:left w:val="single" w:sz="4" w:space="0" w:color="auto"/>
              <w:bottom w:val="single" w:sz="4" w:space="0" w:color="auto"/>
              <w:right w:val="single" w:sz="4" w:space="0" w:color="auto"/>
            </w:tcBorders>
          </w:tcPr>
          <w:p w14:paraId="555D2CC6"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1 (</w:t>
            </w:r>
            <w:r>
              <w:t>4</w:t>
            </w:r>
            <w:r w:rsidRPr="00F22553">
              <w:t>%)</w:t>
            </w:r>
          </w:p>
        </w:tc>
      </w:tr>
      <w:tr w:rsidR="00202B5E" w:rsidRPr="00F22553" w14:paraId="2FC152E7" w14:textId="77777777" w:rsidTr="00C8457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7039" w:type="dxa"/>
            <w:gridSpan w:val="3"/>
            <w:tcBorders>
              <w:top w:val="single" w:sz="4" w:space="0" w:color="auto"/>
              <w:left w:val="single" w:sz="4" w:space="0" w:color="auto"/>
              <w:bottom w:val="single" w:sz="4" w:space="0" w:color="auto"/>
              <w:right w:val="single" w:sz="4" w:space="0" w:color="auto"/>
            </w:tcBorders>
          </w:tcPr>
          <w:p w14:paraId="6E3D45E1" w14:textId="77777777" w:rsidR="00202B5E" w:rsidRPr="00F22553" w:rsidRDefault="00202B5E" w:rsidP="00C84571">
            <w:pPr>
              <w:jc w:val="both"/>
            </w:pPr>
            <w:r w:rsidRPr="00F22553">
              <w:t>Systemic treatment other than ipilimumab</w:t>
            </w:r>
          </w:p>
        </w:tc>
        <w:tc>
          <w:tcPr>
            <w:tcW w:w="1938" w:type="dxa"/>
            <w:tcBorders>
              <w:top w:val="single" w:sz="4" w:space="0" w:color="auto"/>
              <w:left w:val="single" w:sz="4" w:space="0" w:color="auto"/>
              <w:bottom w:val="single" w:sz="4" w:space="0" w:color="auto"/>
              <w:right w:val="single" w:sz="4" w:space="0" w:color="auto"/>
            </w:tcBorders>
          </w:tcPr>
          <w:p w14:paraId="3FAECB7D"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7</w:t>
            </w:r>
            <w:r w:rsidRPr="00F22553">
              <w:t xml:space="preserve"> (</w:t>
            </w:r>
            <w:r>
              <w:t>28</w:t>
            </w:r>
            <w:r w:rsidRPr="00F22553">
              <w:t>%)</w:t>
            </w:r>
          </w:p>
        </w:tc>
      </w:tr>
      <w:tr w:rsidR="00202B5E" w:rsidRPr="00F22553" w14:paraId="16C0B24F" w14:textId="77777777" w:rsidTr="00C84571">
        <w:trPr>
          <w:trHeight w:val="252"/>
        </w:trPr>
        <w:tc>
          <w:tcPr>
            <w:cnfStyle w:val="001000000000" w:firstRow="0" w:lastRow="0" w:firstColumn="1" w:lastColumn="0" w:oddVBand="0" w:evenVBand="0" w:oddHBand="0" w:evenHBand="0" w:firstRowFirstColumn="0" w:firstRowLastColumn="0" w:lastRowFirstColumn="0" w:lastRowLastColumn="0"/>
            <w:tcW w:w="3280" w:type="dxa"/>
            <w:vMerge w:val="restart"/>
            <w:tcBorders>
              <w:top w:val="single" w:sz="4" w:space="0" w:color="auto"/>
              <w:left w:val="single" w:sz="4" w:space="0" w:color="auto"/>
              <w:right w:val="single" w:sz="4" w:space="0" w:color="auto"/>
            </w:tcBorders>
          </w:tcPr>
          <w:p w14:paraId="26962F40" w14:textId="77777777" w:rsidR="00202B5E" w:rsidRPr="00F22553" w:rsidRDefault="00202B5E" w:rsidP="00C84571">
            <w:pPr>
              <w:jc w:val="both"/>
            </w:pPr>
          </w:p>
        </w:tc>
        <w:tc>
          <w:tcPr>
            <w:tcW w:w="3759" w:type="dxa"/>
            <w:gridSpan w:val="2"/>
            <w:tcBorders>
              <w:top w:val="single" w:sz="4" w:space="0" w:color="auto"/>
              <w:left w:val="single" w:sz="4" w:space="0" w:color="auto"/>
              <w:bottom w:val="single" w:sz="4" w:space="0" w:color="auto"/>
              <w:right w:val="single" w:sz="4" w:space="0" w:color="auto"/>
            </w:tcBorders>
          </w:tcPr>
          <w:p w14:paraId="6A9F8117"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Pr>
                <w:b/>
                <w:bCs/>
              </w:rPr>
              <w:t>Interferon α2b</w:t>
            </w:r>
          </w:p>
        </w:tc>
        <w:tc>
          <w:tcPr>
            <w:tcW w:w="1938" w:type="dxa"/>
            <w:tcBorders>
              <w:top w:val="single" w:sz="4" w:space="0" w:color="auto"/>
              <w:left w:val="single" w:sz="4" w:space="0" w:color="auto"/>
              <w:bottom w:val="single" w:sz="4" w:space="0" w:color="auto"/>
              <w:right w:val="single" w:sz="4" w:space="0" w:color="auto"/>
            </w:tcBorders>
          </w:tcPr>
          <w:p w14:paraId="04283D34"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4 (16%)</w:t>
            </w:r>
          </w:p>
        </w:tc>
      </w:tr>
      <w:tr w:rsidR="00202B5E" w:rsidRPr="00F22553" w14:paraId="6971782F" w14:textId="77777777" w:rsidTr="00C8457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right w:val="single" w:sz="4" w:space="0" w:color="auto"/>
            </w:tcBorders>
          </w:tcPr>
          <w:p w14:paraId="79853FEF" w14:textId="77777777" w:rsidR="00202B5E" w:rsidRPr="00F22553" w:rsidRDefault="00202B5E" w:rsidP="00C84571">
            <w:pPr>
              <w:jc w:val="both"/>
            </w:pPr>
          </w:p>
        </w:tc>
        <w:tc>
          <w:tcPr>
            <w:tcW w:w="3759" w:type="dxa"/>
            <w:gridSpan w:val="2"/>
            <w:tcBorders>
              <w:top w:val="single" w:sz="4" w:space="0" w:color="auto"/>
              <w:left w:val="single" w:sz="4" w:space="0" w:color="auto"/>
              <w:bottom w:val="single" w:sz="4" w:space="0" w:color="auto"/>
              <w:right w:val="single" w:sz="4" w:space="0" w:color="auto"/>
            </w:tcBorders>
          </w:tcPr>
          <w:p w14:paraId="07F2BFB8" w14:textId="6D392E9F" w:rsidR="00202B5E" w:rsidRDefault="00953AC5" w:rsidP="00C84571">
            <w:pPr>
              <w:jc w:val="both"/>
              <w:cnfStyle w:val="000000100000" w:firstRow="0" w:lastRow="0" w:firstColumn="0" w:lastColumn="0" w:oddVBand="0" w:evenVBand="0" w:oddHBand="1" w:evenHBand="0" w:firstRowFirstColumn="0" w:firstRowLastColumn="0" w:lastRowFirstColumn="0" w:lastRowLastColumn="0"/>
              <w:rPr>
                <w:b/>
                <w:bCs/>
              </w:rPr>
            </w:pPr>
            <w:r>
              <w:rPr>
                <w:b/>
                <w:bCs/>
              </w:rPr>
              <w:t xml:space="preserve">Autologous </w:t>
            </w:r>
            <w:r w:rsidR="00202B5E">
              <w:rPr>
                <w:b/>
                <w:bCs/>
              </w:rPr>
              <w:t>TILs</w:t>
            </w:r>
          </w:p>
        </w:tc>
        <w:tc>
          <w:tcPr>
            <w:tcW w:w="1938" w:type="dxa"/>
            <w:tcBorders>
              <w:top w:val="single" w:sz="4" w:space="0" w:color="auto"/>
              <w:left w:val="single" w:sz="4" w:space="0" w:color="auto"/>
              <w:bottom w:val="single" w:sz="4" w:space="0" w:color="auto"/>
              <w:right w:val="single" w:sz="4" w:space="0" w:color="auto"/>
            </w:tcBorders>
          </w:tcPr>
          <w:p w14:paraId="06B1AE1E" w14:textId="77777777" w:rsidR="00202B5E" w:rsidRDefault="00202B5E" w:rsidP="00C84571">
            <w:pPr>
              <w:jc w:val="both"/>
              <w:cnfStyle w:val="000000100000" w:firstRow="0" w:lastRow="0" w:firstColumn="0" w:lastColumn="0" w:oddVBand="0" w:evenVBand="0" w:oddHBand="1" w:evenHBand="0" w:firstRowFirstColumn="0" w:firstRowLastColumn="0" w:lastRowFirstColumn="0" w:lastRowLastColumn="0"/>
            </w:pPr>
            <w:r>
              <w:t>1 (4%)</w:t>
            </w:r>
          </w:p>
        </w:tc>
      </w:tr>
      <w:tr w:rsidR="00202B5E" w:rsidRPr="00F22553" w14:paraId="097AA802" w14:textId="77777777" w:rsidTr="00C84571">
        <w:trPr>
          <w:trHeight w:val="267"/>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right w:val="single" w:sz="4" w:space="0" w:color="auto"/>
            </w:tcBorders>
          </w:tcPr>
          <w:p w14:paraId="411C8142" w14:textId="77777777" w:rsidR="00202B5E" w:rsidRPr="00F22553" w:rsidRDefault="00202B5E" w:rsidP="00C84571">
            <w:pPr>
              <w:jc w:val="both"/>
            </w:pPr>
          </w:p>
        </w:tc>
        <w:tc>
          <w:tcPr>
            <w:tcW w:w="3759" w:type="dxa"/>
            <w:gridSpan w:val="2"/>
            <w:tcBorders>
              <w:top w:val="single" w:sz="4" w:space="0" w:color="auto"/>
              <w:left w:val="single" w:sz="4" w:space="0" w:color="auto"/>
              <w:bottom w:val="single" w:sz="4" w:space="0" w:color="auto"/>
              <w:right w:val="single" w:sz="4" w:space="0" w:color="auto"/>
            </w:tcBorders>
          </w:tcPr>
          <w:p w14:paraId="7D97A72D"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Pr>
                <w:b/>
                <w:bCs/>
              </w:rPr>
              <w:t>Temozolamide</w:t>
            </w:r>
          </w:p>
        </w:tc>
        <w:tc>
          <w:tcPr>
            <w:tcW w:w="1938" w:type="dxa"/>
            <w:tcBorders>
              <w:top w:val="single" w:sz="4" w:space="0" w:color="auto"/>
              <w:left w:val="single" w:sz="4" w:space="0" w:color="auto"/>
              <w:bottom w:val="single" w:sz="4" w:space="0" w:color="auto"/>
              <w:right w:val="single" w:sz="4" w:space="0" w:color="auto"/>
            </w:tcBorders>
          </w:tcPr>
          <w:p w14:paraId="3DF56042"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3 (12%)</w:t>
            </w:r>
          </w:p>
        </w:tc>
      </w:tr>
      <w:tr w:rsidR="00202B5E" w:rsidRPr="00F22553" w14:paraId="7300A782" w14:textId="77777777" w:rsidTr="00C8457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right w:val="single" w:sz="4" w:space="0" w:color="auto"/>
            </w:tcBorders>
          </w:tcPr>
          <w:p w14:paraId="418C1B02" w14:textId="77777777" w:rsidR="00202B5E" w:rsidRPr="00F22553" w:rsidRDefault="00202B5E" w:rsidP="00C84571">
            <w:pPr>
              <w:jc w:val="both"/>
            </w:pPr>
          </w:p>
        </w:tc>
        <w:tc>
          <w:tcPr>
            <w:tcW w:w="3759" w:type="dxa"/>
            <w:gridSpan w:val="2"/>
            <w:tcBorders>
              <w:top w:val="single" w:sz="4" w:space="0" w:color="auto"/>
              <w:left w:val="single" w:sz="4" w:space="0" w:color="auto"/>
              <w:bottom w:val="single" w:sz="4" w:space="0" w:color="auto"/>
              <w:right w:val="single" w:sz="4" w:space="0" w:color="auto"/>
            </w:tcBorders>
          </w:tcPr>
          <w:p w14:paraId="36F5041A"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r>
              <w:rPr>
                <w:b/>
                <w:bCs/>
              </w:rPr>
              <w:t>Lomustine</w:t>
            </w:r>
          </w:p>
        </w:tc>
        <w:tc>
          <w:tcPr>
            <w:tcW w:w="1938" w:type="dxa"/>
            <w:tcBorders>
              <w:top w:val="single" w:sz="4" w:space="0" w:color="auto"/>
              <w:left w:val="single" w:sz="4" w:space="0" w:color="auto"/>
              <w:bottom w:val="single" w:sz="4" w:space="0" w:color="auto"/>
              <w:right w:val="single" w:sz="4" w:space="0" w:color="auto"/>
            </w:tcBorders>
          </w:tcPr>
          <w:p w14:paraId="70AB3441"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2 (8%)</w:t>
            </w:r>
          </w:p>
        </w:tc>
      </w:tr>
      <w:tr w:rsidR="00202B5E" w:rsidRPr="00F22553" w14:paraId="68E90B55" w14:textId="77777777" w:rsidTr="00C84571">
        <w:trPr>
          <w:trHeight w:val="267"/>
        </w:trPr>
        <w:tc>
          <w:tcPr>
            <w:cnfStyle w:val="001000000000" w:firstRow="0" w:lastRow="0" w:firstColumn="1" w:lastColumn="0" w:oddVBand="0" w:evenVBand="0" w:oddHBand="0" w:evenHBand="0" w:firstRowFirstColumn="0" w:firstRowLastColumn="0" w:lastRowFirstColumn="0" w:lastRowLastColumn="0"/>
            <w:tcW w:w="3280" w:type="dxa"/>
            <w:vMerge/>
            <w:tcBorders>
              <w:left w:val="single" w:sz="4" w:space="0" w:color="auto"/>
              <w:bottom w:val="single" w:sz="4" w:space="0" w:color="auto"/>
              <w:right w:val="single" w:sz="4" w:space="0" w:color="auto"/>
            </w:tcBorders>
          </w:tcPr>
          <w:p w14:paraId="7B2716D7" w14:textId="77777777" w:rsidR="00202B5E" w:rsidRPr="00F22553" w:rsidRDefault="00202B5E" w:rsidP="00C84571">
            <w:pPr>
              <w:jc w:val="both"/>
            </w:pPr>
          </w:p>
        </w:tc>
        <w:tc>
          <w:tcPr>
            <w:tcW w:w="3759" w:type="dxa"/>
            <w:gridSpan w:val="2"/>
            <w:tcBorders>
              <w:top w:val="single" w:sz="4" w:space="0" w:color="auto"/>
              <w:left w:val="single" w:sz="4" w:space="0" w:color="auto"/>
              <w:bottom w:val="single" w:sz="4" w:space="0" w:color="auto"/>
              <w:right w:val="single" w:sz="4" w:space="0" w:color="auto"/>
            </w:tcBorders>
          </w:tcPr>
          <w:p w14:paraId="25A4369C"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Pr>
                <w:b/>
                <w:bCs/>
              </w:rPr>
              <w:t>Carboplatin based</w:t>
            </w:r>
          </w:p>
        </w:tc>
        <w:tc>
          <w:tcPr>
            <w:tcW w:w="1938" w:type="dxa"/>
            <w:tcBorders>
              <w:top w:val="single" w:sz="4" w:space="0" w:color="auto"/>
              <w:left w:val="single" w:sz="4" w:space="0" w:color="auto"/>
              <w:bottom w:val="single" w:sz="4" w:space="0" w:color="auto"/>
              <w:right w:val="single" w:sz="4" w:space="0" w:color="auto"/>
            </w:tcBorders>
          </w:tcPr>
          <w:p w14:paraId="27CFC5EE"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2 (8%)</w:t>
            </w:r>
          </w:p>
        </w:tc>
      </w:tr>
      <w:tr w:rsidR="00202B5E" w:rsidRPr="00F22553" w14:paraId="6F302322" w14:textId="77777777" w:rsidTr="00C8457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7039" w:type="dxa"/>
            <w:gridSpan w:val="3"/>
            <w:tcBorders>
              <w:top w:val="single" w:sz="4" w:space="0" w:color="auto"/>
              <w:left w:val="single" w:sz="4" w:space="0" w:color="auto"/>
              <w:bottom w:val="single" w:sz="4" w:space="0" w:color="auto"/>
              <w:right w:val="single" w:sz="4" w:space="0" w:color="auto"/>
            </w:tcBorders>
          </w:tcPr>
          <w:p w14:paraId="4F64ADD8" w14:textId="77777777" w:rsidR="00202B5E" w:rsidRPr="00F22553" w:rsidRDefault="00202B5E" w:rsidP="00C84571">
            <w:pPr>
              <w:jc w:val="both"/>
            </w:pPr>
            <w:r w:rsidRPr="00F22553">
              <w:t>Previous ipilimumab</w:t>
            </w:r>
          </w:p>
        </w:tc>
        <w:tc>
          <w:tcPr>
            <w:tcW w:w="1938" w:type="dxa"/>
            <w:tcBorders>
              <w:top w:val="single" w:sz="4" w:space="0" w:color="auto"/>
              <w:left w:val="single" w:sz="4" w:space="0" w:color="auto"/>
              <w:bottom w:val="single" w:sz="4" w:space="0" w:color="auto"/>
              <w:right w:val="single" w:sz="4" w:space="0" w:color="auto"/>
            </w:tcBorders>
          </w:tcPr>
          <w:p w14:paraId="646E1BDF"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25</w:t>
            </w:r>
            <w:r w:rsidRPr="00F22553">
              <w:t>(100%)</w:t>
            </w:r>
          </w:p>
        </w:tc>
      </w:tr>
      <w:tr w:rsidR="00202B5E" w:rsidRPr="00F22553" w14:paraId="3B89ACBB" w14:textId="77777777" w:rsidTr="00C84571">
        <w:trPr>
          <w:trHeight w:val="267"/>
        </w:trPr>
        <w:tc>
          <w:tcPr>
            <w:cnfStyle w:val="001000000000" w:firstRow="0" w:lastRow="0" w:firstColumn="1" w:lastColumn="0" w:oddVBand="0" w:evenVBand="0" w:oddHBand="0" w:evenHBand="0" w:firstRowFirstColumn="0" w:firstRowLastColumn="0" w:lastRowFirstColumn="0" w:lastRowLastColumn="0"/>
            <w:tcW w:w="3288" w:type="dxa"/>
            <w:gridSpan w:val="2"/>
            <w:vMerge w:val="restart"/>
            <w:tcBorders>
              <w:top w:val="single" w:sz="4" w:space="0" w:color="auto"/>
              <w:left w:val="single" w:sz="4" w:space="0" w:color="auto"/>
              <w:right w:val="single" w:sz="4" w:space="0" w:color="auto"/>
            </w:tcBorders>
            <w:vAlign w:val="center"/>
          </w:tcPr>
          <w:p w14:paraId="24C0C97D" w14:textId="77777777" w:rsidR="00202B5E" w:rsidRPr="00F22553" w:rsidRDefault="00202B5E" w:rsidP="00C84571">
            <w:r w:rsidRPr="00F22553">
              <w:t>Best response to ipilimumab</w:t>
            </w:r>
          </w:p>
        </w:tc>
        <w:tc>
          <w:tcPr>
            <w:tcW w:w="3751" w:type="dxa"/>
            <w:tcBorders>
              <w:top w:val="single" w:sz="4" w:space="0" w:color="auto"/>
              <w:left w:val="single" w:sz="4" w:space="0" w:color="auto"/>
              <w:right w:val="single" w:sz="4" w:space="0" w:color="auto"/>
            </w:tcBorders>
          </w:tcPr>
          <w:p w14:paraId="12FE76E3"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sidRPr="00F22553">
              <w:rPr>
                <w:b/>
                <w:bCs/>
              </w:rPr>
              <w:t>Progressive disease</w:t>
            </w:r>
          </w:p>
        </w:tc>
        <w:tc>
          <w:tcPr>
            <w:tcW w:w="1938" w:type="dxa"/>
            <w:tcBorders>
              <w:top w:val="single" w:sz="4" w:space="0" w:color="auto"/>
              <w:left w:val="single" w:sz="4" w:space="0" w:color="auto"/>
              <w:right w:val="single" w:sz="4" w:space="0" w:color="auto"/>
            </w:tcBorders>
          </w:tcPr>
          <w:p w14:paraId="472397F7"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1</w:t>
            </w:r>
            <w:r>
              <w:t>6</w:t>
            </w:r>
            <w:r w:rsidRPr="00F22553">
              <w:t>(6</w:t>
            </w:r>
            <w:r>
              <w:t>4</w:t>
            </w:r>
            <w:r w:rsidRPr="00F22553">
              <w:t>%)</w:t>
            </w:r>
          </w:p>
        </w:tc>
      </w:tr>
      <w:tr w:rsidR="00202B5E" w:rsidRPr="00F22553" w14:paraId="1901CF98" w14:textId="77777777" w:rsidTr="00C8457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288" w:type="dxa"/>
            <w:gridSpan w:val="2"/>
            <w:vMerge/>
            <w:tcBorders>
              <w:left w:val="single" w:sz="4" w:space="0" w:color="auto"/>
              <w:bottom w:val="single" w:sz="4" w:space="0" w:color="auto"/>
              <w:right w:val="single" w:sz="4" w:space="0" w:color="auto"/>
            </w:tcBorders>
          </w:tcPr>
          <w:p w14:paraId="2BB45F25" w14:textId="77777777" w:rsidR="00202B5E" w:rsidRPr="00F22553" w:rsidRDefault="00202B5E" w:rsidP="00C84571">
            <w:pPr>
              <w:jc w:val="both"/>
            </w:pPr>
          </w:p>
        </w:tc>
        <w:tc>
          <w:tcPr>
            <w:tcW w:w="3751" w:type="dxa"/>
            <w:tcBorders>
              <w:left w:val="single" w:sz="4" w:space="0" w:color="auto"/>
              <w:bottom w:val="single" w:sz="4" w:space="0" w:color="auto"/>
              <w:right w:val="single" w:sz="4" w:space="0" w:color="auto"/>
            </w:tcBorders>
          </w:tcPr>
          <w:p w14:paraId="41B2E6C8"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Stable disease</w:t>
            </w:r>
          </w:p>
        </w:tc>
        <w:tc>
          <w:tcPr>
            <w:tcW w:w="1938" w:type="dxa"/>
            <w:tcBorders>
              <w:left w:val="single" w:sz="4" w:space="0" w:color="auto"/>
              <w:bottom w:val="single" w:sz="4" w:space="0" w:color="auto"/>
              <w:right w:val="single" w:sz="4" w:space="0" w:color="auto"/>
            </w:tcBorders>
          </w:tcPr>
          <w:p w14:paraId="074C666B"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9</w:t>
            </w:r>
            <w:r w:rsidRPr="00F22553">
              <w:t>(3</w:t>
            </w:r>
            <w:r>
              <w:t>6</w:t>
            </w:r>
            <w:r w:rsidRPr="00F22553">
              <w:t>%)</w:t>
            </w:r>
          </w:p>
        </w:tc>
      </w:tr>
    </w:tbl>
    <w:p w14:paraId="72199C7B" w14:textId="77777777" w:rsidR="00F22553" w:rsidRPr="00F22553" w:rsidRDefault="00F22553" w:rsidP="00F22553"/>
    <w:p w14:paraId="5B952261" w14:textId="28C52E43" w:rsidR="00F22553" w:rsidRPr="00F22553" w:rsidRDefault="00F22553" w:rsidP="00F22553">
      <w:r w:rsidRPr="00F22553">
        <w:rPr>
          <w:b/>
        </w:rPr>
        <w:t>Table 2:</w:t>
      </w:r>
      <w:r w:rsidRPr="00F22553">
        <w:t xml:space="preserve"> </w:t>
      </w:r>
      <w:r w:rsidR="00202B5E" w:rsidRPr="00F22553">
        <w:t xml:space="preserve">Best radiological disease response to pembrolizumab; </w:t>
      </w:r>
      <w:r w:rsidR="00202B5E">
        <w:t>9</w:t>
      </w:r>
      <w:r w:rsidR="00202B5E" w:rsidRPr="00F22553">
        <w:t xml:space="preserve"> patients </w:t>
      </w:r>
      <w:r w:rsidR="00202B5E">
        <w:t>were alive, 1 with an ongoing partial response and 2 with stable disease</w:t>
      </w:r>
      <w:r w:rsidR="00202B5E" w:rsidRPr="00F22553">
        <w:t xml:space="preserve"> at the time of writing hence median </w:t>
      </w:r>
      <w:r w:rsidR="00202B5E">
        <w:t>overall</w:t>
      </w:r>
      <w:r w:rsidR="00202B5E" w:rsidRPr="00F22553">
        <w:t xml:space="preserve"> </w:t>
      </w:r>
      <w:r w:rsidR="00202B5E">
        <w:t xml:space="preserve">and progression free survival </w:t>
      </w:r>
      <w:r w:rsidR="00202B5E" w:rsidRPr="00F22553">
        <w:t>was not reached (“NR”)</w:t>
      </w:r>
      <w:r w:rsidR="00202B5E">
        <w:t xml:space="preserve"> for several subgroups</w:t>
      </w:r>
    </w:p>
    <w:tbl>
      <w:tblPr>
        <w:tblStyle w:val="ListTable4-Accent34"/>
        <w:tblW w:w="0" w:type="auto"/>
        <w:tblLayout w:type="fixed"/>
        <w:tblLook w:val="04A0" w:firstRow="1" w:lastRow="0" w:firstColumn="1" w:lastColumn="0" w:noHBand="0" w:noVBand="1"/>
      </w:tblPr>
      <w:tblGrid>
        <w:gridCol w:w="704"/>
        <w:gridCol w:w="425"/>
        <w:gridCol w:w="1276"/>
        <w:gridCol w:w="992"/>
        <w:gridCol w:w="851"/>
        <w:gridCol w:w="856"/>
        <w:gridCol w:w="420"/>
        <w:gridCol w:w="745"/>
        <w:gridCol w:w="105"/>
        <w:gridCol w:w="1276"/>
        <w:gridCol w:w="1366"/>
      </w:tblGrid>
      <w:tr w:rsidR="00202B5E" w:rsidRPr="00F22553" w14:paraId="3F26FC7A" w14:textId="77777777" w:rsidTr="00C8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6"/>
            <w:tcBorders>
              <w:top w:val="single" w:sz="4" w:space="0" w:color="auto"/>
              <w:left w:val="single" w:sz="4" w:space="0" w:color="auto"/>
              <w:bottom w:val="single" w:sz="4" w:space="0" w:color="auto"/>
            </w:tcBorders>
          </w:tcPr>
          <w:p w14:paraId="25F6A80B" w14:textId="77777777" w:rsidR="00202B5E" w:rsidRPr="00F22553" w:rsidRDefault="00202B5E" w:rsidP="00C84571">
            <w:pPr>
              <w:jc w:val="both"/>
            </w:pPr>
            <w:r w:rsidRPr="00F22553">
              <w:t>Table 2: Disease Response</w:t>
            </w:r>
          </w:p>
        </w:tc>
        <w:tc>
          <w:tcPr>
            <w:tcW w:w="1165" w:type="dxa"/>
            <w:gridSpan w:val="2"/>
            <w:tcBorders>
              <w:top w:val="single" w:sz="4" w:space="0" w:color="auto"/>
              <w:bottom w:val="single" w:sz="4" w:space="0" w:color="auto"/>
            </w:tcBorders>
          </w:tcPr>
          <w:p w14:paraId="029967EB" w14:textId="77777777" w:rsidR="00202B5E" w:rsidRPr="00F22553" w:rsidRDefault="00202B5E" w:rsidP="00C84571">
            <w:pPr>
              <w:jc w:val="both"/>
              <w:cnfStyle w:val="100000000000" w:firstRow="1" w:lastRow="0" w:firstColumn="0" w:lastColumn="0" w:oddVBand="0" w:evenVBand="0" w:oddHBand="0" w:evenHBand="0" w:firstRowFirstColumn="0" w:firstRowLastColumn="0" w:lastRowFirstColumn="0" w:lastRowLastColumn="0"/>
            </w:pPr>
          </w:p>
        </w:tc>
        <w:tc>
          <w:tcPr>
            <w:tcW w:w="2747" w:type="dxa"/>
            <w:gridSpan w:val="3"/>
            <w:tcBorders>
              <w:top w:val="single" w:sz="4" w:space="0" w:color="auto"/>
              <w:bottom w:val="single" w:sz="4" w:space="0" w:color="auto"/>
              <w:right w:val="single" w:sz="4" w:space="0" w:color="auto"/>
            </w:tcBorders>
          </w:tcPr>
          <w:p w14:paraId="52346582" w14:textId="77777777" w:rsidR="00202B5E" w:rsidRPr="00F22553" w:rsidRDefault="00202B5E" w:rsidP="00C84571">
            <w:pPr>
              <w:jc w:val="both"/>
              <w:cnfStyle w:val="100000000000" w:firstRow="1" w:lastRow="0" w:firstColumn="0" w:lastColumn="0" w:oddVBand="0" w:evenVBand="0" w:oddHBand="0" w:evenHBand="0" w:firstRowFirstColumn="0" w:firstRowLastColumn="0" w:lastRowFirstColumn="0" w:lastRowLastColumn="0"/>
            </w:pPr>
          </w:p>
        </w:tc>
      </w:tr>
      <w:tr w:rsidR="00202B5E" w:rsidRPr="00F22553" w14:paraId="703EB85C"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gridSpan w:val="3"/>
            <w:tcBorders>
              <w:top w:val="single" w:sz="4" w:space="0" w:color="auto"/>
              <w:left w:val="single" w:sz="4" w:space="0" w:color="auto"/>
              <w:bottom w:val="single" w:sz="4" w:space="0" w:color="auto"/>
              <w:right w:val="single" w:sz="4" w:space="0" w:color="auto"/>
            </w:tcBorders>
          </w:tcPr>
          <w:p w14:paraId="55B0B367" w14:textId="77777777" w:rsidR="00202B5E" w:rsidRPr="00F22553" w:rsidRDefault="00202B5E" w:rsidP="00C84571">
            <w:pPr>
              <w:jc w:val="both"/>
            </w:pPr>
            <w:r w:rsidRPr="00F22553">
              <w:t>Response</w:t>
            </w:r>
          </w:p>
        </w:tc>
        <w:tc>
          <w:tcPr>
            <w:tcW w:w="992" w:type="dxa"/>
            <w:tcBorders>
              <w:top w:val="single" w:sz="4" w:space="0" w:color="auto"/>
              <w:left w:val="single" w:sz="4" w:space="0" w:color="auto"/>
              <w:bottom w:val="single" w:sz="4" w:space="0" w:color="auto"/>
              <w:right w:val="single" w:sz="4" w:space="0" w:color="auto"/>
            </w:tcBorders>
          </w:tcPr>
          <w:p w14:paraId="76DF6383" w14:textId="77777777" w:rsidR="00202B5E" w:rsidRPr="00F22553" w:rsidRDefault="00202B5E" w:rsidP="00C84571">
            <w:pPr>
              <w:cnfStyle w:val="000000100000" w:firstRow="0" w:lastRow="0" w:firstColumn="0" w:lastColumn="0" w:oddVBand="0" w:evenVBand="0" w:oddHBand="1" w:evenHBand="0" w:firstRowFirstColumn="0" w:firstRowLastColumn="0" w:lastRowFirstColumn="0" w:lastRowLastColumn="0"/>
            </w:pPr>
            <w:r w:rsidRPr="00F22553">
              <w:t xml:space="preserve">No of patients </w:t>
            </w:r>
          </w:p>
        </w:tc>
        <w:tc>
          <w:tcPr>
            <w:tcW w:w="851" w:type="dxa"/>
            <w:tcBorders>
              <w:top w:val="single" w:sz="4" w:space="0" w:color="auto"/>
              <w:left w:val="single" w:sz="4" w:space="0" w:color="auto"/>
              <w:bottom w:val="single" w:sz="4" w:space="0" w:color="auto"/>
              <w:right w:val="single" w:sz="4" w:space="0" w:color="auto"/>
            </w:tcBorders>
          </w:tcPr>
          <w:p w14:paraId="72F98469"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w:t>
            </w:r>
          </w:p>
        </w:tc>
        <w:tc>
          <w:tcPr>
            <w:tcW w:w="1276" w:type="dxa"/>
            <w:gridSpan w:val="2"/>
            <w:tcBorders>
              <w:top w:val="single" w:sz="4" w:space="0" w:color="auto"/>
              <w:left w:val="single" w:sz="4" w:space="0" w:color="auto"/>
              <w:bottom w:val="single" w:sz="4" w:space="0" w:color="auto"/>
              <w:right w:val="single" w:sz="4" w:space="0" w:color="auto"/>
            </w:tcBorders>
          </w:tcPr>
          <w:p w14:paraId="695998AB"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Median PFS</w:t>
            </w:r>
          </w:p>
          <w:p w14:paraId="2D42C0F2"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(days)</w:t>
            </w:r>
          </w:p>
        </w:tc>
        <w:tc>
          <w:tcPr>
            <w:tcW w:w="850" w:type="dxa"/>
            <w:gridSpan w:val="2"/>
            <w:tcBorders>
              <w:top w:val="single" w:sz="4" w:space="0" w:color="auto"/>
              <w:left w:val="single" w:sz="4" w:space="0" w:color="auto"/>
              <w:bottom w:val="single" w:sz="4" w:space="0" w:color="auto"/>
              <w:right w:val="single" w:sz="4" w:space="0" w:color="auto"/>
            </w:tcBorders>
          </w:tcPr>
          <w:p w14:paraId="74F0E22C"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Range</w:t>
            </w:r>
          </w:p>
          <w:p w14:paraId="58219F27"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(Days)</w:t>
            </w:r>
          </w:p>
        </w:tc>
        <w:tc>
          <w:tcPr>
            <w:tcW w:w="1276" w:type="dxa"/>
            <w:tcBorders>
              <w:top w:val="single" w:sz="4" w:space="0" w:color="auto"/>
              <w:left w:val="single" w:sz="4" w:space="0" w:color="auto"/>
              <w:bottom w:val="single" w:sz="4" w:space="0" w:color="auto"/>
              <w:right w:val="single" w:sz="4" w:space="0" w:color="auto"/>
            </w:tcBorders>
          </w:tcPr>
          <w:p w14:paraId="1CE38E09"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Median OS (days)</w:t>
            </w:r>
          </w:p>
        </w:tc>
        <w:tc>
          <w:tcPr>
            <w:tcW w:w="1366" w:type="dxa"/>
            <w:tcBorders>
              <w:top w:val="single" w:sz="4" w:space="0" w:color="auto"/>
              <w:left w:val="single" w:sz="4" w:space="0" w:color="auto"/>
              <w:bottom w:val="single" w:sz="4" w:space="0" w:color="auto"/>
              <w:right w:val="single" w:sz="4" w:space="0" w:color="auto"/>
            </w:tcBorders>
          </w:tcPr>
          <w:p w14:paraId="60CCB434" w14:textId="77777777" w:rsidR="00202B5E" w:rsidRDefault="00202B5E" w:rsidP="00C84571">
            <w:pPr>
              <w:cnfStyle w:val="000000100000" w:firstRow="0" w:lastRow="0" w:firstColumn="0" w:lastColumn="0" w:oddVBand="0" w:evenVBand="0" w:oddHBand="1" w:evenHBand="0" w:firstRowFirstColumn="0" w:firstRowLastColumn="0" w:lastRowFirstColumn="0" w:lastRowLastColumn="0"/>
            </w:pPr>
            <w:r>
              <w:t>Range(days)</w:t>
            </w:r>
          </w:p>
          <w:p w14:paraId="282A0CED"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p>
        </w:tc>
      </w:tr>
      <w:tr w:rsidR="00202B5E" w:rsidRPr="00F22553" w14:paraId="767D85E0" w14:textId="77777777" w:rsidTr="00C84571">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right w:val="single" w:sz="4" w:space="0" w:color="auto"/>
            </w:tcBorders>
          </w:tcPr>
          <w:p w14:paraId="3133A094" w14:textId="77777777" w:rsidR="00202B5E" w:rsidRPr="00F22553" w:rsidRDefault="00202B5E" w:rsidP="00C84571">
            <w:pPr>
              <w:jc w:val="both"/>
            </w:pPr>
          </w:p>
        </w:tc>
        <w:tc>
          <w:tcPr>
            <w:tcW w:w="1701" w:type="dxa"/>
            <w:gridSpan w:val="2"/>
            <w:tcBorders>
              <w:top w:val="single" w:sz="4" w:space="0" w:color="auto"/>
              <w:left w:val="single" w:sz="4" w:space="0" w:color="auto"/>
              <w:right w:val="single" w:sz="4" w:space="0" w:color="auto"/>
            </w:tcBorders>
          </w:tcPr>
          <w:p w14:paraId="24A40AAF"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sidRPr="00F22553">
              <w:rPr>
                <w:b/>
                <w:bCs/>
              </w:rPr>
              <w:t>PR</w:t>
            </w:r>
          </w:p>
        </w:tc>
        <w:tc>
          <w:tcPr>
            <w:tcW w:w="992" w:type="dxa"/>
            <w:tcBorders>
              <w:top w:val="single" w:sz="4" w:space="0" w:color="auto"/>
              <w:left w:val="single" w:sz="4" w:space="0" w:color="auto"/>
              <w:right w:val="single" w:sz="4" w:space="0" w:color="auto"/>
            </w:tcBorders>
          </w:tcPr>
          <w:p w14:paraId="443AA8E6"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2</w:t>
            </w:r>
          </w:p>
        </w:tc>
        <w:tc>
          <w:tcPr>
            <w:tcW w:w="851" w:type="dxa"/>
            <w:tcBorders>
              <w:top w:val="single" w:sz="4" w:space="0" w:color="auto"/>
              <w:left w:val="single" w:sz="4" w:space="0" w:color="auto"/>
              <w:right w:val="single" w:sz="4" w:space="0" w:color="auto"/>
            </w:tcBorders>
          </w:tcPr>
          <w:p w14:paraId="196E6AC8"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8</w:t>
            </w:r>
            <w:r w:rsidRPr="00F22553">
              <w:t>%</w:t>
            </w:r>
          </w:p>
        </w:tc>
        <w:tc>
          <w:tcPr>
            <w:tcW w:w="1276" w:type="dxa"/>
            <w:gridSpan w:val="2"/>
            <w:tcBorders>
              <w:top w:val="single" w:sz="4" w:space="0" w:color="auto"/>
              <w:left w:val="single" w:sz="4" w:space="0" w:color="auto"/>
              <w:right w:val="single" w:sz="4" w:space="0" w:color="auto"/>
            </w:tcBorders>
          </w:tcPr>
          <w:p w14:paraId="3C032B5C"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NR(&gt;325)</w:t>
            </w:r>
          </w:p>
        </w:tc>
        <w:tc>
          <w:tcPr>
            <w:tcW w:w="850" w:type="dxa"/>
            <w:gridSpan w:val="2"/>
            <w:tcBorders>
              <w:top w:val="single" w:sz="4" w:space="0" w:color="auto"/>
              <w:left w:val="single" w:sz="4" w:space="0" w:color="auto"/>
              <w:right w:val="single" w:sz="4" w:space="0" w:color="auto"/>
            </w:tcBorders>
          </w:tcPr>
          <w:p w14:paraId="60A344CF"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153</w:t>
            </w:r>
            <w:r>
              <w:t>-498+</w:t>
            </w:r>
          </w:p>
        </w:tc>
        <w:tc>
          <w:tcPr>
            <w:tcW w:w="1276" w:type="dxa"/>
            <w:tcBorders>
              <w:top w:val="single" w:sz="4" w:space="0" w:color="auto"/>
              <w:left w:val="single" w:sz="4" w:space="0" w:color="auto"/>
              <w:right w:val="single" w:sz="4" w:space="0" w:color="auto"/>
            </w:tcBorders>
          </w:tcPr>
          <w:p w14:paraId="7293919D"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NR(&gt;427)</w:t>
            </w:r>
          </w:p>
        </w:tc>
        <w:tc>
          <w:tcPr>
            <w:tcW w:w="1366" w:type="dxa"/>
            <w:tcBorders>
              <w:top w:val="single" w:sz="4" w:space="0" w:color="auto"/>
              <w:left w:val="single" w:sz="4" w:space="0" w:color="auto"/>
              <w:right w:val="single" w:sz="4" w:space="0" w:color="auto"/>
            </w:tcBorders>
          </w:tcPr>
          <w:p w14:paraId="22461AC4"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498-357</w:t>
            </w:r>
          </w:p>
        </w:tc>
      </w:tr>
      <w:tr w:rsidR="00202B5E" w:rsidRPr="00F22553" w14:paraId="5EA66675"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right w:val="single" w:sz="4" w:space="0" w:color="auto"/>
            </w:tcBorders>
          </w:tcPr>
          <w:p w14:paraId="4885D6D0" w14:textId="77777777" w:rsidR="00202B5E" w:rsidRPr="00F22553" w:rsidRDefault="00202B5E" w:rsidP="00C84571">
            <w:pPr>
              <w:jc w:val="both"/>
            </w:pPr>
          </w:p>
        </w:tc>
        <w:tc>
          <w:tcPr>
            <w:tcW w:w="1701" w:type="dxa"/>
            <w:gridSpan w:val="2"/>
            <w:tcBorders>
              <w:left w:val="single" w:sz="4" w:space="0" w:color="auto"/>
              <w:right w:val="single" w:sz="4" w:space="0" w:color="auto"/>
            </w:tcBorders>
          </w:tcPr>
          <w:p w14:paraId="518ECDE4"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SD</w:t>
            </w:r>
          </w:p>
        </w:tc>
        <w:tc>
          <w:tcPr>
            <w:tcW w:w="992" w:type="dxa"/>
            <w:tcBorders>
              <w:left w:val="single" w:sz="4" w:space="0" w:color="auto"/>
              <w:right w:val="single" w:sz="4" w:space="0" w:color="auto"/>
            </w:tcBorders>
          </w:tcPr>
          <w:p w14:paraId="6E7D85FB"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6</w:t>
            </w:r>
          </w:p>
        </w:tc>
        <w:tc>
          <w:tcPr>
            <w:tcW w:w="851" w:type="dxa"/>
            <w:tcBorders>
              <w:left w:val="single" w:sz="4" w:space="0" w:color="auto"/>
              <w:right w:val="single" w:sz="4" w:space="0" w:color="auto"/>
            </w:tcBorders>
          </w:tcPr>
          <w:p w14:paraId="6089EC70"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24</w:t>
            </w:r>
            <w:r w:rsidRPr="00F22553">
              <w:t>%</w:t>
            </w:r>
          </w:p>
        </w:tc>
        <w:tc>
          <w:tcPr>
            <w:tcW w:w="1276" w:type="dxa"/>
            <w:gridSpan w:val="2"/>
            <w:tcBorders>
              <w:left w:val="single" w:sz="4" w:space="0" w:color="auto"/>
              <w:right w:val="single" w:sz="4" w:space="0" w:color="auto"/>
            </w:tcBorders>
          </w:tcPr>
          <w:p w14:paraId="26406113"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NR(&gt;2</w:t>
            </w:r>
            <w:r>
              <w:t>93.5</w:t>
            </w:r>
            <w:r w:rsidRPr="00F22553">
              <w:t>)</w:t>
            </w:r>
          </w:p>
        </w:tc>
        <w:tc>
          <w:tcPr>
            <w:tcW w:w="850" w:type="dxa"/>
            <w:gridSpan w:val="2"/>
            <w:tcBorders>
              <w:left w:val="single" w:sz="4" w:space="0" w:color="auto"/>
              <w:right w:val="single" w:sz="4" w:space="0" w:color="auto"/>
            </w:tcBorders>
          </w:tcPr>
          <w:p w14:paraId="0ED8EE52"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&gt;112-321+</w:t>
            </w:r>
          </w:p>
        </w:tc>
        <w:tc>
          <w:tcPr>
            <w:tcW w:w="1276" w:type="dxa"/>
            <w:tcBorders>
              <w:left w:val="single" w:sz="4" w:space="0" w:color="auto"/>
              <w:right w:val="single" w:sz="4" w:space="0" w:color="auto"/>
            </w:tcBorders>
          </w:tcPr>
          <w:p w14:paraId="333B8027"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NR(&gt;405)</w:t>
            </w:r>
          </w:p>
        </w:tc>
        <w:tc>
          <w:tcPr>
            <w:tcW w:w="1366" w:type="dxa"/>
            <w:tcBorders>
              <w:left w:val="single" w:sz="4" w:space="0" w:color="auto"/>
              <w:right w:val="single" w:sz="4" w:space="0" w:color="auto"/>
            </w:tcBorders>
          </w:tcPr>
          <w:p w14:paraId="0CB03322"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286-483</w:t>
            </w:r>
          </w:p>
        </w:tc>
      </w:tr>
      <w:tr w:rsidR="00202B5E" w:rsidRPr="00F22553" w14:paraId="44746B2E" w14:textId="77777777" w:rsidTr="00C84571">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tcBorders>
          </w:tcPr>
          <w:p w14:paraId="30B57ECE" w14:textId="77777777" w:rsidR="00202B5E" w:rsidRPr="00F22553" w:rsidRDefault="00202B5E" w:rsidP="00C84571">
            <w:pPr>
              <w:jc w:val="both"/>
            </w:pPr>
          </w:p>
        </w:tc>
        <w:tc>
          <w:tcPr>
            <w:tcW w:w="425" w:type="dxa"/>
            <w:tcBorders>
              <w:right w:val="single" w:sz="4" w:space="0" w:color="auto"/>
            </w:tcBorders>
          </w:tcPr>
          <w:p w14:paraId="3DCE78AE"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p>
        </w:tc>
        <w:tc>
          <w:tcPr>
            <w:tcW w:w="1276" w:type="dxa"/>
            <w:tcBorders>
              <w:left w:val="single" w:sz="4" w:space="0" w:color="auto"/>
              <w:right w:val="single" w:sz="4" w:space="0" w:color="auto"/>
            </w:tcBorders>
          </w:tcPr>
          <w:p w14:paraId="34F88EDE"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sidRPr="00F22553">
              <w:rPr>
                <w:b/>
                <w:bCs/>
              </w:rPr>
              <w:t>on initial assessment</w:t>
            </w:r>
          </w:p>
        </w:tc>
        <w:tc>
          <w:tcPr>
            <w:tcW w:w="992" w:type="dxa"/>
            <w:tcBorders>
              <w:left w:val="single" w:sz="4" w:space="0" w:color="auto"/>
              <w:right w:val="single" w:sz="4" w:space="0" w:color="auto"/>
            </w:tcBorders>
          </w:tcPr>
          <w:p w14:paraId="3E8DA474"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3</w:t>
            </w:r>
          </w:p>
        </w:tc>
        <w:tc>
          <w:tcPr>
            <w:tcW w:w="851" w:type="dxa"/>
            <w:tcBorders>
              <w:left w:val="single" w:sz="4" w:space="0" w:color="auto"/>
              <w:right w:val="single" w:sz="4" w:space="0" w:color="auto"/>
            </w:tcBorders>
          </w:tcPr>
          <w:p w14:paraId="5AEACCC2"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12</w:t>
            </w:r>
            <w:r w:rsidRPr="00F22553">
              <w:t>%</w:t>
            </w:r>
          </w:p>
        </w:tc>
        <w:tc>
          <w:tcPr>
            <w:tcW w:w="1276" w:type="dxa"/>
            <w:gridSpan w:val="2"/>
            <w:tcBorders>
              <w:left w:val="single" w:sz="4" w:space="0" w:color="auto"/>
              <w:right w:val="single" w:sz="4" w:space="0" w:color="auto"/>
            </w:tcBorders>
          </w:tcPr>
          <w:p w14:paraId="7CBE076A"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252</w:t>
            </w:r>
          </w:p>
        </w:tc>
        <w:tc>
          <w:tcPr>
            <w:tcW w:w="850" w:type="dxa"/>
            <w:gridSpan w:val="2"/>
            <w:tcBorders>
              <w:left w:val="single" w:sz="4" w:space="0" w:color="auto"/>
              <w:right w:val="single" w:sz="4" w:space="0" w:color="auto"/>
            </w:tcBorders>
          </w:tcPr>
          <w:p w14:paraId="212F5EA7"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&gt;112-321+</w:t>
            </w:r>
          </w:p>
        </w:tc>
        <w:tc>
          <w:tcPr>
            <w:tcW w:w="1276" w:type="dxa"/>
            <w:tcBorders>
              <w:left w:val="single" w:sz="4" w:space="0" w:color="auto"/>
              <w:right w:val="single" w:sz="4" w:space="0" w:color="auto"/>
            </w:tcBorders>
          </w:tcPr>
          <w:p w14:paraId="314EEAEF"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NR(&gt;384)</w:t>
            </w:r>
          </w:p>
        </w:tc>
        <w:tc>
          <w:tcPr>
            <w:tcW w:w="1366" w:type="dxa"/>
            <w:tcBorders>
              <w:left w:val="single" w:sz="4" w:space="0" w:color="auto"/>
              <w:right w:val="single" w:sz="4" w:space="0" w:color="auto"/>
            </w:tcBorders>
          </w:tcPr>
          <w:p w14:paraId="3B97AA7E"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286-483</w:t>
            </w:r>
          </w:p>
        </w:tc>
      </w:tr>
      <w:tr w:rsidR="00202B5E" w:rsidRPr="00F22553" w14:paraId="2BD39FED"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tcBorders>
          </w:tcPr>
          <w:p w14:paraId="4140A185" w14:textId="77777777" w:rsidR="00202B5E" w:rsidRPr="00F22553" w:rsidRDefault="00202B5E" w:rsidP="00C84571">
            <w:pPr>
              <w:jc w:val="both"/>
            </w:pPr>
          </w:p>
        </w:tc>
        <w:tc>
          <w:tcPr>
            <w:tcW w:w="425" w:type="dxa"/>
            <w:tcBorders>
              <w:right w:val="single" w:sz="4" w:space="0" w:color="auto"/>
            </w:tcBorders>
          </w:tcPr>
          <w:p w14:paraId="6781550A"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p>
        </w:tc>
        <w:tc>
          <w:tcPr>
            <w:tcW w:w="1276" w:type="dxa"/>
            <w:tcBorders>
              <w:left w:val="single" w:sz="4" w:space="0" w:color="auto"/>
              <w:right w:val="single" w:sz="4" w:space="0" w:color="auto"/>
            </w:tcBorders>
          </w:tcPr>
          <w:p w14:paraId="67A845C9"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after initial PD</w:t>
            </w:r>
          </w:p>
        </w:tc>
        <w:tc>
          <w:tcPr>
            <w:tcW w:w="992" w:type="dxa"/>
            <w:tcBorders>
              <w:left w:val="single" w:sz="4" w:space="0" w:color="auto"/>
              <w:right w:val="single" w:sz="4" w:space="0" w:color="auto"/>
            </w:tcBorders>
          </w:tcPr>
          <w:p w14:paraId="3D8A121A"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3</w:t>
            </w:r>
          </w:p>
        </w:tc>
        <w:tc>
          <w:tcPr>
            <w:tcW w:w="851" w:type="dxa"/>
            <w:tcBorders>
              <w:left w:val="single" w:sz="4" w:space="0" w:color="auto"/>
              <w:right w:val="single" w:sz="4" w:space="0" w:color="auto"/>
            </w:tcBorders>
          </w:tcPr>
          <w:p w14:paraId="74E5405D"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12</w:t>
            </w:r>
            <w:r w:rsidRPr="00F22553">
              <w:t>%</w:t>
            </w:r>
          </w:p>
        </w:tc>
        <w:tc>
          <w:tcPr>
            <w:tcW w:w="1276" w:type="dxa"/>
            <w:gridSpan w:val="2"/>
            <w:tcBorders>
              <w:left w:val="single" w:sz="4" w:space="0" w:color="auto"/>
              <w:right w:val="single" w:sz="4" w:space="0" w:color="auto"/>
            </w:tcBorders>
          </w:tcPr>
          <w:p w14:paraId="19E33695"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303</w:t>
            </w:r>
          </w:p>
        </w:tc>
        <w:tc>
          <w:tcPr>
            <w:tcW w:w="850" w:type="dxa"/>
            <w:gridSpan w:val="2"/>
            <w:tcBorders>
              <w:left w:val="single" w:sz="4" w:space="0" w:color="auto"/>
              <w:right w:val="single" w:sz="4" w:space="0" w:color="auto"/>
            </w:tcBorders>
          </w:tcPr>
          <w:p w14:paraId="3CB1C347"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&gt;129-293+</w:t>
            </w:r>
          </w:p>
        </w:tc>
        <w:tc>
          <w:tcPr>
            <w:tcW w:w="1276" w:type="dxa"/>
            <w:tcBorders>
              <w:left w:val="single" w:sz="4" w:space="0" w:color="auto"/>
              <w:right w:val="single" w:sz="4" w:space="0" w:color="auto"/>
            </w:tcBorders>
          </w:tcPr>
          <w:p w14:paraId="0A9D49C5"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NR(&gt;427)</w:t>
            </w:r>
          </w:p>
        </w:tc>
        <w:tc>
          <w:tcPr>
            <w:tcW w:w="1366" w:type="dxa"/>
            <w:tcBorders>
              <w:left w:val="single" w:sz="4" w:space="0" w:color="auto"/>
              <w:right w:val="single" w:sz="4" w:space="0" w:color="auto"/>
            </w:tcBorders>
          </w:tcPr>
          <w:p w14:paraId="4F23CF46"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303-431</w:t>
            </w:r>
          </w:p>
        </w:tc>
      </w:tr>
      <w:tr w:rsidR="00202B5E" w:rsidRPr="00F22553" w14:paraId="69EA68F9" w14:textId="77777777" w:rsidTr="00C84571">
        <w:tc>
          <w:tcPr>
            <w:cnfStyle w:val="001000000000" w:firstRow="0" w:lastRow="0" w:firstColumn="1" w:lastColumn="0" w:oddVBand="0" w:evenVBand="0" w:oddHBand="0" w:evenHBand="0" w:firstRowFirstColumn="0" w:firstRowLastColumn="0" w:lastRowFirstColumn="0" w:lastRowLastColumn="0"/>
            <w:tcW w:w="704" w:type="dxa"/>
            <w:tcBorders>
              <w:left w:val="single" w:sz="4" w:space="0" w:color="auto"/>
              <w:bottom w:val="single" w:sz="4" w:space="0" w:color="auto"/>
              <w:right w:val="single" w:sz="4" w:space="0" w:color="auto"/>
            </w:tcBorders>
          </w:tcPr>
          <w:p w14:paraId="70AB055C" w14:textId="77777777" w:rsidR="00202B5E" w:rsidRPr="00F22553" w:rsidRDefault="00202B5E" w:rsidP="00C84571">
            <w:pPr>
              <w:jc w:val="both"/>
            </w:pPr>
          </w:p>
        </w:tc>
        <w:tc>
          <w:tcPr>
            <w:tcW w:w="1701" w:type="dxa"/>
            <w:gridSpan w:val="2"/>
            <w:tcBorders>
              <w:left w:val="single" w:sz="4" w:space="0" w:color="auto"/>
              <w:bottom w:val="single" w:sz="4" w:space="0" w:color="auto"/>
              <w:right w:val="single" w:sz="4" w:space="0" w:color="auto"/>
            </w:tcBorders>
          </w:tcPr>
          <w:p w14:paraId="6BF99873"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rPr>
                <w:b/>
                <w:bCs/>
              </w:rPr>
            </w:pPr>
            <w:r w:rsidRPr="00F22553">
              <w:rPr>
                <w:b/>
                <w:bCs/>
              </w:rPr>
              <w:t>PD</w:t>
            </w:r>
          </w:p>
        </w:tc>
        <w:tc>
          <w:tcPr>
            <w:tcW w:w="992" w:type="dxa"/>
            <w:tcBorders>
              <w:left w:val="single" w:sz="4" w:space="0" w:color="auto"/>
              <w:bottom w:val="single" w:sz="4" w:space="0" w:color="auto"/>
              <w:right w:val="single" w:sz="4" w:space="0" w:color="auto"/>
            </w:tcBorders>
          </w:tcPr>
          <w:p w14:paraId="615A61B2"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17</w:t>
            </w:r>
          </w:p>
        </w:tc>
        <w:tc>
          <w:tcPr>
            <w:tcW w:w="851" w:type="dxa"/>
            <w:tcBorders>
              <w:left w:val="single" w:sz="4" w:space="0" w:color="auto"/>
              <w:bottom w:val="single" w:sz="4" w:space="0" w:color="auto"/>
              <w:right w:val="single" w:sz="4" w:space="0" w:color="auto"/>
            </w:tcBorders>
          </w:tcPr>
          <w:p w14:paraId="6362D57C"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68</w:t>
            </w:r>
            <w:r w:rsidRPr="00F22553">
              <w:t>%</w:t>
            </w:r>
          </w:p>
        </w:tc>
        <w:tc>
          <w:tcPr>
            <w:tcW w:w="1276" w:type="dxa"/>
            <w:gridSpan w:val="2"/>
            <w:tcBorders>
              <w:left w:val="single" w:sz="4" w:space="0" w:color="auto"/>
              <w:bottom w:val="single" w:sz="4" w:space="0" w:color="auto"/>
              <w:right w:val="single" w:sz="4" w:space="0" w:color="auto"/>
            </w:tcBorders>
          </w:tcPr>
          <w:p w14:paraId="61A4DE7F"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rsidRPr="00F22553">
              <w:t>6</w:t>
            </w:r>
            <w:r>
              <w:t>3</w:t>
            </w:r>
          </w:p>
        </w:tc>
        <w:tc>
          <w:tcPr>
            <w:tcW w:w="850" w:type="dxa"/>
            <w:gridSpan w:val="2"/>
            <w:tcBorders>
              <w:left w:val="single" w:sz="4" w:space="0" w:color="auto"/>
              <w:right w:val="single" w:sz="4" w:space="0" w:color="auto"/>
            </w:tcBorders>
          </w:tcPr>
          <w:p w14:paraId="0CF88FEC"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7-146</w:t>
            </w:r>
          </w:p>
        </w:tc>
        <w:tc>
          <w:tcPr>
            <w:tcW w:w="1276" w:type="dxa"/>
            <w:tcBorders>
              <w:left w:val="single" w:sz="4" w:space="0" w:color="auto"/>
              <w:right w:val="single" w:sz="4" w:space="0" w:color="auto"/>
            </w:tcBorders>
          </w:tcPr>
          <w:p w14:paraId="36B605C9"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NR(&gt;=163)</w:t>
            </w:r>
          </w:p>
        </w:tc>
        <w:tc>
          <w:tcPr>
            <w:tcW w:w="1366" w:type="dxa"/>
            <w:tcBorders>
              <w:left w:val="single" w:sz="4" w:space="0" w:color="auto"/>
              <w:right w:val="single" w:sz="4" w:space="0" w:color="auto"/>
            </w:tcBorders>
          </w:tcPr>
          <w:p w14:paraId="0008BA94" w14:textId="77777777" w:rsidR="00202B5E" w:rsidRPr="00F22553" w:rsidRDefault="00202B5E" w:rsidP="00C84571">
            <w:pPr>
              <w:jc w:val="both"/>
              <w:cnfStyle w:val="000000000000" w:firstRow="0" w:lastRow="0" w:firstColumn="0" w:lastColumn="0" w:oddVBand="0" w:evenVBand="0" w:oddHBand="0" w:evenHBand="0" w:firstRowFirstColumn="0" w:firstRowLastColumn="0" w:lastRowFirstColumn="0" w:lastRowLastColumn="0"/>
            </w:pPr>
            <w:r>
              <w:t>7-423</w:t>
            </w:r>
          </w:p>
        </w:tc>
      </w:tr>
      <w:tr w:rsidR="00202B5E" w:rsidRPr="00F22553" w14:paraId="65513039" w14:textId="77777777" w:rsidTr="00C84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gridSpan w:val="3"/>
            <w:tcBorders>
              <w:top w:val="single" w:sz="4" w:space="0" w:color="auto"/>
              <w:left w:val="single" w:sz="4" w:space="0" w:color="auto"/>
              <w:bottom w:val="single" w:sz="4" w:space="0" w:color="auto"/>
              <w:right w:val="single" w:sz="4" w:space="0" w:color="auto"/>
            </w:tcBorders>
          </w:tcPr>
          <w:p w14:paraId="60CA14EA" w14:textId="77777777" w:rsidR="00202B5E" w:rsidRPr="00F22553" w:rsidRDefault="00202B5E" w:rsidP="00C84571">
            <w:pPr>
              <w:jc w:val="both"/>
            </w:pPr>
            <w:r w:rsidRPr="00F22553">
              <w:t>Overall</w:t>
            </w:r>
          </w:p>
        </w:tc>
        <w:tc>
          <w:tcPr>
            <w:tcW w:w="992" w:type="dxa"/>
            <w:tcBorders>
              <w:top w:val="single" w:sz="4" w:space="0" w:color="auto"/>
              <w:left w:val="single" w:sz="4" w:space="0" w:color="auto"/>
              <w:bottom w:val="single" w:sz="4" w:space="0" w:color="auto"/>
              <w:right w:val="single" w:sz="4" w:space="0" w:color="auto"/>
            </w:tcBorders>
          </w:tcPr>
          <w:p w14:paraId="4391312B"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25</w:t>
            </w:r>
          </w:p>
        </w:tc>
        <w:tc>
          <w:tcPr>
            <w:tcW w:w="851" w:type="dxa"/>
            <w:tcBorders>
              <w:top w:val="single" w:sz="4" w:space="0" w:color="auto"/>
              <w:left w:val="single" w:sz="4" w:space="0" w:color="auto"/>
              <w:bottom w:val="single" w:sz="4" w:space="0" w:color="auto"/>
              <w:right w:val="single" w:sz="4" w:space="0" w:color="auto"/>
            </w:tcBorders>
          </w:tcPr>
          <w:p w14:paraId="3418287F"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100%</w:t>
            </w:r>
          </w:p>
        </w:tc>
        <w:tc>
          <w:tcPr>
            <w:tcW w:w="1276" w:type="dxa"/>
            <w:gridSpan w:val="2"/>
            <w:tcBorders>
              <w:top w:val="single" w:sz="4" w:space="0" w:color="auto"/>
              <w:left w:val="single" w:sz="4" w:space="0" w:color="auto"/>
              <w:bottom w:val="single" w:sz="4" w:space="0" w:color="auto"/>
              <w:right w:val="single" w:sz="4" w:space="0" w:color="auto"/>
            </w:tcBorders>
          </w:tcPr>
          <w:p w14:paraId="1DD65CDE"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91</w:t>
            </w:r>
          </w:p>
        </w:tc>
        <w:tc>
          <w:tcPr>
            <w:tcW w:w="850" w:type="dxa"/>
            <w:gridSpan w:val="2"/>
            <w:tcBorders>
              <w:top w:val="single" w:sz="4" w:space="0" w:color="auto"/>
              <w:left w:val="single" w:sz="4" w:space="0" w:color="auto"/>
              <w:bottom w:val="single" w:sz="4" w:space="0" w:color="auto"/>
              <w:right w:val="single" w:sz="4" w:space="0" w:color="auto"/>
            </w:tcBorders>
          </w:tcPr>
          <w:p w14:paraId="43B56420"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rsidRPr="00F22553">
              <w:t>9-321+</w:t>
            </w:r>
          </w:p>
        </w:tc>
        <w:tc>
          <w:tcPr>
            <w:tcW w:w="1276" w:type="dxa"/>
            <w:tcBorders>
              <w:top w:val="single" w:sz="4" w:space="0" w:color="auto"/>
              <w:left w:val="single" w:sz="4" w:space="0" w:color="auto"/>
              <w:bottom w:val="single" w:sz="4" w:space="0" w:color="auto"/>
              <w:right w:val="single" w:sz="4" w:space="0" w:color="auto"/>
            </w:tcBorders>
          </w:tcPr>
          <w:p w14:paraId="20CEF14D"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NR(&gt;=225)</w:t>
            </w:r>
          </w:p>
        </w:tc>
        <w:tc>
          <w:tcPr>
            <w:tcW w:w="1366" w:type="dxa"/>
            <w:tcBorders>
              <w:top w:val="single" w:sz="4" w:space="0" w:color="auto"/>
              <w:left w:val="single" w:sz="4" w:space="0" w:color="auto"/>
              <w:bottom w:val="single" w:sz="4" w:space="0" w:color="auto"/>
              <w:right w:val="single" w:sz="4" w:space="0" w:color="auto"/>
            </w:tcBorders>
          </w:tcPr>
          <w:p w14:paraId="3E0BCA00" w14:textId="77777777" w:rsidR="00202B5E" w:rsidRPr="00F22553" w:rsidRDefault="00202B5E" w:rsidP="00C84571">
            <w:pPr>
              <w:jc w:val="both"/>
              <w:cnfStyle w:val="000000100000" w:firstRow="0" w:lastRow="0" w:firstColumn="0" w:lastColumn="0" w:oddVBand="0" w:evenVBand="0" w:oddHBand="1" w:evenHBand="0" w:firstRowFirstColumn="0" w:firstRowLastColumn="0" w:lastRowFirstColumn="0" w:lastRowLastColumn="0"/>
            </w:pPr>
            <w:r>
              <w:t>7-498</w:t>
            </w:r>
          </w:p>
        </w:tc>
      </w:tr>
    </w:tbl>
    <w:p w14:paraId="33086AC2" w14:textId="77777777" w:rsidR="00F22553" w:rsidRPr="00F22553" w:rsidRDefault="00F22553" w:rsidP="00F22553">
      <w:r w:rsidRPr="00F22553">
        <w:br w:type="page"/>
      </w:r>
    </w:p>
    <w:p w14:paraId="64F455F6" w14:textId="77777777" w:rsidR="00F22553" w:rsidRPr="00F22553" w:rsidRDefault="00F22553" w:rsidP="00F22553">
      <w:r w:rsidRPr="00F22553">
        <w:rPr>
          <w:b/>
        </w:rPr>
        <w:lastRenderedPageBreak/>
        <w:t>Table 3</w:t>
      </w:r>
      <w:r w:rsidRPr="00F22553">
        <w:t>: Treatment related adverse events</w:t>
      </w:r>
    </w:p>
    <w:tbl>
      <w:tblPr>
        <w:tblStyle w:val="ListTable4-Accent3"/>
        <w:tblW w:w="0" w:type="auto"/>
        <w:tblInd w:w="113" w:type="dxa"/>
        <w:tblLook w:val="04A0" w:firstRow="1" w:lastRow="0" w:firstColumn="1" w:lastColumn="0" w:noHBand="0" w:noVBand="1"/>
      </w:tblPr>
      <w:tblGrid>
        <w:gridCol w:w="2740"/>
        <w:gridCol w:w="6"/>
        <w:gridCol w:w="1566"/>
        <w:gridCol w:w="507"/>
        <w:gridCol w:w="1061"/>
        <w:gridCol w:w="251"/>
        <w:gridCol w:w="1317"/>
        <w:gridCol w:w="17"/>
        <w:gridCol w:w="1551"/>
      </w:tblGrid>
      <w:tr w:rsidR="00F06FF8" w:rsidRPr="00F22553" w14:paraId="3EDCD5CE" w14:textId="77777777" w:rsidTr="00F06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gridSpan w:val="4"/>
            <w:tcBorders>
              <w:top w:val="single" w:sz="4" w:space="0" w:color="auto"/>
              <w:left w:val="single" w:sz="4" w:space="0" w:color="auto"/>
              <w:bottom w:val="single" w:sz="4" w:space="0" w:color="auto"/>
            </w:tcBorders>
          </w:tcPr>
          <w:p w14:paraId="458042F8" w14:textId="77777777" w:rsidR="00F06FF8" w:rsidRPr="00F22553" w:rsidRDefault="00F06FF8" w:rsidP="00953AC5">
            <w:pPr>
              <w:jc w:val="both"/>
            </w:pPr>
            <w:r w:rsidRPr="00F22553">
              <w:t>Table 3: Treatment related adverse events</w:t>
            </w:r>
          </w:p>
        </w:tc>
        <w:tc>
          <w:tcPr>
            <w:tcW w:w="1312" w:type="dxa"/>
            <w:gridSpan w:val="2"/>
            <w:tcBorders>
              <w:top w:val="single" w:sz="4" w:space="0" w:color="auto"/>
              <w:bottom w:val="single" w:sz="4" w:space="0" w:color="auto"/>
            </w:tcBorders>
          </w:tcPr>
          <w:p w14:paraId="6495F6BD" w14:textId="77777777" w:rsidR="00F06FF8" w:rsidRPr="00F22553" w:rsidRDefault="00F06FF8" w:rsidP="00953AC5">
            <w:pPr>
              <w:jc w:val="both"/>
              <w:cnfStyle w:val="100000000000" w:firstRow="1" w:lastRow="0" w:firstColumn="0" w:lastColumn="0" w:oddVBand="0" w:evenVBand="0" w:oddHBand="0" w:evenHBand="0" w:firstRowFirstColumn="0" w:firstRowLastColumn="0" w:lastRowFirstColumn="0" w:lastRowLastColumn="0"/>
            </w:pPr>
          </w:p>
        </w:tc>
        <w:tc>
          <w:tcPr>
            <w:tcW w:w="1334" w:type="dxa"/>
            <w:gridSpan w:val="2"/>
            <w:tcBorders>
              <w:top w:val="single" w:sz="4" w:space="0" w:color="auto"/>
              <w:bottom w:val="single" w:sz="4" w:space="0" w:color="auto"/>
            </w:tcBorders>
          </w:tcPr>
          <w:p w14:paraId="682797E9" w14:textId="77777777" w:rsidR="00F06FF8" w:rsidRPr="00F22553" w:rsidRDefault="00F06FF8" w:rsidP="00953AC5">
            <w:pPr>
              <w:jc w:val="both"/>
              <w:cnfStyle w:val="100000000000" w:firstRow="1" w:lastRow="0" w:firstColumn="0" w:lastColumn="0" w:oddVBand="0" w:evenVBand="0" w:oddHBand="0" w:evenHBand="0" w:firstRowFirstColumn="0" w:firstRowLastColumn="0" w:lastRowFirstColumn="0" w:lastRowLastColumn="0"/>
            </w:pPr>
          </w:p>
        </w:tc>
        <w:tc>
          <w:tcPr>
            <w:tcW w:w="1551" w:type="dxa"/>
            <w:tcBorders>
              <w:top w:val="single" w:sz="4" w:space="0" w:color="auto"/>
              <w:bottom w:val="single" w:sz="4" w:space="0" w:color="auto"/>
              <w:right w:val="single" w:sz="4" w:space="0" w:color="auto"/>
            </w:tcBorders>
          </w:tcPr>
          <w:p w14:paraId="51FBAB06" w14:textId="77777777" w:rsidR="00F06FF8" w:rsidRPr="00F22553" w:rsidRDefault="00F06FF8" w:rsidP="00953AC5">
            <w:pPr>
              <w:jc w:val="both"/>
              <w:cnfStyle w:val="100000000000" w:firstRow="1" w:lastRow="0" w:firstColumn="0" w:lastColumn="0" w:oddVBand="0" w:evenVBand="0" w:oddHBand="0" w:evenHBand="0" w:firstRowFirstColumn="0" w:firstRowLastColumn="0" w:lastRowFirstColumn="0" w:lastRowLastColumn="0"/>
            </w:pPr>
          </w:p>
        </w:tc>
      </w:tr>
      <w:tr w:rsidR="00F06FF8" w:rsidRPr="00F22553" w14:paraId="7C39EA64" w14:textId="77777777" w:rsidTr="00F06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gridSpan w:val="2"/>
            <w:tcBorders>
              <w:top w:val="single" w:sz="4" w:space="0" w:color="auto"/>
              <w:left w:val="single" w:sz="4" w:space="0" w:color="auto"/>
              <w:bottom w:val="single" w:sz="4" w:space="0" w:color="auto"/>
              <w:right w:val="single" w:sz="4" w:space="0" w:color="auto"/>
            </w:tcBorders>
          </w:tcPr>
          <w:p w14:paraId="39030465" w14:textId="77777777" w:rsidR="00F06FF8" w:rsidRPr="00F22553" w:rsidRDefault="00F06FF8" w:rsidP="00953AC5">
            <w:pPr>
              <w:jc w:val="both"/>
            </w:pPr>
            <w:r w:rsidRPr="00F22553">
              <w:t>AE</w:t>
            </w:r>
          </w:p>
        </w:tc>
        <w:tc>
          <w:tcPr>
            <w:tcW w:w="3134" w:type="dxa"/>
            <w:gridSpan w:val="3"/>
            <w:tcBorders>
              <w:top w:val="single" w:sz="4" w:space="0" w:color="auto"/>
              <w:left w:val="single" w:sz="4" w:space="0" w:color="auto"/>
              <w:bottom w:val="single" w:sz="4" w:space="0" w:color="auto"/>
              <w:right w:val="single" w:sz="4" w:space="0" w:color="auto"/>
            </w:tcBorders>
            <w:vAlign w:val="center"/>
          </w:tcPr>
          <w:p w14:paraId="43CC7840" w14:textId="77777777" w:rsidR="00F06FF8" w:rsidRPr="00F22553" w:rsidRDefault="00F06FF8" w:rsidP="00953AC5">
            <w:pPr>
              <w:jc w:val="center"/>
              <w:cnfStyle w:val="000000100000" w:firstRow="0" w:lastRow="0" w:firstColumn="0" w:lastColumn="0" w:oddVBand="0" w:evenVBand="0" w:oddHBand="1" w:evenHBand="0" w:firstRowFirstColumn="0" w:firstRowLastColumn="0" w:lastRowFirstColumn="0" w:lastRowLastColumn="0"/>
              <w:rPr>
                <w:b/>
              </w:rPr>
            </w:pPr>
            <w:r w:rsidRPr="00F22553">
              <w:rPr>
                <w:b/>
                <w:bCs/>
              </w:rPr>
              <w:t>Any Grade</w:t>
            </w:r>
          </w:p>
        </w:tc>
        <w:tc>
          <w:tcPr>
            <w:tcW w:w="3136" w:type="dxa"/>
            <w:gridSpan w:val="4"/>
            <w:tcBorders>
              <w:top w:val="single" w:sz="4" w:space="0" w:color="auto"/>
              <w:left w:val="single" w:sz="4" w:space="0" w:color="auto"/>
              <w:bottom w:val="single" w:sz="4" w:space="0" w:color="auto"/>
              <w:right w:val="single" w:sz="4" w:space="0" w:color="auto"/>
            </w:tcBorders>
            <w:vAlign w:val="center"/>
          </w:tcPr>
          <w:p w14:paraId="162DF5C3" w14:textId="77777777" w:rsidR="00F06FF8" w:rsidRPr="00F22553" w:rsidRDefault="00F06FF8" w:rsidP="00953AC5">
            <w:pPr>
              <w:jc w:val="center"/>
              <w:cnfStyle w:val="000000100000" w:firstRow="0" w:lastRow="0" w:firstColumn="0" w:lastColumn="0" w:oddVBand="0" w:evenVBand="0" w:oddHBand="1" w:evenHBand="0" w:firstRowFirstColumn="0" w:firstRowLastColumn="0" w:lastRowFirstColumn="0" w:lastRowLastColumn="0"/>
              <w:rPr>
                <w:b/>
              </w:rPr>
            </w:pPr>
            <w:r w:rsidRPr="00F22553">
              <w:rPr>
                <w:b/>
              </w:rPr>
              <w:t>Grade 3-4</w:t>
            </w:r>
          </w:p>
        </w:tc>
      </w:tr>
      <w:tr w:rsidR="00F06FF8" w:rsidRPr="00F22553" w14:paraId="58666A48" w14:textId="77777777" w:rsidTr="00F06FF8">
        <w:tc>
          <w:tcPr>
            <w:cnfStyle w:val="001000000000" w:firstRow="0" w:lastRow="0" w:firstColumn="1" w:lastColumn="0" w:oddVBand="0" w:evenVBand="0" w:oddHBand="0" w:evenHBand="0" w:firstRowFirstColumn="0" w:firstRowLastColumn="0" w:lastRowFirstColumn="0" w:lastRowLastColumn="0"/>
            <w:tcW w:w="2746" w:type="dxa"/>
            <w:gridSpan w:val="2"/>
            <w:tcBorders>
              <w:top w:val="single" w:sz="4" w:space="0" w:color="auto"/>
              <w:left w:val="single" w:sz="4" w:space="0" w:color="auto"/>
              <w:bottom w:val="single" w:sz="4" w:space="0" w:color="auto"/>
              <w:right w:val="single" w:sz="4" w:space="0" w:color="auto"/>
            </w:tcBorders>
          </w:tcPr>
          <w:p w14:paraId="54E1F324" w14:textId="77777777" w:rsidR="00F06FF8" w:rsidRPr="00F22553" w:rsidRDefault="00F06FF8" w:rsidP="00953AC5">
            <w:pPr>
              <w:jc w:val="both"/>
            </w:pPr>
          </w:p>
        </w:tc>
        <w:tc>
          <w:tcPr>
            <w:tcW w:w="1566" w:type="dxa"/>
            <w:tcBorders>
              <w:top w:val="single" w:sz="4" w:space="0" w:color="auto"/>
              <w:left w:val="single" w:sz="4" w:space="0" w:color="auto"/>
              <w:bottom w:val="single" w:sz="4" w:space="0" w:color="auto"/>
              <w:right w:val="single" w:sz="4" w:space="0" w:color="auto"/>
            </w:tcBorders>
          </w:tcPr>
          <w:p w14:paraId="7B398CCF"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bCs/>
              </w:rPr>
            </w:pPr>
            <w:r w:rsidRPr="00F22553">
              <w:t xml:space="preserve">No of patients </w:t>
            </w:r>
          </w:p>
        </w:tc>
        <w:tc>
          <w:tcPr>
            <w:tcW w:w="1568" w:type="dxa"/>
            <w:gridSpan w:val="2"/>
            <w:tcBorders>
              <w:top w:val="single" w:sz="4" w:space="0" w:color="auto"/>
              <w:left w:val="single" w:sz="4" w:space="0" w:color="auto"/>
              <w:bottom w:val="single" w:sz="4" w:space="0" w:color="auto"/>
              <w:right w:val="single" w:sz="4" w:space="0" w:color="auto"/>
            </w:tcBorders>
          </w:tcPr>
          <w:p w14:paraId="69DBCE25"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rPr>
            </w:pPr>
            <w:r w:rsidRPr="00F22553">
              <w:rPr>
                <w:b/>
              </w:rPr>
              <w:t>%</w:t>
            </w:r>
          </w:p>
        </w:tc>
        <w:tc>
          <w:tcPr>
            <w:tcW w:w="1568" w:type="dxa"/>
            <w:gridSpan w:val="2"/>
            <w:tcBorders>
              <w:top w:val="single" w:sz="4" w:space="0" w:color="auto"/>
              <w:left w:val="single" w:sz="4" w:space="0" w:color="auto"/>
              <w:bottom w:val="single" w:sz="4" w:space="0" w:color="auto"/>
              <w:right w:val="single" w:sz="4" w:space="0" w:color="auto"/>
            </w:tcBorders>
          </w:tcPr>
          <w:p w14:paraId="30803F7A"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rPr>
            </w:pPr>
            <w:r w:rsidRPr="00F22553">
              <w:t xml:space="preserve">No of patients </w:t>
            </w:r>
          </w:p>
        </w:tc>
        <w:tc>
          <w:tcPr>
            <w:tcW w:w="1568" w:type="dxa"/>
            <w:gridSpan w:val="2"/>
            <w:tcBorders>
              <w:top w:val="single" w:sz="4" w:space="0" w:color="auto"/>
              <w:left w:val="single" w:sz="4" w:space="0" w:color="auto"/>
              <w:bottom w:val="single" w:sz="4" w:space="0" w:color="auto"/>
              <w:right w:val="single" w:sz="4" w:space="0" w:color="auto"/>
            </w:tcBorders>
          </w:tcPr>
          <w:p w14:paraId="43100396"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rPr>
            </w:pPr>
            <w:r w:rsidRPr="00F22553">
              <w:rPr>
                <w:b/>
              </w:rPr>
              <w:t>%</w:t>
            </w:r>
          </w:p>
        </w:tc>
      </w:tr>
      <w:tr w:rsidR="00F06FF8" w:rsidRPr="00F22553" w14:paraId="4C5B6196" w14:textId="77777777" w:rsidTr="00F06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gridSpan w:val="2"/>
            <w:tcBorders>
              <w:top w:val="single" w:sz="4" w:space="0" w:color="auto"/>
              <w:left w:val="single" w:sz="4" w:space="0" w:color="auto"/>
              <w:right w:val="single" w:sz="4" w:space="0" w:color="auto"/>
            </w:tcBorders>
          </w:tcPr>
          <w:p w14:paraId="6C082F5C" w14:textId="77777777" w:rsidR="00F06FF8" w:rsidRPr="00F22553" w:rsidRDefault="00F06FF8" w:rsidP="00953AC5">
            <w:pPr>
              <w:jc w:val="both"/>
            </w:pPr>
            <w:r w:rsidRPr="00F22553">
              <w:t>Fatigue</w:t>
            </w:r>
          </w:p>
        </w:tc>
        <w:tc>
          <w:tcPr>
            <w:tcW w:w="1566" w:type="dxa"/>
            <w:tcBorders>
              <w:top w:val="single" w:sz="4" w:space="0" w:color="auto"/>
              <w:left w:val="single" w:sz="4" w:space="0" w:color="auto"/>
              <w:right w:val="single" w:sz="4" w:space="0" w:color="auto"/>
            </w:tcBorders>
          </w:tcPr>
          <w:p w14:paraId="110DC925"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rPr>
                <w:b/>
                <w:bCs/>
              </w:rPr>
            </w:pPr>
            <w:r>
              <w:rPr>
                <w:b/>
                <w:bCs/>
              </w:rPr>
              <w:t>8</w:t>
            </w:r>
          </w:p>
        </w:tc>
        <w:tc>
          <w:tcPr>
            <w:tcW w:w="1568" w:type="dxa"/>
            <w:gridSpan w:val="2"/>
            <w:tcBorders>
              <w:top w:val="single" w:sz="4" w:space="0" w:color="auto"/>
              <w:left w:val="single" w:sz="4" w:space="0" w:color="auto"/>
              <w:right w:val="single" w:sz="4" w:space="0" w:color="auto"/>
            </w:tcBorders>
          </w:tcPr>
          <w:p w14:paraId="58EA597F"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3</w:t>
            </w:r>
            <w:r>
              <w:t>2</w:t>
            </w:r>
            <w:r w:rsidRPr="00F22553">
              <w:t>%</w:t>
            </w:r>
          </w:p>
        </w:tc>
        <w:tc>
          <w:tcPr>
            <w:tcW w:w="1568" w:type="dxa"/>
            <w:gridSpan w:val="2"/>
            <w:tcBorders>
              <w:top w:val="single" w:sz="4" w:space="0" w:color="auto"/>
              <w:left w:val="single" w:sz="4" w:space="0" w:color="auto"/>
              <w:right w:val="single" w:sz="4" w:space="0" w:color="auto"/>
            </w:tcBorders>
          </w:tcPr>
          <w:p w14:paraId="31783ACC"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1</w:t>
            </w:r>
          </w:p>
        </w:tc>
        <w:tc>
          <w:tcPr>
            <w:tcW w:w="1568" w:type="dxa"/>
            <w:gridSpan w:val="2"/>
            <w:tcBorders>
              <w:top w:val="single" w:sz="4" w:space="0" w:color="auto"/>
              <w:left w:val="single" w:sz="4" w:space="0" w:color="auto"/>
              <w:right w:val="single" w:sz="4" w:space="0" w:color="auto"/>
            </w:tcBorders>
          </w:tcPr>
          <w:p w14:paraId="6C747FE5"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t>4</w:t>
            </w:r>
            <w:r w:rsidRPr="00F22553">
              <w:t>%</w:t>
            </w:r>
          </w:p>
        </w:tc>
      </w:tr>
      <w:tr w:rsidR="00F06FF8" w:rsidRPr="00F22553" w14:paraId="24BA793C" w14:textId="77777777" w:rsidTr="00F06FF8">
        <w:tc>
          <w:tcPr>
            <w:cnfStyle w:val="001000000000" w:firstRow="0" w:lastRow="0" w:firstColumn="1" w:lastColumn="0" w:oddVBand="0" w:evenVBand="0" w:oddHBand="0" w:evenHBand="0" w:firstRowFirstColumn="0" w:firstRowLastColumn="0" w:lastRowFirstColumn="0" w:lastRowLastColumn="0"/>
            <w:tcW w:w="2746" w:type="dxa"/>
            <w:gridSpan w:val="2"/>
            <w:tcBorders>
              <w:left w:val="single" w:sz="4" w:space="0" w:color="auto"/>
              <w:right w:val="single" w:sz="4" w:space="0" w:color="auto"/>
            </w:tcBorders>
          </w:tcPr>
          <w:p w14:paraId="68BB98D2" w14:textId="77777777" w:rsidR="00F06FF8" w:rsidRPr="00F22553" w:rsidRDefault="00F06FF8" w:rsidP="00953AC5">
            <w:pPr>
              <w:jc w:val="both"/>
            </w:pPr>
            <w:r w:rsidRPr="00F22553">
              <w:t>Rash</w:t>
            </w:r>
          </w:p>
        </w:tc>
        <w:tc>
          <w:tcPr>
            <w:tcW w:w="1566" w:type="dxa"/>
            <w:tcBorders>
              <w:left w:val="single" w:sz="4" w:space="0" w:color="auto"/>
              <w:right w:val="single" w:sz="4" w:space="0" w:color="auto"/>
            </w:tcBorders>
          </w:tcPr>
          <w:p w14:paraId="7FE2AE9D"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bCs/>
              </w:rPr>
            </w:pPr>
            <w:r>
              <w:rPr>
                <w:b/>
                <w:bCs/>
              </w:rPr>
              <w:t>6</w:t>
            </w:r>
          </w:p>
        </w:tc>
        <w:tc>
          <w:tcPr>
            <w:tcW w:w="1568" w:type="dxa"/>
            <w:gridSpan w:val="2"/>
            <w:tcBorders>
              <w:left w:val="single" w:sz="4" w:space="0" w:color="auto"/>
              <w:right w:val="single" w:sz="4" w:space="0" w:color="auto"/>
            </w:tcBorders>
          </w:tcPr>
          <w:p w14:paraId="3651C6AE"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rsidRPr="00F22553">
              <w:t>24%</w:t>
            </w:r>
          </w:p>
        </w:tc>
        <w:tc>
          <w:tcPr>
            <w:tcW w:w="1568" w:type="dxa"/>
            <w:gridSpan w:val="2"/>
            <w:tcBorders>
              <w:left w:val="single" w:sz="4" w:space="0" w:color="auto"/>
              <w:right w:val="single" w:sz="4" w:space="0" w:color="auto"/>
            </w:tcBorders>
          </w:tcPr>
          <w:p w14:paraId="7A3FCE9C"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1</w:t>
            </w:r>
          </w:p>
        </w:tc>
        <w:tc>
          <w:tcPr>
            <w:tcW w:w="1568" w:type="dxa"/>
            <w:gridSpan w:val="2"/>
            <w:tcBorders>
              <w:left w:val="single" w:sz="4" w:space="0" w:color="auto"/>
              <w:right w:val="single" w:sz="4" w:space="0" w:color="auto"/>
            </w:tcBorders>
          </w:tcPr>
          <w:p w14:paraId="7CE628DC"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4</w:t>
            </w:r>
            <w:r w:rsidRPr="00F22553">
              <w:t>%</w:t>
            </w:r>
          </w:p>
        </w:tc>
      </w:tr>
      <w:tr w:rsidR="00F06FF8" w:rsidRPr="00F22553" w14:paraId="55FB29F5" w14:textId="77777777" w:rsidTr="00F06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gridSpan w:val="2"/>
            <w:tcBorders>
              <w:left w:val="single" w:sz="4" w:space="0" w:color="auto"/>
              <w:right w:val="single" w:sz="4" w:space="0" w:color="auto"/>
            </w:tcBorders>
          </w:tcPr>
          <w:p w14:paraId="20C9A946" w14:textId="77777777" w:rsidR="00F06FF8" w:rsidRPr="00F22553" w:rsidRDefault="00F06FF8" w:rsidP="00953AC5">
            <w:pPr>
              <w:jc w:val="both"/>
            </w:pPr>
            <w:r w:rsidRPr="00F22553">
              <w:t>Pruritus</w:t>
            </w:r>
          </w:p>
        </w:tc>
        <w:tc>
          <w:tcPr>
            <w:tcW w:w="1566" w:type="dxa"/>
            <w:tcBorders>
              <w:left w:val="single" w:sz="4" w:space="0" w:color="auto"/>
              <w:right w:val="single" w:sz="4" w:space="0" w:color="auto"/>
            </w:tcBorders>
          </w:tcPr>
          <w:p w14:paraId="736F97ED"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rPr>
                <w:b/>
                <w:bCs/>
              </w:rPr>
            </w:pPr>
            <w:r>
              <w:rPr>
                <w:b/>
                <w:bCs/>
              </w:rPr>
              <w:t>5</w:t>
            </w:r>
          </w:p>
        </w:tc>
        <w:tc>
          <w:tcPr>
            <w:tcW w:w="1568" w:type="dxa"/>
            <w:gridSpan w:val="2"/>
            <w:tcBorders>
              <w:left w:val="single" w:sz="4" w:space="0" w:color="auto"/>
              <w:right w:val="single" w:sz="4" w:space="0" w:color="auto"/>
            </w:tcBorders>
          </w:tcPr>
          <w:p w14:paraId="1B245377"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2</w:t>
            </w:r>
            <w:r>
              <w:t>0</w:t>
            </w:r>
            <w:r w:rsidRPr="00F22553">
              <w:t>%</w:t>
            </w:r>
          </w:p>
        </w:tc>
        <w:tc>
          <w:tcPr>
            <w:tcW w:w="1568" w:type="dxa"/>
            <w:gridSpan w:val="2"/>
            <w:tcBorders>
              <w:left w:val="single" w:sz="4" w:space="0" w:color="auto"/>
              <w:right w:val="single" w:sz="4" w:space="0" w:color="auto"/>
            </w:tcBorders>
          </w:tcPr>
          <w:p w14:paraId="5BA2B327"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t>1</w:t>
            </w:r>
          </w:p>
        </w:tc>
        <w:tc>
          <w:tcPr>
            <w:tcW w:w="1568" w:type="dxa"/>
            <w:gridSpan w:val="2"/>
            <w:tcBorders>
              <w:left w:val="single" w:sz="4" w:space="0" w:color="auto"/>
              <w:right w:val="single" w:sz="4" w:space="0" w:color="auto"/>
            </w:tcBorders>
          </w:tcPr>
          <w:p w14:paraId="0BBFBE7B"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t>4</w:t>
            </w:r>
            <w:r w:rsidRPr="00F22553">
              <w:t>%</w:t>
            </w:r>
          </w:p>
        </w:tc>
      </w:tr>
      <w:tr w:rsidR="00F06FF8" w:rsidRPr="00F22553" w14:paraId="353A481B" w14:textId="77777777" w:rsidTr="00F06FF8">
        <w:tc>
          <w:tcPr>
            <w:cnfStyle w:val="001000000000" w:firstRow="0" w:lastRow="0" w:firstColumn="1" w:lastColumn="0" w:oddVBand="0" w:evenVBand="0" w:oddHBand="0" w:evenHBand="0" w:firstRowFirstColumn="0" w:firstRowLastColumn="0" w:lastRowFirstColumn="0" w:lastRowLastColumn="0"/>
            <w:tcW w:w="2746" w:type="dxa"/>
            <w:gridSpan w:val="2"/>
            <w:tcBorders>
              <w:left w:val="single" w:sz="4" w:space="0" w:color="auto"/>
              <w:right w:val="single" w:sz="4" w:space="0" w:color="auto"/>
            </w:tcBorders>
          </w:tcPr>
          <w:p w14:paraId="1F857B77" w14:textId="77777777" w:rsidR="00F06FF8" w:rsidRPr="00F22553" w:rsidRDefault="00F06FF8" w:rsidP="00953AC5">
            <w:pPr>
              <w:jc w:val="both"/>
            </w:pPr>
            <w:r w:rsidRPr="00F22553">
              <w:t>Diarrhoea</w:t>
            </w:r>
          </w:p>
        </w:tc>
        <w:tc>
          <w:tcPr>
            <w:tcW w:w="1566" w:type="dxa"/>
            <w:tcBorders>
              <w:left w:val="single" w:sz="4" w:space="0" w:color="auto"/>
              <w:right w:val="single" w:sz="4" w:space="0" w:color="auto"/>
            </w:tcBorders>
          </w:tcPr>
          <w:p w14:paraId="5EDE4771"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bCs/>
              </w:rPr>
            </w:pPr>
            <w:r>
              <w:rPr>
                <w:b/>
                <w:bCs/>
              </w:rPr>
              <w:t>4</w:t>
            </w:r>
          </w:p>
        </w:tc>
        <w:tc>
          <w:tcPr>
            <w:tcW w:w="1568" w:type="dxa"/>
            <w:gridSpan w:val="2"/>
            <w:tcBorders>
              <w:left w:val="single" w:sz="4" w:space="0" w:color="auto"/>
              <w:right w:val="single" w:sz="4" w:space="0" w:color="auto"/>
            </w:tcBorders>
          </w:tcPr>
          <w:p w14:paraId="10679145"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rsidRPr="00F22553">
              <w:t>1</w:t>
            </w:r>
            <w:r>
              <w:t>6</w:t>
            </w:r>
            <w:r w:rsidRPr="00F22553">
              <w:t>%</w:t>
            </w:r>
          </w:p>
        </w:tc>
        <w:tc>
          <w:tcPr>
            <w:tcW w:w="1568" w:type="dxa"/>
            <w:gridSpan w:val="2"/>
            <w:tcBorders>
              <w:left w:val="single" w:sz="4" w:space="0" w:color="auto"/>
              <w:right w:val="single" w:sz="4" w:space="0" w:color="auto"/>
            </w:tcBorders>
          </w:tcPr>
          <w:p w14:paraId="703CC806"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rsidRPr="00F22553">
              <w:t>1</w:t>
            </w:r>
          </w:p>
        </w:tc>
        <w:tc>
          <w:tcPr>
            <w:tcW w:w="1568" w:type="dxa"/>
            <w:gridSpan w:val="2"/>
            <w:tcBorders>
              <w:left w:val="single" w:sz="4" w:space="0" w:color="auto"/>
              <w:right w:val="single" w:sz="4" w:space="0" w:color="auto"/>
            </w:tcBorders>
          </w:tcPr>
          <w:p w14:paraId="66D284B7"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4</w:t>
            </w:r>
            <w:r w:rsidRPr="00F22553">
              <w:t>%</w:t>
            </w:r>
          </w:p>
        </w:tc>
      </w:tr>
      <w:tr w:rsidR="00F06FF8" w:rsidRPr="00F22553" w14:paraId="496976AC" w14:textId="77777777" w:rsidTr="00F06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6" w:type="dxa"/>
            <w:gridSpan w:val="2"/>
            <w:tcBorders>
              <w:left w:val="single" w:sz="4" w:space="0" w:color="auto"/>
              <w:right w:val="single" w:sz="4" w:space="0" w:color="auto"/>
            </w:tcBorders>
          </w:tcPr>
          <w:p w14:paraId="17ED15AB" w14:textId="77777777" w:rsidR="00F06FF8" w:rsidRPr="00F22553" w:rsidRDefault="00F06FF8" w:rsidP="00953AC5">
            <w:pPr>
              <w:jc w:val="both"/>
            </w:pPr>
            <w:r w:rsidRPr="00F22553">
              <w:t>Hypophysitis</w:t>
            </w:r>
          </w:p>
        </w:tc>
        <w:tc>
          <w:tcPr>
            <w:tcW w:w="1566" w:type="dxa"/>
            <w:tcBorders>
              <w:left w:val="single" w:sz="4" w:space="0" w:color="auto"/>
              <w:right w:val="single" w:sz="4" w:space="0" w:color="auto"/>
            </w:tcBorders>
          </w:tcPr>
          <w:p w14:paraId="7D64FD23"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2</w:t>
            </w:r>
          </w:p>
        </w:tc>
        <w:tc>
          <w:tcPr>
            <w:tcW w:w="1568" w:type="dxa"/>
            <w:gridSpan w:val="2"/>
            <w:tcBorders>
              <w:left w:val="single" w:sz="4" w:space="0" w:color="auto"/>
              <w:right w:val="single" w:sz="4" w:space="0" w:color="auto"/>
            </w:tcBorders>
          </w:tcPr>
          <w:p w14:paraId="26501483"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12%</w:t>
            </w:r>
          </w:p>
        </w:tc>
        <w:tc>
          <w:tcPr>
            <w:tcW w:w="1568" w:type="dxa"/>
            <w:gridSpan w:val="2"/>
            <w:tcBorders>
              <w:left w:val="single" w:sz="4" w:space="0" w:color="auto"/>
              <w:right w:val="single" w:sz="4" w:space="0" w:color="auto"/>
            </w:tcBorders>
          </w:tcPr>
          <w:p w14:paraId="692FB589"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2</w:t>
            </w:r>
          </w:p>
        </w:tc>
        <w:tc>
          <w:tcPr>
            <w:tcW w:w="1568" w:type="dxa"/>
            <w:gridSpan w:val="2"/>
            <w:tcBorders>
              <w:left w:val="single" w:sz="4" w:space="0" w:color="auto"/>
              <w:right w:val="single" w:sz="4" w:space="0" w:color="auto"/>
            </w:tcBorders>
          </w:tcPr>
          <w:p w14:paraId="665441B4"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t>8</w:t>
            </w:r>
            <w:r w:rsidRPr="00F22553">
              <w:t>%</w:t>
            </w:r>
          </w:p>
        </w:tc>
      </w:tr>
      <w:tr w:rsidR="00F06FF8" w:rsidRPr="00F22553" w14:paraId="313ACB7F" w14:textId="77777777" w:rsidTr="00F06FF8">
        <w:tc>
          <w:tcPr>
            <w:cnfStyle w:val="001000000000" w:firstRow="0" w:lastRow="0" w:firstColumn="1" w:lastColumn="0" w:oddVBand="0" w:evenVBand="0" w:oddHBand="0" w:evenHBand="0" w:firstRowFirstColumn="0" w:firstRowLastColumn="0" w:lastRowFirstColumn="0" w:lastRowLastColumn="0"/>
            <w:tcW w:w="2740" w:type="dxa"/>
            <w:tcBorders>
              <w:left w:val="single" w:sz="4" w:space="0" w:color="auto"/>
              <w:right w:val="single" w:sz="4" w:space="0" w:color="auto"/>
            </w:tcBorders>
          </w:tcPr>
          <w:p w14:paraId="6DFA8DFB" w14:textId="77777777" w:rsidR="00F06FF8" w:rsidRPr="00F22553" w:rsidRDefault="00F06FF8" w:rsidP="00953AC5">
            <w:pPr>
              <w:jc w:val="both"/>
            </w:pPr>
            <w:r w:rsidRPr="00F22553">
              <w:t>Transaminitis</w:t>
            </w:r>
          </w:p>
        </w:tc>
        <w:tc>
          <w:tcPr>
            <w:tcW w:w="1572" w:type="dxa"/>
            <w:gridSpan w:val="2"/>
            <w:tcBorders>
              <w:left w:val="single" w:sz="4" w:space="0" w:color="auto"/>
              <w:right w:val="single" w:sz="4" w:space="0" w:color="auto"/>
            </w:tcBorders>
          </w:tcPr>
          <w:p w14:paraId="4025CCCC"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bCs/>
              </w:rPr>
            </w:pPr>
            <w:r w:rsidRPr="00F22553">
              <w:rPr>
                <w:b/>
                <w:bCs/>
              </w:rPr>
              <w:t>1</w:t>
            </w:r>
          </w:p>
        </w:tc>
        <w:tc>
          <w:tcPr>
            <w:tcW w:w="1568" w:type="dxa"/>
            <w:gridSpan w:val="2"/>
            <w:tcBorders>
              <w:left w:val="single" w:sz="4" w:space="0" w:color="auto"/>
              <w:right w:val="single" w:sz="4" w:space="0" w:color="auto"/>
            </w:tcBorders>
          </w:tcPr>
          <w:p w14:paraId="052E7645"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4</w:t>
            </w:r>
            <w:r w:rsidRPr="00F22553">
              <w:t>%</w:t>
            </w:r>
          </w:p>
        </w:tc>
        <w:tc>
          <w:tcPr>
            <w:tcW w:w="1568" w:type="dxa"/>
            <w:gridSpan w:val="2"/>
            <w:tcBorders>
              <w:left w:val="single" w:sz="4" w:space="0" w:color="auto"/>
              <w:right w:val="single" w:sz="4" w:space="0" w:color="auto"/>
            </w:tcBorders>
          </w:tcPr>
          <w:p w14:paraId="627BE578"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rsidRPr="00F22553">
              <w:t>1</w:t>
            </w:r>
          </w:p>
        </w:tc>
        <w:tc>
          <w:tcPr>
            <w:tcW w:w="1568" w:type="dxa"/>
            <w:gridSpan w:val="2"/>
            <w:tcBorders>
              <w:left w:val="single" w:sz="4" w:space="0" w:color="auto"/>
              <w:right w:val="single" w:sz="4" w:space="0" w:color="auto"/>
            </w:tcBorders>
          </w:tcPr>
          <w:p w14:paraId="461F1378"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4</w:t>
            </w:r>
            <w:r w:rsidRPr="00F22553">
              <w:t>%</w:t>
            </w:r>
          </w:p>
        </w:tc>
      </w:tr>
      <w:tr w:rsidR="00F06FF8" w:rsidRPr="00F22553" w14:paraId="309F7E22" w14:textId="77777777" w:rsidTr="00F06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tcBorders>
              <w:left w:val="single" w:sz="4" w:space="0" w:color="auto"/>
              <w:right w:val="single" w:sz="4" w:space="0" w:color="auto"/>
            </w:tcBorders>
          </w:tcPr>
          <w:p w14:paraId="379D8601" w14:textId="77777777" w:rsidR="00F06FF8" w:rsidRPr="00F22553" w:rsidRDefault="00F06FF8" w:rsidP="00953AC5">
            <w:pPr>
              <w:jc w:val="both"/>
            </w:pPr>
            <w:r w:rsidRPr="00F22553">
              <w:t>Pancreatic insufficiency</w:t>
            </w:r>
          </w:p>
        </w:tc>
        <w:tc>
          <w:tcPr>
            <w:tcW w:w="1572" w:type="dxa"/>
            <w:gridSpan w:val="2"/>
            <w:tcBorders>
              <w:left w:val="single" w:sz="4" w:space="0" w:color="auto"/>
              <w:right w:val="single" w:sz="4" w:space="0" w:color="auto"/>
            </w:tcBorders>
          </w:tcPr>
          <w:p w14:paraId="312A970D"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1</w:t>
            </w:r>
          </w:p>
        </w:tc>
        <w:tc>
          <w:tcPr>
            <w:tcW w:w="1568" w:type="dxa"/>
            <w:gridSpan w:val="2"/>
            <w:tcBorders>
              <w:left w:val="single" w:sz="4" w:space="0" w:color="auto"/>
              <w:right w:val="single" w:sz="4" w:space="0" w:color="auto"/>
            </w:tcBorders>
          </w:tcPr>
          <w:p w14:paraId="49F19A86"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t>4</w:t>
            </w:r>
            <w:r w:rsidRPr="00F22553">
              <w:t>%</w:t>
            </w:r>
          </w:p>
        </w:tc>
        <w:tc>
          <w:tcPr>
            <w:tcW w:w="1568" w:type="dxa"/>
            <w:gridSpan w:val="2"/>
            <w:tcBorders>
              <w:left w:val="single" w:sz="4" w:space="0" w:color="auto"/>
              <w:right w:val="single" w:sz="4" w:space="0" w:color="auto"/>
            </w:tcBorders>
          </w:tcPr>
          <w:p w14:paraId="54C1E77C"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0</w:t>
            </w:r>
          </w:p>
        </w:tc>
        <w:tc>
          <w:tcPr>
            <w:tcW w:w="1568" w:type="dxa"/>
            <w:gridSpan w:val="2"/>
            <w:tcBorders>
              <w:left w:val="single" w:sz="4" w:space="0" w:color="auto"/>
              <w:right w:val="single" w:sz="4" w:space="0" w:color="auto"/>
            </w:tcBorders>
          </w:tcPr>
          <w:p w14:paraId="2DDA73F6"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p>
        </w:tc>
      </w:tr>
      <w:tr w:rsidR="00F06FF8" w:rsidRPr="00F22553" w14:paraId="5465AB44" w14:textId="77777777" w:rsidTr="00F06FF8">
        <w:tc>
          <w:tcPr>
            <w:cnfStyle w:val="001000000000" w:firstRow="0" w:lastRow="0" w:firstColumn="1" w:lastColumn="0" w:oddVBand="0" w:evenVBand="0" w:oddHBand="0" w:evenHBand="0" w:firstRowFirstColumn="0" w:firstRowLastColumn="0" w:lastRowFirstColumn="0" w:lastRowLastColumn="0"/>
            <w:tcW w:w="2740" w:type="dxa"/>
            <w:tcBorders>
              <w:left w:val="single" w:sz="4" w:space="0" w:color="auto"/>
              <w:right w:val="single" w:sz="4" w:space="0" w:color="auto"/>
            </w:tcBorders>
          </w:tcPr>
          <w:p w14:paraId="71B6A90D" w14:textId="77777777" w:rsidR="00F06FF8" w:rsidRPr="00F22553" w:rsidRDefault="00F06FF8" w:rsidP="00953AC5">
            <w:pPr>
              <w:jc w:val="both"/>
            </w:pPr>
            <w:r>
              <w:t>Muscle weakness</w:t>
            </w:r>
          </w:p>
        </w:tc>
        <w:tc>
          <w:tcPr>
            <w:tcW w:w="1572" w:type="dxa"/>
            <w:gridSpan w:val="2"/>
            <w:tcBorders>
              <w:left w:val="single" w:sz="4" w:space="0" w:color="auto"/>
              <w:right w:val="single" w:sz="4" w:space="0" w:color="auto"/>
            </w:tcBorders>
          </w:tcPr>
          <w:p w14:paraId="07805B9A"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1568" w:type="dxa"/>
            <w:gridSpan w:val="2"/>
            <w:tcBorders>
              <w:left w:val="single" w:sz="4" w:space="0" w:color="auto"/>
              <w:right w:val="single" w:sz="4" w:space="0" w:color="auto"/>
            </w:tcBorders>
          </w:tcPr>
          <w:p w14:paraId="6246CA6E"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4</w:t>
            </w:r>
            <w:r w:rsidRPr="00F22553">
              <w:t>%</w:t>
            </w:r>
          </w:p>
        </w:tc>
        <w:tc>
          <w:tcPr>
            <w:tcW w:w="1568" w:type="dxa"/>
            <w:gridSpan w:val="2"/>
            <w:tcBorders>
              <w:left w:val="single" w:sz="4" w:space="0" w:color="auto"/>
              <w:right w:val="single" w:sz="4" w:space="0" w:color="auto"/>
            </w:tcBorders>
          </w:tcPr>
          <w:p w14:paraId="50D0D399"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0</w:t>
            </w:r>
          </w:p>
        </w:tc>
        <w:tc>
          <w:tcPr>
            <w:tcW w:w="1568" w:type="dxa"/>
            <w:gridSpan w:val="2"/>
            <w:tcBorders>
              <w:left w:val="single" w:sz="4" w:space="0" w:color="auto"/>
              <w:right w:val="single" w:sz="4" w:space="0" w:color="auto"/>
            </w:tcBorders>
          </w:tcPr>
          <w:p w14:paraId="76527529"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p>
        </w:tc>
      </w:tr>
      <w:tr w:rsidR="00F06FF8" w:rsidRPr="00F22553" w14:paraId="64495B58" w14:textId="77777777" w:rsidTr="00F06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tcBorders>
              <w:left w:val="single" w:sz="4" w:space="0" w:color="auto"/>
              <w:right w:val="single" w:sz="4" w:space="0" w:color="auto"/>
            </w:tcBorders>
          </w:tcPr>
          <w:p w14:paraId="5B6835D4" w14:textId="77777777" w:rsidR="00F06FF8" w:rsidRPr="00F22553" w:rsidRDefault="00F06FF8" w:rsidP="00953AC5">
            <w:pPr>
              <w:jc w:val="both"/>
            </w:pPr>
            <w:r>
              <w:t>Oral mucositis</w:t>
            </w:r>
          </w:p>
        </w:tc>
        <w:tc>
          <w:tcPr>
            <w:tcW w:w="1572" w:type="dxa"/>
            <w:gridSpan w:val="2"/>
            <w:tcBorders>
              <w:left w:val="single" w:sz="4" w:space="0" w:color="auto"/>
              <w:right w:val="single" w:sz="4" w:space="0" w:color="auto"/>
            </w:tcBorders>
          </w:tcPr>
          <w:p w14:paraId="47E5F5F5"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rPr>
                <w:b/>
                <w:bCs/>
              </w:rPr>
            </w:pPr>
            <w:r>
              <w:rPr>
                <w:b/>
                <w:bCs/>
              </w:rPr>
              <w:t>1</w:t>
            </w:r>
          </w:p>
        </w:tc>
        <w:tc>
          <w:tcPr>
            <w:tcW w:w="1568" w:type="dxa"/>
            <w:gridSpan w:val="2"/>
            <w:tcBorders>
              <w:left w:val="single" w:sz="4" w:space="0" w:color="auto"/>
              <w:right w:val="single" w:sz="4" w:space="0" w:color="auto"/>
            </w:tcBorders>
          </w:tcPr>
          <w:p w14:paraId="5C19A014"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t>4</w:t>
            </w:r>
            <w:r w:rsidRPr="00F22553">
              <w:t>%</w:t>
            </w:r>
          </w:p>
        </w:tc>
        <w:tc>
          <w:tcPr>
            <w:tcW w:w="1568" w:type="dxa"/>
            <w:gridSpan w:val="2"/>
            <w:tcBorders>
              <w:left w:val="single" w:sz="4" w:space="0" w:color="auto"/>
              <w:right w:val="single" w:sz="4" w:space="0" w:color="auto"/>
            </w:tcBorders>
          </w:tcPr>
          <w:p w14:paraId="5E1F0491"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t>0</w:t>
            </w:r>
          </w:p>
        </w:tc>
        <w:tc>
          <w:tcPr>
            <w:tcW w:w="1568" w:type="dxa"/>
            <w:gridSpan w:val="2"/>
            <w:tcBorders>
              <w:left w:val="single" w:sz="4" w:space="0" w:color="auto"/>
              <w:right w:val="single" w:sz="4" w:space="0" w:color="auto"/>
            </w:tcBorders>
          </w:tcPr>
          <w:p w14:paraId="66FF1EB1"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p>
        </w:tc>
      </w:tr>
      <w:tr w:rsidR="00F06FF8" w:rsidRPr="00F22553" w14:paraId="309C8D79" w14:textId="77777777" w:rsidTr="00F06FF8">
        <w:tc>
          <w:tcPr>
            <w:cnfStyle w:val="001000000000" w:firstRow="0" w:lastRow="0" w:firstColumn="1" w:lastColumn="0" w:oddVBand="0" w:evenVBand="0" w:oddHBand="0" w:evenHBand="0" w:firstRowFirstColumn="0" w:firstRowLastColumn="0" w:lastRowFirstColumn="0" w:lastRowLastColumn="0"/>
            <w:tcW w:w="2740" w:type="dxa"/>
            <w:tcBorders>
              <w:left w:val="single" w:sz="4" w:space="0" w:color="auto"/>
              <w:right w:val="single" w:sz="4" w:space="0" w:color="auto"/>
            </w:tcBorders>
          </w:tcPr>
          <w:p w14:paraId="6D422026" w14:textId="77777777" w:rsidR="00F06FF8" w:rsidRDefault="00F06FF8" w:rsidP="00953AC5">
            <w:pPr>
              <w:jc w:val="both"/>
            </w:pPr>
            <w:r>
              <w:t>Low Testosterone</w:t>
            </w:r>
          </w:p>
        </w:tc>
        <w:tc>
          <w:tcPr>
            <w:tcW w:w="1572" w:type="dxa"/>
            <w:gridSpan w:val="2"/>
            <w:tcBorders>
              <w:left w:val="single" w:sz="4" w:space="0" w:color="auto"/>
              <w:right w:val="single" w:sz="4" w:space="0" w:color="auto"/>
            </w:tcBorders>
          </w:tcPr>
          <w:p w14:paraId="1CD84233" w14:textId="77777777" w:rsidR="00F06FF8" w:rsidRDefault="00F06FF8" w:rsidP="00953AC5">
            <w:pPr>
              <w:jc w:val="both"/>
              <w:cnfStyle w:val="000000000000" w:firstRow="0" w:lastRow="0" w:firstColumn="0" w:lastColumn="0" w:oddVBand="0" w:evenVBand="0" w:oddHBand="0" w:evenHBand="0" w:firstRowFirstColumn="0" w:firstRowLastColumn="0" w:lastRowFirstColumn="0" w:lastRowLastColumn="0"/>
              <w:rPr>
                <w:b/>
                <w:bCs/>
              </w:rPr>
            </w:pPr>
            <w:r>
              <w:rPr>
                <w:b/>
                <w:bCs/>
              </w:rPr>
              <w:t>1</w:t>
            </w:r>
          </w:p>
        </w:tc>
        <w:tc>
          <w:tcPr>
            <w:tcW w:w="1568" w:type="dxa"/>
            <w:gridSpan w:val="2"/>
            <w:tcBorders>
              <w:left w:val="single" w:sz="4" w:space="0" w:color="auto"/>
              <w:right w:val="single" w:sz="4" w:space="0" w:color="auto"/>
            </w:tcBorders>
          </w:tcPr>
          <w:p w14:paraId="2F7063B0"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r>
              <w:t>4</w:t>
            </w:r>
            <w:r w:rsidRPr="00F22553">
              <w:t>%</w:t>
            </w:r>
          </w:p>
        </w:tc>
        <w:tc>
          <w:tcPr>
            <w:tcW w:w="1568" w:type="dxa"/>
            <w:gridSpan w:val="2"/>
            <w:tcBorders>
              <w:left w:val="single" w:sz="4" w:space="0" w:color="auto"/>
              <w:right w:val="single" w:sz="4" w:space="0" w:color="auto"/>
            </w:tcBorders>
          </w:tcPr>
          <w:p w14:paraId="05AD2385" w14:textId="77777777" w:rsidR="00F06FF8" w:rsidRDefault="00F06FF8" w:rsidP="00953AC5">
            <w:pPr>
              <w:jc w:val="both"/>
              <w:cnfStyle w:val="000000000000" w:firstRow="0" w:lastRow="0" w:firstColumn="0" w:lastColumn="0" w:oddVBand="0" w:evenVBand="0" w:oddHBand="0" w:evenHBand="0" w:firstRowFirstColumn="0" w:firstRowLastColumn="0" w:lastRowFirstColumn="0" w:lastRowLastColumn="0"/>
            </w:pPr>
            <w:r>
              <w:t>0</w:t>
            </w:r>
          </w:p>
        </w:tc>
        <w:tc>
          <w:tcPr>
            <w:tcW w:w="1568" w:type="dxa"/>
            <w:gridSpan w:val="2"/>
            <w:tcBorders>
              <w:left w:val="single" w:sz="4" w:space="0" w:color="auto"/>
              <w:right w:val="single" w:sz="4" w:space="0" w:color="auto"/>
            </w:tcBorders>
          </w:tcPr>
          <w:p w14:paraId="5E384ADB" w14:textId="77777777" w:rsidR="00F06FF8" w:rsidRPr="00F22553" w:rsidRDefault="00F06FF8" w:rsidP="00953AC5">
            <w:pPr>
              <w:jc w:val="both"/>
              <w:cnfStyle w:val="000000000000" w:firstRow="0" w:lastRow="0" w:firstColumn="0" w:lastColumn="0" w:oddVBand="0" w:evenVBand="0" w:oddHBand="0" w:evenHBand="0" w:firstRowFirstColumn="0" w:firstRowLastColumn="0" w:lastRowFirstColumn="0" w:lastRowLastColumn="0"/>
            </w:pPr>
          </w:p>
        </w:tc>
      </w:tr>
      <w:tr w:rsidR="00F06FF8" w:rsidRPr="00F22553" w14:paraId="72DCCD16" w14:textId="77777777" w:rsidTr="00F06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tcBorders>
              <w:left w:val="single" w:sz="4" w:space="0" w:color="auto"/>
              <w:bottom w:val="single" w:sz="4" w:space="0" w:color="auto"/>
              <w:right w:val="single" w:sz="4" w:space="0" w:color="auto"/>
            </w:tcBorders>
          </w:tcPr>
          <w:p w14:paraId="00EC339A" w14:textId="77777777" w:rsidR="00F06FF8" w:rsidRPr="00F22553" w:rsidRDefault="00F06FF8" w:rsidP="00953AC5">
            <w:pPr>
              <w:jc w:val="both"/>
            </w:pPr>
            <w:r w:rsidRPr="00F22553">
              <w:t>Sjogren’s</w:t>
            </w:r>
          </w:p>
        </w:tc>
        <w:tc>
          <w:tcPr>
            <w:tcW w:w="1572" w:type="dxa"/>
            <w:gridSpan w:val="2"/>
            <w:tcBorders>
              <w:left w:val="single" w:sz="4" w:space="0" w:color="auto"/>
              <w:bottom w:val="single" w:sz="4" w:space="0" w:color="auto"/>
              <w:right w:val="single" w:sz="4" w:space="0" w:color="auto"/>
            </w:tcBorders>
          </w:tcPr>
          <w:p w14:paraId="008449DB"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rPr>
                <w:b/>
                <w:bCs/>
              </w:rPr>
            </w:pPr>
            <w:r w:rsidRPr="00F22553">
              <w:rPr>
                <w:b/>
                <w:bCs/>
              </w:rPr>
              <w:t>1</w:t>
            </w:r>
          </w:p>
        </w:tc>
        <w:tc>
          <w:tcPr>
            <w:tcW w:w="1568" w:type="dxa"/>
            <w:gridSpan w:val="2"/>
            <w:tcBorders>
              <w:left w:val="single" w:sz="4" w:space="0" w:color="auto"/>
              <w:bottom w:val="single" w:sz="4" w:space="0" w:color="auto"/>
              <w:right w:val="single" w:sz="4" w:space="0" w:color="auto"/>
            </w:tcBorders>
          </w:tcPr>
          <w:p w14:paraId="6E11FECB"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6%</w:t>
            </w:r>
          </w:p>
        </w:tc>
        <w:tc>
          <w:tcPr>
            <w:tcW w:w="1568" w:type="dxa"/>
            <w:gridSpan w:val="2"/>
            <w:tcBorders>
              <w:left w:val="single" w:sz="4" w:space="0" w:color="auto"/>
              <w:bottom w:val="single" w:sz="4" w:space="0" w:color="auto"/>
              <w:right w:val="single" w:sz="4" w:space="0" w:color="auto"/>
            </w:tcBorders>
          </w:tcPr>
          <w:p w14:paraId="4368ABD7"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r w:rsidRPr="00F22553">
              <w:t>0</w:t>
            </w:r>
          </w:p>
        </w:tc>
        <w:tc>
          <w:tcPr>
            <w:tcW w:w="1568" w:type="dxa"/>
            <w:gridSpan w:val="2"/>
            <w:tcBorders>
              <w:left w:val="single" w:sz="4" w:space="0" w:color="auto"/>
              <w:bottom w:val="single" w:sz="4" w:space="0" w:color="auto"/>
              <w:right w:val="single" w:sz="4" w:space="0" w:color="auto"/>
            </w:tcBorders>
          </w:tcPr>
          <w:p w14:paraId="21952C9A" w14:textId="77777777" w:rsidR="00F06FF8" w:rsidRPr="00F22553" w:rsidRDefault="00F06FF8" w:rsidP="00953AC5">
            <w:pPr>
              <w:jc w:val="both"/>
              <w:cnfStyle w:val="000000100000" w:firstRow="0" w:lastRow="0" w:firstColumn="0" w:lastColumn="0" w:oddVBand="0" w:evenVBand="0" w:oddHBand="1" w:evenHBand="0" w:firstRowFirstColumn="0" w:firstRowLastColumn="0" w:lastRowFirstColumn="0" w:lastRowLastColumn="0"/>
            </w:pPr>
          </w:p>
        </w:tc>
      </w:tr>
    </w:tbl>
    <w:p w14:paraId="4EFE6AA7" w14:textId="77777777" w:rsidR="00F22553" w:rsidRPr="00F22553" w:rsidRDefault="00F22553" w:rsidP="00F22553"/>
    <w:p w14:paraId="796E3398" w14:textId="77777777" w:rsidR="00F22553" w:rsidRPr="00F22553" w:rsidRDefault="00F22553" w:rsidP="00A62226">
      <w:pPr>
        <w:spacing w:line="480" w:lineRule="auto"/>
      </w:pPr>
    </w:p>
    <w:sectPr w:rsidR="00F22553" w:rsidRPr="00F22553" w:rsidSect="00B75DB1">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840E4" w14:textId="77777777" w:rsidR="00260344" w:rsidRDefault="00260344" w:rsidP="000B39EA">
      <w:pPr>
        <w:spacing w:after="0" w:line="240" w:lineRule="auto"/>
      </w:pPr>
      <w:r>
        <w:separator/>
      </w:r>
    </w:p>
  </w:endnote>
  <w:endnote w:type="continuationSeparator" w:id="0">
    <w:p w14:paraId="4892480C" w14:textId="77777777" w:rsidR="00260344" w:rsidRDefault="00260344" w:rsidP="000B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022780"/>
      <w:docPartObj>
        <w:docPartGallery w:val="Page Numbers (Bottom of Page)"/>
        <w:docPartUnique/>
      </w:docPartObj>
    </w:sdtPr>
    <w:sdtEndPr>
      <w:rPr>
        <w:noProof/>
      </w:rPr>
    </w:sdtEndPr>
    <w:sdtContent>
      <w:p w14:paraId="2B440569" w14:textId="19BB120A" w:rsidR="00953AC5" w:rsidRDefault="00953AC5">
        <w:pPr>
          <w:pStyle w:val="Footer"/>
          <w:jc w:val="center"/>
        </w:pPr>
        <w:r>
          <w:fldChar w:fldCharType="begin"/>
        </w:r>
        <w:r>
          <w:instrText xml:space="preserve"> PAGE   \* MERGEFORMAT </w:instrText>
        </w:r>
        <w:r>
          <w:fldChar w:fldCharType="separate"/>
        </w:r>
        <w:r w:rsidR="00973148">
          <w:rPr>
            <w:noProof/>
          </w:rPr>
          <w:t>1</w:t>
        </w:r>
        <w:r>
          <w:rPr>
            <w:noProof/>
          </w:rPr>
          <w:fldChar w:fldCharType="end"/>
        </w:r>
      </w:p>
    </w:sdtContent>
  </w:sdt>
  <w:p w14:paraId="64DE330C" w14:textId="77777777" w:rsidR="00953AC5" w:rsidRDefault="00953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890A2" w14:textId="77777777" w:rsidR="00260344" w:rsidRDefault="00260344" w:rsidP="000B39EA">
      <w:pPr>
        <w:spacing w:after="0" w:line="240" w:lineRule="auto"/>
      </w:pPr>
      <w:r>
        <w:separator/>
      </w:r>
    </w:p>
  </w:footnote>
  <w:footnote w:type="continuationSeparator" w:id="0">
    <w:p w14:paraId="05F384B6" w14:textId="77777777" w:rsidR="00260344" w:rsidRDefault="00260344" w:rsidP="000B3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838"/>
    <w:multiLevelType w:val="hybridMultilevel"/>
    <w:tmpl w:val="16AE5F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CB6A74"/>
    <w:multiLevelType w:val="hybridMultilevel"/>
    <w:tmpl w:val="A54CEF50"/>
    <w:lvl w:ilvl="0" w:tplc="546062A4">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2B427C"/>
    <w:multiLevelType w:val="hybridMultilevel"/>
    <w:tmpl w:val="94AE6F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BF228C"/>
    <w:multiLevelType w:val="hybridMultilevel"/>
    <w:tmpl w:val="79B8FB5C"/>
    <w:lvl w:ilvl="0" w:tplc="0809000F">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7B56FF"/>
    <w:multiLevelType w:val="hybridMultilevel"/>
    <w:tmpl w:val="16AE5F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220F2"/>
    <w:multiLevelType w:val="hybridMultilevel"/>
    <w:tmpl w:val="B12C5740"/>
    <w:lvl w:ilvl="0" w:tplc="85DE3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CD2F04"/>
    <w:multiLevelType w:val="hybridMultilevel"/>
    <w:tmpl w:val="D3BEDA42"/>
    <w:lvl w:ilvl="0" w:tplc="874ABADA">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37E"/>
    <w:rsid w:val="0001630A"/>
    <w:rsid w:val="000367F1"/>
    <w:rsid w:val="00045886"/>
    <w:rsid w:val="000463EC"/>
    <w:rsid w:val="000503C5"/>
    <w:rsid w:val="00051699"/>
    <w:rsid w:val="000519D0"/>
    <w:rsid w:val="00062270"/>
    <w:rsid w:val="000706AE"/>
    <w:rsid w:val="00075AAD"/>
    <w:rsid w:val="00075AF8"/>
    <w:rsid w:val="00081351"/>
    <w:rsid w:val="0009607D"/>
    <w:rsid w:val="000A375A"/>
    <w:rsid w:val="000B39EA"/>
    <w:rsid w:val="000E7B55"/>
    <w:rsid w:val="000F7C37"/>
    <w:rsid w:val="00106CA8"/>
    <w:rsid w:val="00111B1B"/>
    <w:rsid w:val="001350D8"/>
    <w:rsid w:val="00143829"/>
    <w:rsid w:val="0015107A"/>
    <w:rsid w:val="00174A24"/>
    <w:rsid w:val="00175414"/>
    <w:rsid w:val="0019069B"/>
    <w:rsid w:val="00193F90"/>
    <w:rsid w:val="001A3926"/>
    <w:rsid w:val="001B5A33"/>
    <w:rsid w:val="001B5CB0"/>
    <w:rsid w:val="001B5FD8"/>
    <w:rsid w:val="001C2261"/>
    <w:rsid w:val="001D06A0"/>
    <w:rsid w:val="001E3AC6"/>
    <w:rsid w:val="001F095D"/>
    <w:rsid w:val="00202B5E"/>
    <w:rsid w:val="00204E09"/>
    <w:rsid w:val="00260344"/>
    <w:rsid w:val="00263624"/>
    <w:rsid w:val="00290B05"/>
    <w:rsid w:val="002B0CF2"/>
    <w:rsid w:val="002C310B"/>
    <w:rsid w:val="002C4A5C"/>
    <w:rsid w:val="002C4EEF"/>
    <w:rsid w:val="002C67CA"/>
    <w:rsid w:val="002D2350"/>
    <w:rsid w:val="002E53E2"/>
    <w:rsid w:val="002E7C2C"/>
    <w:rsid w:val="002F0F07"/>
    <w:rsid w:val="002F33CD"/>
    <w:rsid w:val="00303A53"/>
    <w:rsid w:val="00325388"/>
    <w:rsid w:val="00330E5B"/>
    <w:rsid w:val="00342F81"/>
    <w:rsid w:val="00347CE9"/>
    <w:rsid w:val="00354659"/>
    <w:rsid w:val="00361023"/>
    <w:rsid w:val="00375D10"/>
    <w:rsid w:val="003769D5"/>
    <w:rsid w:val="00376BF3"/>
    <w:rsid w:val="0039040E"/>
    <w:rsid w:val="003A7E9F"/>
    <w:rsid w:val="003B09ED"/>
    <w:rsid w:val="003B1DD0"/>
    <w:rsid w:val="003D1A5C"/>
    <w:rsid w:val="003D27C0"/>
    <w:rsid w:val="003E1781"/>
    <w:rsid w:val="00404F19"/>
    <w:rsid w:val="004260B8"/>
    <w:rsid w:val="00430D5A"/>
    <w:rsid w:val="00430F1D"/>
    <w:rsid w:val="004327C5"/>
    <w:rsid w:val="00452A1A"/>
    <w:rsid w:val="0046111C"/>
    <w:rsid w:val="004825CD"/>
    <w:rsid w:val="004952A5"/>
    <w:rsid w:val="004B75D8"/>
    <w:rsid w:val="004E1196"/>
    <w:rsid w:val="00503D9E"/>
    <w:rsid w:val="00530C0C"/>
    <w:rsid w:val="00561641"/>
    <w:rsid w:val="00562EB5"/>
    <w:rsid w:val="00580EE7"/>
    <w:rsid w:val="005820B9"/>
    <w:rsid w:val="005A2819"/>
    <w:rsid w:val="005D06A3"/>
    <w:rsid w:val="006137B1"/>
    <w:rsid w:val="00622F90"/>
    <w:rsid w:val="00625A04"/>
    <w:rsid w:val="0065652C"/>
    <w:rsid w:val="006573A3"/>
    <w:rsid w:val="00672D07"/>
    <w:rsid w:val="00695596"/>
    <w:rsid w:val="006D070E"/>
    <w:rsid w:val="006E617E"/>
    <w:rsid w:val="006F16D5"/>
    <w:rsid w:val="00701D72"/>
    <w:rsid w:val="0070207E"/>
    <w:rsid w:val="0073079A"/>
    <w:rsid w:val="007441FB"/>
    <w:rsid w:val="00744F47"/>
    <w:rsid w:val="00745E94"/>
    <w:rsid w:val="00752EEF"/>
    <w:rsid w:val="00756CC5"/>
    <w:rsid w:val="0079291F"/>
    <w:rsid w:val="007A6258"/>
    <w:rsid w:val="007B3181"/>
    <w:rsid w:val="007C63DD"/>
    <w:rsid w:val="007C6688"/>
    <w:rsid w:val="007D061D"/>
    <w:rsid w:val="007F270D"/>
    <w:rsid w:val="00800B8B"/>
    <w:rsid w:val="008047EE"/>
    <w:rsid w:val="00804C6A"/>
    <w:rsid w:val="008147EA"/>
    <w:rsid w:val="0081637E"/>
    <w:rsid w:val="00835727"/>
    <w:rsid w:val="00835E1F"/>
    <w:rsid w:val="008433B6"/>
    <w:rsid w:val="008443AA"/>
    <w:rsid w:val="00845D9C"/>
    <w:rsid w:val="0085226D"/>
    <w:rsid w:val="0085397E"/>
    <w:rsid w:val="00855CCD"/>
    <w:rsid w:val="00874415"/>
    <w:rsid w:val="00885C95"/>
    <w:rsid w:val="00887F43"/>
    <w:rsid w:val="008916AE"/>
    <w:rsid w:val="008A109F"/>
    <w:rsid w:val="008A4F0D"/>
    <w:rsid w:val="008D1BA0"/>
    <w:rsid w:val="00901161"/>
    <w:rsid w:val="009433A9"/>
    <w:rsid w:val="00945401"/>
    <w:rsid w:val="009460CA"/>
    <w:rsid w:val="009513CE"/>
    <w:rsid w:val="00953AC5"/>
    <w:rsid w:val="00957B71"/>
    <w:rsid w:val="00962244"/>
    <w:rsid w:val="00973148"/>
    <w:rsid w:val="00975B9B"/>
    <w:rsid w:val="00975E4E"/>
    <w:rsid w:val="00984971"/>
    <w:rsid w:val="009A41A2"/>
    <w:rsid w:val="009D57F3"/>
    <w:rsid w:val="009E2EF1"/>
    <w:rsid w:val="009E3617"/>
    <w:rsid w:val="009F38AC"/>
    <w:rsid w:val="00A1064B"/>
    <w:rsid w:val="00A22288"/>
    <w:rsid w:val="00A34FB6"/>
    <w:rsid w:val="00A4588E"/>
    <w:rsid w:val="00A62226"/>
    <w:rsid w:val="00A72480"/>
    <w:rsid w:val="00A757C5"/>
    <w:rsid w:val="00A80F91"/>
    <w:rsid w:val="00A91923"/>
    <w:rsid w:val="00AA3214"/>
    <w:rsid w:val="00AC33BB"/>
    <w:rsid w:val="00AF2FB4"/>
    <w:rsid w:val="00AF62E6"/>
    <w:rsid w:val="00B034B7"/>
    <w:rsid w:val="00B3409A"/>
    <w:rsid w:val="00B370B5"/>
    <w:rsid w:val="00B7212F"/>
    <w:rsid w:val="00B75DB1"/>
    <w:rsid w:val="00B82B14"/>
    <w:rsid w:val="00B91E53"/>
    <w:rsid w:val="00B97CC4"/>
    <w:rsid w:val="00BA0DD1"/>
    <w:rsid w:val="00BA47AB"/>
    <w:rsid w:val="00BA57A4"/>
    <w:rsid w:val="00BB0B49"/>
    <w:rsid w:val="00BD2445"/>
    <w:rsid w:val="00BE07ED"/>
    <w:rsid w:val="00BE1CEC"/>
    <w:rsid w:val="00BF28DE"/>
    <w:rsid w:val="00C11657"/>
    <w:rsid w:val="00C21C3A"/>
    <w:rsid w:val="00C60FC7"/>
    <w:rsid w:val="00C6199B"/>
    <w:rsid w:val="00C84571"/>
    <w:rsid w:val="00C93F08"/>
    <w:rsid w:val="00CB18F9"/>
    <w:rsid w:val="00CB7653"/>
    <w:rsid w:val="00CC1569"/>
    <w:rsid w:val="00CD6CFC"/>
    <w:rsid w:val="00CD7ECF"/>
    <w:rsid w:val="00CE6E57"/>
    <w:rsid w:val="00CF3181"/>
    <w:rsid w:val="00CF40ED"/>
    <w:rsid w:val="00CF5B68"/>
    <w:rsid w:val="00CF793D"/>
    <w:rsid w:val="00D00282"/>
    <w:rsid w:val="00D2789C"/>
    <w:rsid w:val="00D443FE"/>
    <w:rsid w:val="00D50BD8"/>
    <w:rsid w:val="00D52C88"/>
    <w:rsid w:val="00D77951"/>
    <w:rsid w:val="00D93D0B"/>
    <w:rsid w:val="00D96E04"/>
    <w:rsid w:val="00D97F09"/>
    <w:rsid w:val="00DB0F3F"/>
    <w:rsid w:val="00DB18E9"/>
    <w:rsid w:val="00DC1567"/>
    <w:rsid w:val="00DC2A00"/>
    <w:rsid w:val="00DE7216"/>
    <w:rsid w:val="00DF2F4F"/>
    <w:rsid w:val="00E06990"/>
    <w:rsid w:val="00E1618B"/>
    <w:rsid w:val="00E26ECD"/>
    <w:rsid w:val="00E360D5"/>
    <w:rsid w:val="00E36293"/>
    <w:rsid w:val="00E46158"/>
    <w:rsid w:val="00E67408"/>
    <w:rsid w:val="00EA7D21"/>
    <w:rsid w:val="00EC0B13"/>
    <w:rsid w:val="00EE534A"/>
    <w:rsid w:val="00EE6009"/>
    <w:rsid w:val="00F06FF8"/>
    <w:rsid w:val="00F16A52"/>
    <w:rsid w:val="00F22553"/>
    <w:rsid w:val="00F26A17"/>
    <w:rsid w:val="00F272F6"/>
    <w:rsid w:val="00F31CBD"/>
    <w:rsid w:val="00F63807"/>
    <w:rsid w:val="00F732E2"/>
    <w:rsid w:val="00FA5A9E"/>
    <w:rsid w:val="00FC6114"/>
    <w:rsid w:val="00FD2494"/>
    <w:rsid w:val="00FD4D6B"/>
    <w:rsid w:val="00FE0D5A"/>
    <w:rsid w:val="00FE2651"/>
    <w:rsid w:val="00FF5409"/>
    <w:rsid w:val="00FF5B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D1E6A"/>
  <w15:docId w15:val="{939ECCE6-9116-49CA-B173-0D2F8872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21">
    <w:name w:val="Grid Table 4 - Accent 21"/>
    <w:basedOn w:val="TableNormal"/>
    <w:uiPriority w:val="49"/>
    <w:rsid w:val="00A724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A72480"/>
    <w:pPr>
      <w:ind w:left="720"/>
      <w:contextualSpacing/>
    </w:pPr>
  </w:style>
  <w:style w:type="paragraph" w:styleId="Caption">
    <w:name w:val="caption"/>
    <w:basedOn w:val="Normal"/>
    <w:next w:val="Normal"/>
    <w:uiPriority w:val="35"/>
    <w:unhideWhenUsed/>
    <w:qFormat/>
    <w:rsid w:val="00A72480"/>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350D8"/>
    <w:pPr>
      <w:tabs>
        <w:tab w:val="left" w:pos="504"/>
      </w:tabs>
      <w:spacing w:after="240" w:line="240" w:lineRule="auto"/>
      <w:ind w:left="504" w:hanging="504"/>
    </w:pPr>
  </w:style>
  <w:style w:type="paragraph" w:styleId="BalloonText">
    <w:name w:val="Balloon Text"/>
    <w:basedOn w:val="Normal"/>
    <w:link w:val="BalloonTextChar"/>
    <w:uiPriority w:val="99"/>
    <w:semiHidden/>
    <w:unhideWhenUsed/>
    <w:rsid w:val="00DE72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216"/>
    <w:rPr>
      <w:rFonts w:ascii="Lucida Grande" w:hAnsi="Lucida Grande" w:cs="Lucida Grande"/>
      <w:sz w:val="18"/>
      <w:szCs w:val="18"/>
    </w:rPr>
  </w:style>
  <w:style w:type="character" w:styleId="CommentReference">
    <w:name w:val="annotation reference"/>
    <w:basedOn w:val="DefaultParagraphFont"/>
    <w:uiPriority w:val="99"/>
    <w:semiHidden/>
    <w:unhideWhenUsed/>
    <w:rsid w:val="007B3181"/>
    <w:rPr>
      <w:sz w:val="18"/>
      <w:szCs w:val="18"/>
    </w:rPr>
  </w:style>
  <w:style w:type="paragraph" w:styleId="CommentText">
    <w:name w:val="annotation text"/>
    <w:basedOn w:val="Normal"/>
    <w:link w:val="CommentTextChar"/>
    <w:uiPriority w:val="99"/>
    <w:semiHidden/>
    <w:unhideWhenUsed/>
    <w:rsid w:val="007B3181"/>
    <w:pPr>
      <w:spacing w:line="240" w:lineRule="auto"/>
    </w:pPr>
    <w:rPr>
      <w:sz w:val="24"/>
      <w:szCs w:val="24"/>
    </w:rPr>
  </w:style>
  <w:style w:type="character" w:customStyle="1" w:styleId="CommentTextChar">
    <w:name w:val="Comment Text Char"/>
    <w:basedOn w:val="DefaultParagraphFont"/>
    <w:link w:val="CommentText"/>
    <w:uiPriority w:val="99"/>
    <w:semiHidden/>
    <w:rsid w:val="007B3181"/>
    <w:rPr>
      <w:sz w:val="24"/>
      <w:szCs w:val="24"/>
    </w:rPr>
  </w:style>
  <w:style w:type="paragraph" w:styleId="CommentSubject">
    <w:name w:val="annotation subject"/>
    <w:basedOn w:val="CommentText"/>
    <w:next w:val="CommentText"/>
    <w:link w:val="CommentSubjectChar"/>
    <w:uiPriority w:val="99"/>
    <w:semiHidden/>
    <w:unhideWhenUsed/>
    <w:rsid w:val="007B3181"/>
    <w:rPr>
      <w:b/>
      <w:bCs/>
      <w:sz w:val="20"/>
      <w:szCs w:val="20"/>
    </w:rPr>
  </w:style>
  <w:style w:type="character" w:customStyle="1" w:styleId="CommentSubjectChar">
    <w:name w:val="Comment Subject Char"/>
    <w:basedOn w:val="CommentTextChar"/>
    <w:link w:val="CommentSubject"/>
    <w:uiPriority w:val="99"/>
    <w:semiHidden/>
    <w:rsid w:val="007B3181"/>
    <w:rPr>
      <w:b/>
      <w:bCs/>
      <w:sz w:val="20"/>
      <w:szCs w:val="20"/>
    </w:rPr>
  </w:style>
  <w:style w:type="paragraph" w:styleId="Revision">
    <w:name w:val="Revision"/>
    <w:hidden/>
    <w:uiPriority w:val="99"/>
    <w:semiHidden/>
    <w:rsid w:val="003E1781"/>
    <w:pPr>
      <w:spacing w:after="0" w:line="240" w:lineRule="auto"/>
    </w:pPr>
  </w:style>
  <w:style w:type="paragraph" w:styleId="Header">
    <w:name w:val="header"/>
    <w:basedOn w:val="Normal"/>
    <w:link w:val="HeaderChar"/>
    <w:uiPriority w:val="99"/>
    <w:unhideWhenUsed/>
    <w:rsid w:val="000B3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9EA"/>
  </w:style>
  <w:style w:type="paragraph" w:styleId="Footer">
    <w:name w:val="footer"/>
    <w:basedOn w:val="Normal"/>
    <w:link w:val="FooterChar"/>
    <w:uiPriority w:val="99"/>
    <w:unhideWhenUsed/>
    <w:rsid w:val="000B3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9EA"/>
  </w:style>
  <w:style w:type="character" w:styleId="LineNumber">
    <w:name w:val="line number"/>
    <w:basedOn w:val="DefaultParagraphFont"/>
    <w:uiPriority w:val="99"/>
    <w:semiHidden/>
    <w:unhideWhenUsed/>
    <w:rsid w:val="00B75DB1"/>
  </w:style>
  <w:style w:type="table" w:customStyle="1" w:styleId="ListTable4-Accent31">
    <w:name w:val="List Table 4 - Accent 31"/>
    <w:basedOn w:val="TableNormal"/>
    <w:uiPriority w:val="49"/>
    <w:rsid w:val="00F2255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10">
    <w:name w:val="List Table 4 - Accent 31"/>
    <w:basedOn w:val="TableNormal"/>
    <w:next w:val="ListTable4-Accent31"/>
    <w:uiPriority w:val="49"/>
    <w:rsid w:val="00202B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2">
    <w:name w:val="List Table 4 - Accent 32"/>
    <w:basedOn w:val="TableNormal"/>
    <w:next w:val="ListTable4-Accent31"/>
    <w:uiPriority w:val="49"/>
    <w:rsid w:val="00202B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3">
    <w:name w:val="List Table 4 - Accent 33"/>
    <w:basedOn w:val="TableNormal"/>
    <w:next w:val="ListTable4-Accent31"/>
    <w:uiPriority w:val="49"/>
    <w:rsid w:val="00202B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4">
    <w:name w:val="List Table 4 - Accent 34"/>
    <w:basedOn w:val="TableNormal"/>
    <w:next w:val="ListTable4-Accent31"/>
    <w:uiPriority w:val="49"/>
    <w:rsid w:val="00202B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F06FF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gc">
    <w:name w:val="_tgc"/>
    <w:basedOn w:val="DefaultParagraphFont"/>
    <w:rsid w:val="00953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719602">
      <w:bodyDiv w:val="1"/>
      <w:marLeft w:val="0"/>
      <w:marRight w:val="0"/>
      <w:marTop w:val="0"/>
      <w:marBottom w:val="0"/>
      <w:divBdr>
        <w:top w:val="none" w:sz="0" w:space="0" w:color="auto"/>
        <w:left w:val="none" w:sz="0" w:space="0" w:color="auto"/>
        <w:bottom w:val="none" w:sz="0" w:space="0" w:color="auto"/>
        <w:right w:val="none" w:sz="0" w:space="0" w:color="auto"/>
      </w:divBdr>
    </w:div>
    <w:div w:id="728773185">
      <w:bodyDiv w:val="1"/>
      <w:marLeft w:val="0"/>
      <w:marRight w:val="0"/>
      <w:marTop w:val="0"/>
      <w:marBottom w:val="0"/>
      <w:divBdr>
        <w:top w:val="none" w:sz="0" w:space="0" w:color="auto"/>
        <w:left w:val="none" w:sz="0" w:space="0" w:color="auto"/>
        <w:bottom w:val="none" w:sz="0" w:space="0" w:color="auto"/>
        <w:right w:val="none" w:sz="0" w:space="0" w:color="auto"/>
      </w:divBdr>
    </w:div>
    <w:div w:id="759058320">
      <w:bodyDiv w:val="1"/>
      <w:marLeft w:val="0"/>
      <w:marRight w:val="0"/>
      <w:marTop w:val="0"/>
      <w:marBottom w:val="0"/>
      <w:divBdr>
        <w:top w:val="none" w:sz="0" w:space="0" w:color="auto"/>
        <w:left w:val="none" w:sz="0" w:space="0" w:color="auto"/>
        <w:bottom w:val="none" w:sz="0" w:space="0" w:color="auto"/>
        <w:right w:val="none" w:sz="0" w:space="0" w:color="auto"/>
      </w:divBdr>
    </w:div>
    <w:div w:id="104575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F45D8-A5CB-4AFD-A974-C98D20AA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18801</Words>
  <Characters>107168</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Karydis</dc:creator>
  <cp:keywords/>
  <dc:description/>
  <cp:lastModifiedBy>Ioannis Karydis</cp:lastModifiedBy>
  <cp:revision>2</cp:revision>
  <dcterms:created xsi:type="dcterms:W3CDTF">2016-01-12T09:32:00Z</dcterms:created>
  <dcterms:modified xsi:type="dcterms:W3CDTF">2016-01-12T09:32:00Z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zotero-version="4.0.28.6"&gt;&lt;session id="nckH8FwB"/&gt;&lt;style id="http://www.zotero.org/styles/oncoimmunology" hasBibliography="1" bibliographyStyleHasBeenSet="1"/&gt;&lt;prefs&gt;&lt;pref name="fieldType" value="Field"/&gt;&lt;pref name="storeReferences"</vt:lpwstr>
  </property>
  <property fmtid="{D5CDD505-2E9C-101B-9397-08002B2CF9AE}" pid="3" name="ZOTERO_PREF_2">
    <vt:lpwstr> value="true"/&gt;&lt;pref name="automaticJournalAbbreviations" value="true"/&gt;&lt;pref name="noteType" value=""/&gt;&lt;/prefs&gt;&lt;/data&gt;</vt:lpwstr>
  </property>
</Properties>
</file>