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C14" w:rsidRPr="001A39AE" w:rsidRDefault="004F5C0B" w:rsidP="001A39AE">
      <w:pPr>
        <w:pStyle w:val="ColumnTitle"/>
      </w:pPr>
      <w:r>
        <w:rPr>
          <w:noProof/>
          <w:lang w:eastAsia="en-GB"/>
        </w:rPr>
        <w:drawing>
          <wp:anchor distT="0" distB="0" distL="114300" distR="114300" simplePos="0" relativeHeight="251655680" behindDoc="0" locked="0" layoutInCell="1" allowOverlap="1">
            <wp:simplePos x="0" y="0"/>
            <wp:positionH relativeFrom="column">
              <wp:posOffset>-29210</wp:posOffset>
            </wp:positionH>
            <wp:positionV relativeFrom="paragraph">
              <wp:posOffset>-81915</wp:posOffset>
            </wp:positionV>
            <wp:extent cx="1314450" cy="340995"/>
            <wp:effectExtent l="0" t="0" r="0" b="190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r="1241"/>
                    <a:stretch>
                      <a:fillRect/>
                    </a:stretch>
                  </pic:blipFill>
                  <pic:spPr bwMode="auto">
                    <a:xfrm>
                      <a:off x="0" y="0"/>
                      <a:ext cx="1314450"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9AE">
        <w:rPr>
          <w:noProof/>
          <w:lang w:eastAsia="en-GB"/>
        </w:rPr>
        <mc:AlternateContent>
          <mc:Choice Requires="wps">
            <w:drawing>
              <wp:anchor distT="0" distB="0" distL="114300" distR="114300" simplePos="0" relativeHeight="251653632" behindDoc="0" locked="0" layoutInCell="1" allowOverlap="1">
                <wp:simplePos x="0" y="0"/>
                <wp:positionH relativeFrom="column">
                  <wp:posOffset>1245235</wp:posOffset>
                </wp:positionH>
                <wp:positionV relativeFrom="paragraph">
                  <wp:posOffset>118110</wp:posOffset>
                </wp:positionV>
                <wp:extent cx="3159760" cy="0"/>
                <wp:effectExtent l="5080" t="9525" r="6985" b="9525"/>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5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5DD81" id="Line 7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05pt,9.3pt" to="346.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"/>
            </w:pict>
          </mc:Fallback>
        </mc:AlternateContent>
      </w:r>
      <w:r w:rsidR="00A20B68">
        <w:t>COMMUNICATION</w:t>
      </w:r>
    </w:p>
    <w:p w:rsidR="00915FA4" w:rsidRPr="007576FA" w:rsidRDefault="0042545B" w:rsidP="00232C14">
      <w:pPr>
        <w:pStyle w:val="ManuscriptID"/>
        <w:sectPr w:rsidR="00915FA4" w:rsidRPr="007576FA" w:rsidSect="0090579F">
          <w:footerReference w:type="even" r:id="rId7"/>
          <w:footerReference w:type="default" r:id="rId8"/>
          <w:type w:val="continuous"/>
          <w:pgSz w:w="11906" w:h="16838" w:code="9"/>
          <w:pgMar w:top="1134" w:right="851" w:bottom="1225" w:left="1077" w:header="709" w:footer="709" w:gutter="0"/>
          <w:cols w:space="284"/>
          <w:docGrid w:linePitch="360"/>
        </w:sectPr>
      </w:pPr>
      <w:r>
        <w:t>DOI: 10.1002/chem</w:t>
      </w:r>
      <w:r w:rsidR="00915FA4" w:rsidRPr="007576FA">
        <w:t>.200</w:t>
      </w:r>
      <w:r w:rsidR="00FC63D2">
        <w:t>((</w:t>
      </w:r>
      <w:r w:rsidR="000C7CB0">
        <w:rPr>
          <w:color w:val="FF0000"/>
        </w:rPr>
        <w:t>will be filled in</w:t>
      </w:r>
      <w:r w:rsidR="00337A27" w:rsidRPr="00337A27">
        <w:rPr>
          <w:color w:val="FF0000"/>
        </w:rPr>
        <w:t xml:space="preserve"> by the editorial staff</w:t>
      </w:r>
      <w:r w:rsidR="00FC63D2">
        <w:t>))</w:t>
      </w:r>
    </w:p>
    <w:p w:rsidR="006024FD" w:rsidRPr="00C8558C" w:rsidRDefault="003E1625" w:rsidP="006024FD">
      <w:pPr>
        <w:pStyle w:val="Title1"/>
        <w:rPr>
          <w:lang w:val="en-GB"/>
        </w:rPr>
      </w:pPr>
      <w:r>
        <w:rPr>
          <w:lang w:val="en-GB"/>
        </w:rPr>
        <w:t>Synergistic Catalysis: Enantioselective Ring Expansion of Vinyl Cyclopropanes combining four catalytic cycles. Synthesis of Highly substituted spiro-cyclopentanes bearing up to four stereocenters</w:t>
      </w:r>
      <w:r w:rsidRPr="00C8558C">
        <w:rPr>
          <w:lang w:val="en-GB"/>
        </w:rPr>
        <w:t xml:space="preserve"> </w:t>
      </w:r>
    </w:p>
    <w:p w:rsidR="006479FE" w:rsidRPr="00BC4C0E" w:rsidRDefault="004F5C0B" w:rsidP="006479FE">
      <w:pPr>
        <w:pStyle w:val="Authors"/>
        <w:rPr>
          <w:vertAlign w:val="superscript"/>
          <w:lang w:val="it-IT"/>
        </w:rPr>
      </w:pPr>
      <w:r>
        <w:rPr>
          <w:noProof/>
          <w:lang w:eastAsia="en-GB"/>
        </w:rPr>
        <mc:AlternateContent>
          <mc:Choice Requires="wps">
            <w:drawing>
              <wp:anchor distT="180340" distB="0" distL="114300" distR="180340" simplePos="0" relativeHeight="251652608" behindDoc="0" locked="1" layoutInCell="1" allowOverlap="1">
                <wp:simplePos x="0" y="0"/>
                <wp:positionH relativeFrom="column">
                  <wp:posOffset>-73025</wp:posOffset>
                </wp:positionH>
                <wp:positionV relativeFrom="page">
                  <wp:posOffset>8651240</wp:posOffset>
                </wp:positionV>
                <wp:extent cx="3150235" cy="1228090"/>
                <wp:effectExtent l="635" t="2540" r="1905" b="0"/>
                <wp:wrapSquare wrapText="right"/>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1228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1625" w:rsidRDefault="00714DC9" w:rsidP="003E1625">
                            <w:pPr>
                              <w:pStyle w:val="Adress"/>
                              <w:spacing w:line="180" w:lineRule="exact"/>
                            </w:pPr>
                            <w:r w:rsidRPr="00FF7048">
                              <w:rPr>
                                <w:rFonts w:ascii="Times New Roman" w:hAnsi="Times New Roman"/>
                                <w:sz w:val="14"/>
                                <w:szCs w:val="14"/>
                                <w:lang w:val="en-GB"/>
                              </w:rPr>
                              <w:t>[</w:t>
                            </w:r>
                            <w:r w:rsidR="00FC63D2" w:rsidRPr="00FC63D2">
                              <w:rPr>
                                <w:rFonts w:ascii="Times New Roman" w:hAnsi="Times New Roman"/>
                                <w:sz w:val="14"/>
                                <w:szCs w:val="14"/>
                                <w:lang w:val="en-GB"/>
                              </w:rPr>
                              <w:t>a</w:t>
                            </w:r>
                            <w:r w:rsidRPr="00FF7048">
                              <w:rPr>
                                <w:rFonts w:ascii="Times New Roman" w:hAnsi="Times New Roman"/>
                                <w:sz w:val="14"/>
                                <w:szCs w:val="14"/>
                                <w:lang w:val="en-GB"/>
                              </w:rPr>
                              <w:t>]</w:t>
                            </w:r>
                            <w:r w:rsidRPr="00FF7048">
                              <w:rPr>
                                <w:rFonts w:ascii="Times New Roman" w:hAnsi="Times New Roman"/>
                                <w:sz w:val="14"/>
                                <w:szCs w:val="14"/>
                                <w:lang w:val="en-GB"/>
                              </w:rPr>
                              <w:tab/>
                            </w:r>
                            <w:r w:rsidR="003E1625">
                              <w:rPr>
                                <w:lang w:val="en-GB"/>
                              </w:rPr>
                              <w:t>Dr. Marta Meazza, Dr. Ramon Rios</w:t>
                            </w:r>
                            <w:r w:rsidR="003E1625" w:rsidRPr="00F81D1A">
                              <w:rPr>
                                <w:lang w:val="en-GB"/>
                              </w:rPr>
                              <w:br/>
                            </w:r>
                            <w:r w:rsidR="003E1625">
                              <w:rPr>
                                <w:lang w:val="en-GB"/>
                              </w:rPr>
                              <w:t>School of Chemistry</w:t>
                            </w:r>
                            <w:r w:rsidR="003E1625" w:rsidRPr="00F81D1A">
                              <w:rPr>
                                <w:lang w:val="en-GB"/>
                              </w:rPr>
                              <w:br/>
                            </w:r>
                            <w:r w:rsidR="003E1625">
                              <w:rPr>
                                <w:lang w:val="en-GB"/>
                              </w:rPr>
                              <w:t>University of Southampton</w:t>
                            </w:r>
                            <w:r w:rsidR="003E1625">
                              <w:rPr>
                                <w:lang w:val="en-GB"/>
                              </w:rPr>
                              <w:br/>
                              <w:t>E-mail: rrt1f11@soton.ac.uk</w:t>
                            </w:r>
                            <w:r w:rsidR="003E1625">
                              <w:rPr>
                                <w:lang w:val="en-GB"/>
                              </w:rPr>
                              <w:br/>
                              <w:t xml:space="preserve">Homepage ((optional)): </w:t>
                            </w:r>
                            <w:hyperlink r:id="rId9" w:history="1">
                              <w:r w:rsidR="003E1625" w:rsidRPr="004E5327">
                                <w:rPr>
                                  <w:rStyle w:val="Hyperlink"/>
                                  <w:lang w:val="en-GB"/>
                                </w:rPr>
                                <w:t>www.riosresearchgroup.com</w:t>
                              </w:r>
                            </w:hyperlink>
                            <w:r w:rsidR="003E1625" w:rsidRPr="00FF7048">
                              <w:rPr>
                                <w:rFonts w:ascii="Times New Roman" w:hAnsi="Times New Roman"/>
                                <w:sz w:val="14"/>
                                <w:szCs w:val="14"/>
                                <w:lang w:val="en-GB"/>
                              </w:rPr>
                              <w:t xml:space="preserve"> </w:t>
                            </w:r>
                          </w:p>
                          <w:p w:rsidR="00F50082" w:rsidRPr="00CA3607" w:rsidRDefault="002B395C" w:rsidP="00F50082">
                            <w:pPr>
                              <w:pStyle w:val="Footnote"/>
                            </w:pPr>
                            <w:r>
                              <w:br/>
                            </w:r>
                            <w:r w:rsidRPr="00FF7048">
                              <w:t>Supporting information for this article is available on the WWW under http://www.chemeurj.org/ or from the author.</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5.75pt;margin-top:681.2pt;width:248.05pt;height:96.7pt;z-index:251652608;visibility:visible;mso-wrap-style:square;mso-width-percent:0;mso-height-percent:0;mso-wrap-distance-left:9pt;mso-wrap-distance-top:14.2pt;mso-wrap-distance-right:14.2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" stroked="f">
                <v:textbox style="mso-fit-shape-to-text:t">
                  <w:txbxContent>
                    <w:p w:rsidR="003E1625" w:rsidRDefault="00714DC9" w:rsidP="003E1625">
                      <w:pPr>
                        <w:pStyle w:val="Adress"/>
                        <w:spacing w:line="180" w:lineRule="exact"/>
                      </w:pPr>
                      <w:r w:rsidRPr="00FF7048">
                        <w:rPr>
                          <w:rFonts w:ascii="Times New Roman" w:hAnsi="Times New Roman"/>
                          <w:sz w:val="14"/>
                          <w:szCs w:val="14"/>
                          <w:lang w:val="en-GB"/>
                        </w:rPr>
                        <w:t>[</w:t>
                      </w:r>
                      <w:r w:rsidR="00FC63D2" w:rsidRPr="00FC63D2">
                        <w:rPr>
                          <w:rFonts w:ascii="Times New Roman" w:hAnsi="Times New Roman"/>
                          <w:sz w:val="14"/>
                          <w:szCs w:val="14"/>
                          <w:lang w:val="en-GB"/>
                        </w:rPr>
                        <w:t>a</w:t>
                      </w:r>
                      <w:r w:rsidRPr="00FF7048">
                        <w:rPr>
                          <w:rFonts w:ascii="Times New Roman" w:hAnsi="Times New Roman"/>
                          <w:sz w:val="14"/>
                          <w:szCs w:val="14"/>
                          <w:lang w:val="en-GB"/>
                        </w:rPr>
                        <w:t>]</w:t>
                      </w:r>
                      <w:r w:rsidRPr="00FF7048">
                        <w:rPr>
                          <w:rFonts w:ascii="Times New Roman" w:hAnsi="Times New Roman"/>
                          <w:sz w:val="14"/>
                          <w:szCs w:val="14"/>
                          <w:lang w:val="en-GB"/>
                        </w:rPr>
                        <w:tab/>
                      </w:r>
                      <w:r w:rsidR="003E1625">
                        <w:rPr>
                          <w:lang w:val="en-GB"/>
                        </w:rPr>
                        <w:t>Dr. Marta Meazza, Dr. Ramon Rios</w:t>
                      </w:r>
                      <w:r w:rsidR="003E1625" w:rsidRPr="00F81D1A">
                        <w:rPr>
                          <w:lang w:val="en-GB"/>
                        </w:rPr>
                        <w:br/>
                      </w:r>
                      <w:r w:rsidR="003E1625">
                        <w:rPr>
                          <w:lang w:val="en-GB"/>
                        </w:rPr>
                        <w:t>School of Chemistry</w:t>
                      </w:r>
                      <w:r w:rsidR="003E1625" w:rsidRPr="00F81D1A">
                        <w:rPr>
                          <w:lang w:val="en-GB"/>
                        </w:rPr>
                        <w:br/>
                      </w:r>
                      <w:r w:rsidR="003E1625">
                        <w:rPr>
                          <w:lang w:val="en-GB"/>
                        </w:rPr>
                        <w:t>University of Southampton</w:t>
                      </w:r>
                      <w:r w:rsidR="003E1625">
                        <w:rPr>
                          <w:lang w:val="en-GB"/>
                        </w:rPr>
                        <w:br/>
                        <w:t>E-mail: rrt1f11@soton.ac.uk</w:t>
                      </w:r>
                      <w:r w:rsidR="003E1625">
                        <w:rPr>
                          <w:lang w:val="en-GB"/>
                        </w:rPr>
                        <w:br/>
                        <w:t xml:space="preserve">Homepage ((optional)): </w:t>
                      </w:r>
                      <w:hyperlink r:id="rId10" w:history="1">
                        <w:r w:rsidR="003E1625" w:rsidRPr="004E5327">
                          <w:rPr>
                            <w:rStyle w:val="Hyperlink"/>
                            <w:lang w:val="en-GB"/>
                          </w:rPr>
                          <w:t>www.riosresearchgroup.com</w:t>
                        </w:r>
                      </w:hyperlink>
                      <w:r w:rsidR="003E1625" w:rsidRPr="00FF7048">
                        <w:rPr>
                          <w:rFonts w:ascii="Times New Roman" w:hAnsi="Times New Roman"/>
                          <w:sz w:val="14"/>
                          <w:szCs w:val="14"/>
                          <w:lang w:val="en-GB"/>
                        </w:rPr>
                        <w:t xml:space="preserve"> </w:t>
                      </w:r>
                    </w:p>
                    <w:p w:rsidR="00F50082" w:rsidRPr="00CA3607" w:rsidRDefault="002B395C" w:rsidP="00F50082">
                      <w:pPr>
                        <w:pStyle w:val="Footnote"/>
                      </w:pPr>
                      <w:r>
                        <w:br/>
                      </w:r>
                      <w:r w:rsidRPr="00FF7048">
                        <w:t>Supporting information for this article is available on the WWW under http://www.chemeurj.org/ or from the author.</w:t>
                      </w:r>
                      <w:r>
                        <w:t>))</w:t>
                      </w:r>
                    </w:p>
                  </w:txbxContent>
                </v:textbox>
                <w10:wrap type="square" side="right" anchory="page"/>
                <w10:anchorlock/>
              </v:shape>
            </w:pict>
          </mc:Fallback>
        </mc:AlternateContent>
      </w:r>
      <w:r w:rsidR="003E1625" w:rsidRPr="00EA600F">
        <w:rPr>
          <w:lang w:val="it-IT"/>
        </w:rPr>
        <w:t xml:space="preserve"> </w:t>
      </w:r>
      <w:r w:rsidR="003E1625" w:rsidRPr="00BC4C0E">
        <w:rPr>
          <w:lang w:val="it-IT"/>
        </w:rPr>
        <w:t>Marta Meazza and Ramon Rios*</w:t>
      </w:r>
      <w:r w:rsidR="006479FE" w:rsidRPr="00BC4C0E">
        <w:rPr>
          <w:vertAlign w:val="superscript"/>
          <w:lang w:val="it-IT"/>
        </w:rPr>
        <w:t>[a]</w:t>
      </w:r>
    </w:p>
    <w:p w:rsidR="003E1625" w:rsidRDefault="003E1625" w:rsidP="003E1625">
      <w:pPr>
        <w:pStyle w:val="Dedication"/>
        <w:rPr>
          <w:lang w:val="en-GB"/>
        </w:rPr>
        <w:sectPr w:rsidR="003E1625" w:rsidSect="003E1625">
          <w:footerReference w:type="even" r:id="rId11"/>
          <w:footerReference w:type="default" r:id="rId12"/>
          <w:type w:val="continuous"/>
          <w:pgSz w:w="11906" w:h="16838" w:code="9"/>
          <w:pgMar w:top="1134" w:right="851" w:bottom="1225" w:left="851" w:header="709" w:footer="709" w:gutter="0"/>
          <w:cols w:space="284" w:equalWidth="0">
            <w:col w:w="10204"/>
          </w:cols>
          <w:docGrid w:linePitch="360"/>
        </w:sectPr>
      </w:pPr>
      <w:r>
        <w:rPr>
          <w:lang w:val="en-GB"/>
        </w:rPr>
        <w:t>This paper is dedicated to Professor Dieter Enders for his 70th birthday. He has always been a source of inspiration to develop new cascade reactions.</w:t>
      </w:r>
    </w:p>
    <w:p w:rsidR="003E1625" w:rsidRPr="003E1625" w:rsidRDefault="003E1625" w:rsidP="003E1625">
      <w:pPr>
        <w:tabs>
          <w:tab w:val="left" w:pos="2014"/>
        </w:tabs>
        <w:rPr>
          <w:lang w:val="en-GB"/>
        </w:rPr>
        <w:sectPr w:rsidR="003E1625" w:rsidRPr="003E1625" w:rsidSect="0090579F">
          <w:footerReference w:type="even" r:id="rId13"/>
          <w:footerReference w:type="default" r:id="rId14"/>
          <w:type w:val="continuous"/>
          <w:pgSz w:w="11906" w:h="16838" w:code="9"/>
          <w:pgMar w:top="1134" w:right="851" w:bottom="1225" w:left="1077" w:header="709" w:footer="709" w:gutter="0"/>
          <w:cols w:space="284"/>
          <w:docGrid w:linePitch="360"/>
        </w:sectPr>
      </w:pPr>
      <w:r>
        <w:rPr>
          <w:lang w:val="en-GB"/>
        </w:rPr>
        <w:tab/>
      </w:r>
    </w:p>
    <w:p w:rsidR="003E1625" w:rsidRPr="00B93070" w:rsidRDefault="003E1625" w:rsidP="003E1625">
      <w:pPr>
        <w:pStyle w:val="P1withoutIndendation"/>
        <w:rPr>
          <w:lang w:val="en-GB"/>
        </w:rPr>
      </w:pPr>
      <w:r w:rsidRPr="00B93070">
        <w:rPr>
          <w:lang w:val="en-GB"/>
        </w:rPr>
        <w:t xml:space="preserve">The art of creating new molecules has become one of the greatest achievements for organic chemists due </w:t>
      </w:r>
      <w:r w:rsidR="00A94565" w:rsidRPr="00B93070">
        <w:rPr>
          <w:lang w:val="en-GB"/>
        </w:rPr>
        <w:t xml:space="preserve">to </w:t>
      </w:r>
      <w:r w:rsidRPr="00B93070">
        <w:rPr>
          <w:lang w:val="en-GB"/>
        </w:rPr>
        <w:t>the necessity of pharma and agrochemical industries to test original structures for the development of new drugs, pesticides or agrochemicals.</w:t>
      </w:r>
    </w:p>
    <w:p w:rsidR="003E1625" w:rsidRPr="00B93070" w:rsidRDefault="003E1625" w:rsidP="003E1625">
      <w:pPr>
        <w:pStyle w:val="P1withoutIndendation"/>
        <w:rPr>
          <w:lang w:val="en-GB"/>
        </w:rPr>
      </w:pPr>
      <w:r w:rsidRPr="00B93070">
        <w:rPr>
          <w:lang w:val="en-GB"/>
        </w:rPr>
        <w:t xml:space="preserve">As Mother Nature does, chemists try to emulate biosynthetic pathways through the development of new cascade reactions. More than a decade ago the major part of catalytic cascade reactions </w:t>
      </w:r>
      <w:r w:rsidR="00A94565" w:rsidRPr="00B93070">
        <w:rPr>
          <w:lang w:val="en-GB"/>
        </w:rPr>
        <w:t>was</w:t>
      </w:r>
      <w:r w:rsidRPr="00B93070">
        <w:rPr>
          <w:lang w:val="en-GB"/>
        </w:rPr>
        <w:t xml:space="preserve"> ruled by organometallic chemistry. Metal complexes were able to activate starting materials and build, in a stereoselective fashion, new 3D scaffolds. However, some issues associated with organometallic chemistry need to be addressed, such as the use of inert atmosphere, expensive ligands, etc… that makes difficult to apply the reactions on a large scale or </w:t>
      </w:r>
      <w:r w:rsidR="005318E4" w:rsidRPr="00B93070">
        <w:rPr>
          <w:lang w:val="en-GB"/>
        </w:rPr>
        <w:t xml:space="preserve">to </w:t>
      </w:r>
      <w:r w:rsidRPr="00B93070">
        <w:rPr>
          <w:lang w:val="en-GB"/>
        </w:rPr>
        <w:t>face the topics related to green chemistry.</w:t>
      </w:r>
      <w:r w:rsidR="003B6321" w:rsidRPr="00B93070">
        <w:rPr>
          <w:vertAlign w:val="superscript"/>
          <w:lang w:val="en-GB"/>
        </w:rPr>
        <w:t>[1</w:t>
      </w:r>
      <w:r w:rsidRPr="00B93070">
        <w:rPr>
          <w:vertAlign w:val="superscript"/>
          <w:lang w:val="en-GB"/>
        </w:rPr>
        <w:t>]</w:t>
      </w:r>
      <w:r w:rsidRPr="00B93070">
        <w:rPr>
          <w:lang w:val="en-GB"/>
        </w:rPr>
        <w:t xml:space="preserve"> After the breakthrough of organocatalysis, a plethora of new organocascade reactions, showing exceptional levels of stereoinduction and using very soft conditions were developed.</w:t>
      </w:r>
      <w:r w:rsidR="003B6321" w:rsidRPr="00B93070">
        <w:rPr>
          <w:vertAlign w:val="superscript"/>
          <w:lang w:val="en-GB"/>
        </w:rPr>
        <w:t>[2</w:t>
      </w:r>
      <w:r w:rsidRPr="00B93070">
        <w:rPr>
          <w:vertAlign w:val="superscript"/>
          <w:lang w:val="en-GB"/>
        </w:rPr>
        <w:t>]</w:t>
      </w:r>
      <w:r w:rsidRPr="00B93070">
        <w:rPr>
          <w:lang w:val="en-GB"/>
        </w:rPr>
        <w:t xml:space="preserve"> However, despite this advantages, some issues must still be considered such as the poor chemical diversity or the use of highly activated nucleophiles or electrophiles. </w:t>
      </w:r>
    </w:p>
    <w:p w:rsidR="003E1625" w:rsidRPr="00B93070" w:rsidRDefault="003E1625" w:rsidP="003E1625">
      <w:pPr>
        <w:pStyle w:val="P1withoutIndendation"/>
        <w:rPr>
          <w:lang w:val="en-US"/>
        </w:rPr>
      </w:pPr>
      <w:r w:rsidRPr="00B93070">
        <w:rPr>
          <w:lang w:val="en-GB"/>
        </w:rPr>
        <w:t>At the end of the last decade, the two words (organometallic and organocatalysis) converged in the development of new methodologies merging the advantages of both and achieving the synthesis of very complex structures. For example C</w:t>
      </w:r>
      <w:r w:rsidR="001D6F97" w:rsidRPr="00B93070">
        <w:rPr>
          <w:lang w:val="en-GB"/>
        </w:rPr>
        <w:t>ó</w:t>
      </w:r>
      <w:r w:rsidRPr="00B93070">
        <w:rPr>
          <w:lang w:val="en-GB"/>
        </w:rPr>
        <w:t>rdova, Alexakis, J</w:t>
      </w:r>
      <w:r w:rsidR="001D6F97" w:rsidRPr="00B93070">
        <w:rPr>
          <w:lang w:val="en-GB"/>
        </w:rPr>
        <w:t>ø</w:t>
      </w:r>
      <w:r w:rsidRPr="00B93070">
        <w:rPr>
          <w:lang w:val="en-GB"/>
        </w:rPr>
        <w:t xml:space="preserve">rgensen, List, MacMillan, etc. joined organocatalytic and </w:t>
      </w:r>
      <w:r w:rsidRPr="00B93070">
        <w:rPr>
          <w:lang w:val="en-US"/>
        </w:rPr>
        <w:t>organometallic activation with excellent results.</w:t>
      </w:r>
      <w:r w:rsidR="003B6321" w:rsidRPr="00B93070">
        <w:rPr>
          <w:vertAlign w:val="superscript"/>
          <w:lang w:val="en-US"/>
        </w:rPr>
        <w:t>[3</w:t>
      </w:r>
      <w:r w:rsidRPr="00B93070">
        <w:rPr>
          <w:vertAlign w:val="superscript"/>
          <w:lang w:val="en-US"/>
        </w:rPr>
        <w:t>]</w:t>
      </w:r>
      <w:r w:rsidRPr="00B93070">
        <w:rPr>
          <w:lang w:val="en-US"/>
        </w:rPr>
        <w:t xml:space="preserve"> </w:t>
      </w:r>
    </w:p>
    <w:p w:rsidR="003E1625" w:rsidRPr="00B93070" w:rsidRDefault="003E1625" w:rsidP="003E1625">
      <w:pPr>
        <w:pStyle w:val="P1withoutIndendation"/>
        <w:rPr>
          <w:vertAlign w:val="superscript"/>
          <w:lang w:val="en-US"/>
        </w:rPr>
      </w:pPr>
      <w:r w:rsidRPr="00B93070">
        <w:rPr>
          <w:lang w:val="en-US"/>
        </w:rPr>
        <w:t xml:space="preserve">Merging transition metal complexes with organocatalysts obviously enriches the chemical diversity thus allowing the use of some starting materials that cannot be used as such. This new </w:t>
      </w:r>
      <w:r w:rsidRPr="00B93070">
        <w:rPr>
          <w:lang w:val="en-US"/>
        </w:rPr>
        <w:t>approach based on synergistic catalysis (where the concurrent activation of both reactants allows the use of both unreactive substrates to form a new C-C bond), presents several advantages with respect to other type of multicatalysis</w:t>
      </w:r>
      <w:r w:rsidR="001D6F97" w:rsidRPr="00B93070">
        <w:rPr>
          <w:lang w:val="en-US"/>
        </w:rPr>
        <w:t>,</w:t>
      </w:r>
      <w:r w:rsidRPr="00B93070">
        <w:rPr>
          <w:lang w:val="en-US"/>
        </w:rPr>
        <w:t xml:space="preserve"> such as the eas</w:t>
      </w:r>
      <w:r w:rsidR="001D6F97" w:rsidRPr="00B93070">
        <w:rPr>
          <w:lang w:val="en-US"/>
        </w:rPr>
        <w:t>y optimization of each catalyst</w:t>
      </w:r>
      <w:r w:rsidRPr="00B93070">
        <w:rPr>
          <w:lang w:val="en-US"/>
        </w:rPr>
        <w:t xml:space="preserve"> as well as no need of using expensive ligands.</w:t>
      </w:r>
      <w:r w:rsidR="003B6321" w:rsidRPr="00B93070">
        <w:rPr>
          <w:vertAlign w:val="superscript"/>
          <w:lang w:val="en-US"/>
        </w:rPr>
        <w:t>[4</w:t>
      </w:r>
      <w:r w:rsidRPr="00B93070">
        <w:rPr>
          <w:vertAlign w:val="superscript"/>
          <w:lang w:val="en-US"/>
        </w:rPr>
        <w:t>]</w:t>
      </w:r>
    </w:p>
    <w:p w:rsidR="003E1625" w:rsidRPr="00B93070" w:rsidRDefault="003E1625" w:rsidP="003E1625">
      <w:pPr>
        <w:pStyle w:val="P1withoutIndendation"/>
        <w:rPr>
          <w:lang w:val="en-GB"/>
        </w:rPr>
      </w:pPr>
      <w:r w:rsidRPr="00B93070">
        <w:rPr>
          <w:lang w:val="en-US"/>
        </w:rPr>
        <w:t>Inspired by these achievements and by Nature, we started a vigorous</w:t>
      </w:r>
      <w:r w:rsidRPr="00B93070">
        <w:rPr>
          <w:lang w:val="en-GB"/>
        </w:rPr>
        <w:t xml:space="preserve"> research plan in synergistic catalysis merging transition metal chemistry and organocatalysis. We want to merge the rich chemistry of </w:t>
      </w:r>
      <w:r w:rsidR="00BB5B83" w:rsidRPr="00B93070">
        <w:rPr>
          <w:lang w:val="en-GB"/>
        </w:rPr>
        <w:t xml:space="preserve">the </w:t>
      </w:r>
      <w:r w:rsidRPr="00B93070">
        <w:rPr>
          <w:lang w:val="en-GB"/>
        </w:rPr>
        <w:t>transition metal</w:t>
      </w:r>
      <w:r w:rsidR="00BB5B83" w:rsidRPr="00B93070">
        <w:rPr>
          <w:lang w:val="en-GB"/>
        </w:rPr>
        <w:t>s</w:t>
      </w:r>
      <w:r w:rsidRPr="00B93070">
        <w:rPr>
          <w:lang w:val="en-GB"/>
        </w:rPr>
        <w:t xml:space="preserve"> with the cheap and easy stereoselective prediction of </w:t>
      </w:r>
      <w:r w:rsidR="00BB5B83" w:rsidRPr="00B93070">
        <w:rPr>
          <w:lang w:val="en-GB"/>
        </w:rPr>
        <w:t xml:space="preserve">the </w:t>
      </w:r>
      <w:r w:rsidRPr="00B93070">
        <w:rPr>
          <w:lang w:val="en-GB"/>
        </w:rPr>
        <w:t>organocatalysts. In 2014, we developed the addition of benzoxazoles to MBH carbonates and enals combining metal Lewis acid and organocatalysts with good results.</w:t>
      </w:r>
      <w:r w:rsidR="003B6321" w:rsidRPr="00B93070">
        <w:rPr>
          <w:vertAlign w:val="superscript"/>
          <w:lang w:val="en-GB"/>
        </w:rPr>
        <w:t>[5</w:t>
      </w:r>
      <w:r w:rsidRPr="00B93070">
        <w:rPr>
          <w:vertAlign w:val="superscript"/>
          <w:lang w:val="en-GB"/>
        </w:rPr>
        <w:t>]</w:t>
      </w:r>
      <w:r w:rsidRPr="00B93070">
        <w:rPr>
          <w:lang w:val="en-GB"/>
        </w:rPr>
        <w:t xml:space="preserve"> Spurred by these initial</w:t>
      </w:r>
      <w:r w:rsidR="00BB5B83" w:rsidRPr="00B93070">
        <w:rPr>
          <w:lang w:val="en-GB"/>
        </w:rPr>
        <w:t>s results, we successfully proved</w:t>
      </w:r>
      <w:r w:rsidRPr="00B93070">
        <w:rPr>
          <w:lang w:val="en-GB"/>
        </w:rPr>
        <w:t xml:space="preserve"> that this synergistic concept could be expanded to the development of cascade reactions by joining three catalytic cycles (metal Lewis acid, iminium chemistry and enamine chemistry) for the synthesis of cyclopropanes in high yields and stereoselectivities.</w:t>
      </w:r>
      <w:r w:rsidR="003B6321" w:rsidRPr="00B93070">
        <w:rPr>
          <w:vertAlign w:val="superscript"/>
          <w:lang w:val="en-GB"/>
        </w:rPr>
        <w:t>[6</w:t>
      </w:r>
      <w:r w:rsidRPr="00B93070">
        <w:rPr>
          <w:vertAlign w:val="superscript"/>
          <w:lang w:val="en-GB"/>
        </w:rPr>
        <w:t>]</w:t>
      </w:r>
      <w:r w:rsidRPr="00B93070">
        <w:rPr>
          <w:lang w:val="en-GB"/>
        </w:rPr>
        <w:t xml:space="preserve"> </w:t>
      </w:r>
    </w:p>
    <w:p w:rsidR="003E1625" w:rsidRPr="00B93070" w:rsidRDefault="003E1625" w:rsidP="003E1625">
      <w:pPr>
        <w:pStyle w:val="P1withoutIndendation"/>
        <w:rPr>
          <w:lang w:val="en-GB"/>
        </w:rPr>
      </w:pPr>
      <w:r w:rsidRPr="00B93070">
        <w:rPr>
          <w:lang w:val="en-GB"/>
        </w:rPr>
        <w:t>Due to our interest in the enantioselective synthesis of carbocycles, we focused our attention in the development of a methodology based on synergistic catalysis for the synthesis of cyclopentanes. Opposite to their brother cyclohexanes that could be easily accessed by Diels-Alder reactions, the cyclopentane moiety represents a superior challenge as few methodologies are available for its synthesis. To cite a few examples: Pauson-Khand reaction,</w:t>
      </w:r>
      <w:r w:rsidR="003B6321" w:rsidRPr="00B93070">
        <w:rPr>
          <w:vertAlign w:val="superscript"/>
          <w:lang w:val="en-GB"/>
        </w:rPr>
        <w:t>[7</w:t>
      </w:r>
      <w:r w:rsidRPr="00B93070">
        <w:rPr>
          <w:vertAlign w:val="superscript"/>
          <w:lang w:val="en-GB"/>
        </w:rPr>
        <w:t>]</w:t>
      </w:r>
      <w:r w:rsidRPr="00B93070">
        <w:rPr>
          <w:lang w:val="en-GB"/>
        </w:rPr>
        <w:t xml:space="preserve"> Nazarov cyclization</w:t>
      </w:r>
      <w:r w:rsidR="003B6321" w:rsidRPr="00B93070">
        <w:rPr>
          <w:vertAlign w:val="superscript"/>
          <w:lang w:val="en-GB"/>
        </w:rPr>
        <w:t>[8</w:t>
      </w:r>
      <w:r w:rsidRPr="00B93070">
        <w:rPr>
          <w:vertAlign w:val="superscript"/>
          <w:lang w:val="en-GB"/>
        </w:rPr>
        <w:t>]</w:t>
      </w:r>
      <w:r w:rsidRPr="00B93070">
        <w:rPr>
          <w:lang w:val="en-GB"/>
        </w:rPr>
        <w:t xml:space="preserve"> or Au catalysed cyclization,</w:t>
      </w:r>
      <w:r w:rsidRPr="00B93070">
        <w:rPr>
          <w:vertAlign w:val="superscript"/>
          <w:lang w:val="en-GB"/>
        </w:rPr>
        <w:t>[</w:t>
      </w:r>
      <w:r w:rsidR="003B6321" w:rsidRPr="00B93070">
        <w:rPr>
          <w:vertAlign w:val="superscript"/>
          <w:lang w:val="en-GB"/>
        </w:rPr>
        <w:t>9</w:t>
      </w:r>
      <w:r w:rsidRPr="00B93070">
        <w:rPr>
          <w:vertAlign w:val="superscript"/>
          <w:lang w:val="en-GB"/>
        </w:rPr>
        <w:t>]</w:t>
      </w:r>
      <w:r w:rsidR="005318E4" w:rsidRPr="00B93070">
        <w:rPr>
          <w:lang w:val="en-GB"/>
        </w:rPr>
        <w:t xml:space="preserve"> however,</w:t>
      </w:r>
      <w:r w:rsidRPr="00B93070">
        <w:rPr>
          <w:lang w:val="en-GB"/>
        </w:rPr>
        <w:t xml:space="preserve"> hardly any of them are enantioselective. With the advent of organocatalysis, several Michael initiated ring closure have been developed by C</w:t>
      </w:r>
      <w:r w:rsidR="00BB5B83" w:rsidRPr="00B93070">
        <w:rPr>
          <w:lang w:val="en-GB"/>
        </w:rPr>
        <w:t>ó</w:t>
      </w:r>
      <w:r w:rsidRPr="00B93070">
        <w:rPr>
          <w:lang w:val="en-GB"/>
        </w:rPr>
        <w:t>rdova,</w:t>
      </w:r>
      <w:r w:rsidR="003B6321" w:rsidRPr="00B93070">
        <w:rPr>
          <w:vertAlign w:val="superscript"/>
          <w:lang w:val="en-GB"/>
        </w:rPr>
        <w:t>[10</w:t>
      </w:r>
      <w:r w:rsidRPr="00B93070">
        <w:rPr>
          <w:vertAlign w:val="superscript"/>
          <w:lang w:val="en-GB"/>
        </w:rPr>
        <w:t>]</w:t>
      </w:r>
      <w:r w:rsidRPr="00B93070">
        <w:rPr>
          <w:lang w:val="en-GB"/>
        </w:rPr>
        <w:t xml:space="preserve"> Wang</w:t>
      </w:r>
      <w:r w:rsidR="003B6321" w:rsidRPr="00B93070">
        <w:rPr>
          <w:vertAlign w:val="superscript"/>
          <w:lang w:val="en-GB"/>
        </w:rPr>
        <w:t>[11</w:t>
      </w:r>
      <w:r w:rsidRPr="00B93070">
        <w:rPr>
          <w:vertAlign w:val="superscript"/>
          <w:lang w:val="en-GB"/>
        </w:rPr>
        <w:t>]</w:t>
      </w:r>
      <w:r w:rsidRPr="00B93070">
        <w:rPr>
          <w:lang w:val="en-GB"/>
        </w:rPr>
        <w:t xml:space="preserve"> and others,</w:t>
      </w:r>
      <w:r w:rsidR="003B6321" w:rsidRPr="00B93070">
        <w:rPr>
          <w:vertAlign w:val="superscript"/>
          <w:lang w:val="en-GB"/>
        </w:rPr>
        <w:t>[12</w:t>
      </w:r>
      <w:r w:rsidRPr="00B93070">
        <w:rPr>
          <w:vertAlign w:val="superscript"/>
          <w:lang w:val="en-GB"/>
        </w:rPr>
        <w:t>]</w:t>
      </w:r>
      <w:r w:rsidRPr="00B93070">
        <w:rPr>
          <w:lang w:val="en-GB"/>
        </w:rPr>
        <w:t xml:space="preserve"> however the need to use highly activated nucleophiles in the first step limited somehow the scope of these approaches. C</w:t>
      </w:r>
      <w:r w:rsidR="00BB5B83" w:rsidRPr="00B93070">
        <w:rPr>
          <w:lang w:val="en-GB"/>
        </w:rPr>
        <w:t>ó</w:t>
      </w:r>
      <w:r w:rsidRPr="00B93070">
        <w:rPr>
          <w:lang w:val="en-GB"/>
        </w:rPr>
        <w:t>rdova and coworkers in 2013 circumvented some of these limitations by using a different synergistic approach. The use of carbon pronucleophiles bearing an allyl acetate activated by Pd, with enals activated by secondary amines, open</w:t>
      </w:r>
      <w:r w:rsidR="00BB5B83" w:rsidRPr="00B93070">
        <w:rPr>
          <w:lang w:val="en-GB"/>
        </w:rPr>
        <w:t>ed</w:t>
      </w:r>
      <w:r w:rsidRPr="00B93070">
        <w:rPr>
          <w:lang w:val="en-GB"/>
        </w:rPr>
        <w:t xml:space="preserve"> a new gate in terms of access to cyclopentanes.</w:t>
      </w:r>
      <w:r w:rsidR="003B6321" w:rsidRPr="00B93070">
        <w:rPr>
          <w:vertAlign w:val="superscript"/>
          <w:lang w:val="en-GB"/>
        </w:rPr>
        <w:t>[13</w:t>
      </w:r>
      <w:r w:rsidRPr="00B93070">
        <w:rPr>
          <w:vertAlign w:val="superscript"/>
          <w:lang w:val="en-GB"/>
        </w:rPr>
        <w:t>]</w:t>
      </w:r>
      <w:r w:rsidRPr="00B93070">
        <w:rPr>
          <w:lang w:val="en-GB"/>
        </w:rPr>
        <w:t xml:space="preserve"> The requirement to use a strong pronucleophile is still limiting the scope of the</w:t>
      </w:r>
      <w:r w:rsidR="00BB5B83" w:rsidRPr="00B93070">
        <w:rPr>
          <w:lang w:val="en-GB"/>
        </w:rPr>
        <w:t>se</w:t>
      </w:r>
      <w:r w:rsidRPr="00B93070">
        <w:rPr>
          <w:lang w:val="en-GB"/>
        </w:rPr>
        <w:t xml:space="preserve"> reactions. Moreover, the syntheses of the starting materials are quite tedious, </w:t>
      </w:r>
      <w:r w:rsidRPr="00B93070">
        <w:rPr>
          <w:lang w:val="en-GB"/>
        </w:rPr>
        <w:lastRenderedPageBreak/>
        <w:t>requiring the use of protecting groups and</w:t>
      </w:r>
      <w:r w:rsidR="00A66AA2" w:rsidRPr="00B93070">
        <w:rPr>
          <w:lang w:val="en-GB"/>
        </w:rPr>
        <w:t>,</w:t>
      </w:r>
      <w:r w:rsidRPr="00B93070">
        <w:rPr>
          <w:lang w:val="en-GB"/>
        </w:rPr>
        <w:t xml:space="preserve"> in definitive, limiting their practical usefulness. In order to circumvent all the limitations and</w:t>
      </w:r>
      <w:r w:rsidR="00A66AA2" w:rsidRPr="00B93070">
        <w:rPr>
          <w:lang w:val="en-GB"/>
        </w:rPr>
        <w:t>,</w:t>
      </w:r>
      <w:r w:rsidRPr="00B93070">
        <w:rPr>
          <w:lang w:val="en-GB"/>
        </w:rPr>
        <w:t xml:space="preserve"> at the same time</w:t>
      </w:r>
      <w:r w:rsidR="00A66AA2" w:rsidRPr="00B93070">
        <w:rPr>
          <w:lang w:val="en-GB"/>
        </w:rPr>
        <w:t>, to</w:t>
      </w:r>
      <w:r w:rsidRPr="00B93070">
        <w:rPr>
          <w:lang w:val="en-GB"/>
        </w:rPr>
        <w:t xml:space="preserve"> develop a mo</w:t>
      </w:r>
      <w:r w:rsidR="00A66AA2" w:rsidRPr="00B93070">
        <w:rPr>
          <w:lang w:val="en-GB"/>
        </w:rPr>
        <w:t>re atom economic process</w:t>
      </w:r>
      <w:r w:rsidRPr="00B93070">
        <w:rPr>
          <w:lang w:val="en-GB"/>
        </w:rPr>
        <w:t xml:space="preserve"> by avoiding the use of leaving groups, we thought that the use of vinyl cyclopropanes</w:t>
      </w:r>
      <w:r w:rsidR="003B6321" w:rsidRPr="00B93070">
        <w:rPr>
          <w:vertAlign w:val="superscript"/>
          <w:lang w:val="en-GB"/>
        </w:rPr>
        <w:t>[14</w:t>
      </w:r>
      <w:r w:rsidR="00FE639E" w:rsidRPr="00B93070">
        <w:rPr>
          <w:vertAlign w:val="superscript"/>
          <w:lang w:val="en-GB"/>
        </w:rPr>
        <w:t>]</w:t>
      </w:r>
      <w:r w:rsidRPr="00B93070">
        <w:rPr>
          <w:lang w:val="en-GB"/>
        </w:rPr>
        <w:t xml:space="preserve"> could allow us to synthesize vinyl-cyclopentanes in a highly stereoselective fashion (Scheme 1).</w:t>
      </w:r>
      <w:r w:rsidR="003B6321" w:rsidRPr="00B93070">
        <w:rPr>
          <w:vertAlign w:val="superscript"/>
          <w:lang w:val="en-GB"/>
        </w:rPr>
        <w:t>[15</w:t>
      </w:r>
      <w:r w:rsidRPr="00B93070">
        <w:rPr>
          <w:vertAlign w:val="superscript"/>
          <w:lang w:val="en-GB"/>
        </w:rPr>
        <w:t>]</w:t>
      </w:r>
      <w:r w:rsidRPr="00B93070">
        <w:rPr>
          <w:lang w:val="en-GB"/>
        </w:rPr>
        <w:t xml:space="preserve"> </w:t>
      </w:r>
    </w:p>
    <w:p w:rsidR="003E1625" w:rsidRPr="00B93070" w:rsidRDefault="003B2424" w:rsidP="003E1625">
      <w:pPr>
        <w:pStyle w:val="P1withoutIndendation"/>
        <w:rPr>
          <w:lang w:val="en-GB"/>
        </w:rPr>
      </w:pPr>
      <w:r w:rsidRPr="00B93070">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0;text-align:left;margin-left:-4pt;margin-top:5.4pt;width:243.25pt;height:127.25pt;z-index:251663872;mso-position-horizontal-relative:text;mso-position-vertical-relative:text">
            <v:imagedata r:id="rId15" o:title=""/>
          </v:shape>
          <o:OLEObject Type="Embed" ProgID="ChemDraw.Document.6.0" ShapeID="_x0000_s1106" DrawAspect="Content" ObjectID="_1525078362" r:id="rId16"/>
        </w:object>
      </w: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SchemeCaption"/>
        <w:rPr>
          <w:b/>
          <w:i/>
        </w:rPr>
      </w:pPr>
    </w:p>
    <w:p w:rsidR="003E1625" w:rsidRPr="00B93070" w:rsidRDefault="003E1625" w:rsidP="003E1625">
      <w:pPr>
        <w:pStyle w:val="SchemeCaption"/>
        <w:rPr>
          <w:b/>
          <w:i/>
        </w:rPr>
      </w:pPr>
    </w:p>
    <w:p w:rsidR="003E1625" w:rsidRPr="00B93070" w:rsidRDefault="003E1625" w:rsidP="003E1625">
      <w:pPr>
        <w:pStyle w:val="SchemeCaption"/>
      </w:pPr>
      <w:r w:rsidRPr="00B93070">
        <w:rPr>
          <w:b/>
          <w:i/>
        </w:rPr>
        <w:t>Scheme 1.</w:t>
      </w:r>
      <w:r w:rsidRPr="00B93070">
        <w:t xml:space="preserve"> Previous works and our work. </w:t>
      </w:r>
    </w:p>
    <w:p w:rsidR="003E1625" w:rsidRPr="00B93070" w:rsidRDefault="003E1625" w:rsidP="003E1625">
      <w:pPr>
        <w:pStyle w:val="P1withoutIndendation"/>
        <w:rPr>
          <w:lang w:val="en-GB"/>
        </w:rPr>
      </w:pPr>
      <w:r w:rsidRPr="00B93070">
        <w:rPr>
          <w:lang w:val="en-GB"/>
        </w:rPr>
        <w:t>Several research groups have been working on the synthesis of cyclopentanes using vinyl cyclopropanes as starting materials.</w:t>
      </w:r>
      <w:r w:rsidR="0063133D" w:rsidRPr="00B93070">
        <w:rPr>
          <w:vertAlign w:val="superscript"/>
          <w:lang w:val="en-GB"/>
        </w:rPr>
        <w:t>[16</w:t>
      </w:r>
      <w:r w:rsidRPr="00B93070">
        <w:rPr>
          <w:vertAlign w:val="superscript"/>
          <w:lang w:val="en-GB"/>
        </w:rPr>
        <w:t>]</w:t>
      </w:r>
      <w:r w:rsidRPr="00B93070">
        <w:rPr>
          <w:lang w:val="en-GB"/>
        </w:rPr>
        <w:t xml:space="preserve"> For example Trost in 2011 reported a Pd catalyzed vinylcyclopropane addition to alkylidene azalactones, using chiral diphosphine ligands with excellent results.</w:t>
      </w:r>
      <w:r w:rsidR="0063133D" w:rsidRPr="00B93070">
        <w:rPr>
          <w:vertAlign w:val="superscript"/>
          <w:lang w:val="en-GB"/>
        </w:rPr>
        <w:t>[17</w:t>
      </w:r>
      <w:r w:rsidRPr="00B93070">
        <w:rPr>
          <w:vertAlign w:val="superscript"/>
          <w:lang w:val="en-GB"/>
        </w:rPr>
        <w:t>]</w:t>
      </w:r>
      <w:r w:rsidRPr="00B93070">
        <w:rPr>
          <w:lang w:val="en-GB"/>
        </w:rPr>
        <w:t xml:space="preserve"> Very recently Liu and coworkers reported the addition of vinylcyclopropanes to nitroolefines using chiral bis (</w:t>
      </w:r>
      <w:r w:rsidRPr="00B93070">
        <w:rPr>
          <w:i/>
          <w:lang w:val="en-GB"/>
        </w:rPr>
        <w:t>tert</w:t>
      </w:r>
      <w:r w:rsidRPr="00B93070">
        <w:rPr>
          <w:lang w:val="en-GB"/>
        </w:rPr>
        <w:t>-amine)ligands.</w:t>
      </w:r>
      <w:r w:rsidRPr="00B93070">
        <w:rPr>
          <w:vertAlign w:val="superscript"/>
          <w:lang w:val="en-GB"/>
        </w:rPr>
        <w:t>[</w:t>
      </w:r>
      <w:r w:rsidR="0063133D" w:rsidRPr="00B93070">
        <w:rPr>
          <w:vertAlign w:val="superscript"/>
          <w:lang w:val="en-GB"/>
        </w:rPr>
        <w:t>18</w:t>
      </w:r>
      <w:r w:rsidRPr="00B93070">
        <w:rPr>
          <w:vertAlign w:val="superscript"/>
          <w:lang w:val="en-GB"/>
        </w:rPr>
        <w:t>]</w:t>
      </w:r>
    </w:p>
    <w:p w:rsidR="00607BC2" w:rsidRPr="00B93070" w:rsidRDefault="003E1625" w:rsidP="003E1625">
      <w:pPr>
        <w:pStyle w:val="P1withoutIndendation"/>
        <w:rPr>
          <w:lang w:val="en-GB"/>
        </w:rPr>
      </w:pPr>
      <w:r w:rsidRPr="00B93070">
        <w:rPr>
          <w:lang w:val="en-GB"/>
        </w:rPr>
        <w:t>Mindful of this, we conceived a simple one-pot cascade reaction for the synthesis of cyclopentanes. We envisioned that</w:t>
      </w:r>
      <w:r w:rsidR="00607BC2" w:rsidRPr="00B93070">
        <w:rPr>
          <w:lang w:val="en-GB"/>
        </w:rPr>
        <w:t xml:space="preserve"> the use of vinylcyclopropanes (</w:t>
      </w:r>
      <w:r w:rsidRPr="00B93070">
        <w:rPr>
          <w:lang w:val="en-GB"/>
        </w:rPr>
        <w:t>easily synthesized in one step from commercial</w:t>
      </w:r>
      <w:r w:rsidR="00607BC2" w:rsidRPr="00B93070">
        <w:rPr>
          <w:lang w:val="en-GB"/>
        </w:rPr>
        <w:t>ly available starting materials)</w:t>
      </w:r>
      <w:r w:rsidRPr="00B93070">
        <w:rPr>
          <w:lang w:val="en-GB"/>
        </w:rPr>
        <w:t xml:space="preserve"> that could be opened “in situ” in combination with enals, represent</w:t>
      </w:r>
      <w:r w:rsidR="00607BC2" w:rsidRPr="00B93070">
        <w:rPr>
          <w:lang w:val="en-GB"/>
        </w:rPr>
        <w:t>s</w:t>
      </w:r>
      <w:r w:rsidRPr="00B93070">
        <w:rPr>
          <w:lang w:val="en-GB"/>
        </w:rPr>
        <w:t xml:space="preserve"> an excellent platform for the synthesis of cyclopentanes. In order to achieve this, we planned to use </w:t>
      </w:r>
      <w:r w:rsidRPr="00B93070">
        <w:rPr>
          <w:b/>
          <w:lang w:val="en-GB"/>
        </w:rPr>
        <w:t>four catalytic cycles in a double synergistic cascade reaction</w:t>
      </w:r>
      <w:r w:rsidRPr="00B93070">
        <w:rPr>
          <w:lang w:val="en-GB"/>
        </w:rPr>
        <w:t xml:space="preserve">. </w:t>
      </w:r>
      <w:r w:rsidRPr="00B93070">
        <w:rPr>
          <w:b/>
          <w:lang w:val="en-GB"/>
        </w:rPr>
        <w:t>For the first time, two different synergistic reactions will be coupled in a cascade fashion</w:t>
      </w:r>
      <w:r w:rsidR="001D6F97" w:rsidRPr="00B93070">
        <w:rPr>
          <w:b/>
          <w:lang w:val="en-GB"/>
        </w:rPr>
        <w:t xml:space="preserve"> </w:t>
      </w:r>
      <w:r w:rsidR="001D6F97" w:rsidRPr="00B93070">
        <w:rPr>
          <w:b/>
        </w:rPr>
        <w:t>without the need of inert atmosphere nor additional ligands</w:t>
      </w:r>
      <w:r w:rsidR="00A94565" w:rsidRPr="00B93070">
        <w:rPr>
          <w:lang w:val="en-GB"/>
        </w:rPr>
        <w:t>.</w:t>
      </w:r>
    </w:p>
    <w:p w:rsidR="00607BC2" w:rsidRPr="00B93070" w:rsidRDefault="00607BC2" w:rsidP="003E1625">
      <w:pPr>
        <w:pStyle w:val="P1withoutIndendation"/>
        <w:rPr>
          <w:lang w:val="en-GB"/>
        </w:rPr>
      </w:pPr>
    </w:p>
    <w:p w:rsidR="003E1625" w:rsidRPr="00B93070" w:rsidRDefault="00A94565" w:rsidP="003E1625">
      <w:pPr>
        <w:pStyle w:val="P1withoutIndendation"/>
        <w:rPr>
          <w:lang w:val="en-GB"/>
        </w:rPr>
      </w:pPr>
      <w:r w:rsidRPr="00B93070">
        <w:rPr>
          <w:lang w:val="en-GB"/>
        </w:rPr>
        <w:t>Firstly,</w:t>
      </w:r>
      <w:r w:rsidR="003E1625" w:rsidRPr="00B93070">
        <w:rPr>
          <w:lang w:val="en-GB"/>
        </w:rPr>
        <w:t xml:space="preserve"> </w:t>
      </w:r>
      <w:r w:rsidR="00B13D9A" w:rsidRPr="00B93070">
        <w:rPr>
          <w:lang w:val="en-GB"/>
        </w:rPr>
        <w:t>Pd</w:t>
      </w:r>
      <w:r w:rsidR="003E1625" w:rsidRPr="00B93070">
        <w:rPr>
          <w:lang w:val="en-GB"/>
        </w:rPr>
        <w:t xml:space="preserve"> will activate the opening of the cyclopropane to genera</w:t>
      </w:r>
      <w:r w:rsidR="00022228" w:rsidRPr="00B93070">
        <w:rPr>
          <w:lang w:val="en-GB"/>
        </w:rPr>
        <w:t>te “in situ” the pronucleophile</w:t>
      </w:r>
      <w:r w:rsidR="003E1625" w:rsidRPr="00B93070">
        <w:rPr>
          <w:lang w:val="en-GB"/>
        </w:rPr>
        <w:t xml:space="preserve"> </w:t>
      </w:r>
      <w:r w:rsidR="00B13D9A" w:rsidRPr="00B93070">
        <w:rPr>
          <w:lang w:val="en-GB"/>
        </w:rPr>
        <w:t>by an oxidative addition</w:t>
      </w:r>
      <w:r w:rsidR="00022228" w:rsidRPr="00B93070">
        <w:rPr>
          <w:lang w:val="en-GB"/>
        </w:rPr>
        <w:t>. This will lead</w:t>
      </w:r>
      <w:r w:rsidR="00B13D9A" w:rsidRPr="00B93070">
        <w:rPr>
          <w:lang w:val="en-GB"/>
        </w:rPr>
        <w:t xml:space="preserve"> to </w:t>
      </w:r>
      <w:r w:rsidR="00022228" w:rsidRPr="00B93070">
        <w:rPr>
          <w:lang w:val="en-GB"/>
        </w:rPr>
        <w:t>the formation of the zwitterion,</w:t>
      </w:r>
      <w:r w:rsidR="00B13D9A" w:rsidRPr="00B93070">
        <w:rPr>
          <w:lang w:val="en-GB"/>
        </w:rPr>
        <w:t xml:space="preserve"> </w:t>
      </w:r>
      <w:r w:rsidR="003E1625" w:rsidRPr="00B93070">
        <w:rPr>
          <w:lang w:val="en-US"/>
        </w:rPr>
        <w:t>followed by an organocatalyzed Michael addition. Next, the enamine intermediate will react with the allyl complex to generate the cyclopentane (Figure 1). The challenges that we must face are considerable. First, the possible autoquench of both catalysts (transition metal catalyst and organocatalysts</w:t>
      </w:r>
      <w:r w:rsidR="00022228" w:rsidRPr="00B93070">
        <w:rPr>
          <w:lang w:val="en-US"/>
        </w:rPr>
        <w:t>)</w:t>
      </w:r>
      <w:r w:rsidR="003E1625" w:rsidRPr="00B93070">
        <w:rPr>
          <w:lang w:val="en-US"/>
        </w:rPr>
        <w:t xml:space="preserve"> or the dual role of both catalysts to generate four</w:t>
      </w:r>
      <w:r w:rsidR="00022228" w:rsidRPr="00B93070">
        <w:rPr>
          <w:lang w:val="en-US"/>
        </w:rPr>
        <w:t xml:space="preserve"> different catalytic cycles</w:t>
      </w:r>
      <w:r w:rsidR="003E1625" w:rsidRPr="00B93070">
        <w:rPr>
          <w:lang w:val="en-US"/>
        </w:rPr>
        <w:t xml:space="preserve">. </w:t>
      </w: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B13D9A" w:rsidRPr="00B93070" w:rsidRDefault="00B13D9A"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B2424" w:rsidP="003E1625">
      <w:pPr>
        <w:pStyle w:val="P1withoutIndendation"/>
        <w:rPr>
          <w:lang w:val="en-US"/>
        </w:rPr>
      </w:pPr>
      <w:r w:rsidRPr="00B93070">
        <w:rPr>
          <w:noProof/>
          <w:sz w:val="20"/>
          <w:szCs w:val="20"/>
          <w:lang w:val="en-US"/>
        </w:rPr>
        <w:object w:dxaOrig="1440" w:dyaOrig="1440">
          <v:shape id="_x0000_s1101" type="#_x0000_t75" style="position:absolute;left:0;text-align:left;margin-left:-4.9pt;margin-top:-.95pt;width:265.8pt;height:279.15pt;z-index:251658752">
            <v:imagedata r:id="rId17" o:title=""/>
          </v:shape>
          <o:OLEObject Type="Embed" ProgID="ChemDraw.Document.6.0" ShapeID="_x0000_s1101" DrawAspect="Content" ObjectID="_1525078363" r:id="rId18"/>
        </w:object>
      </w: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FigureCaption"/>
        <w:rPr>
          <w:b/>
          <w:i/>
          <w:lang w:val="en-US"/>
        </w:rPr>
      </w:pPr>
    </w:p>
    <w:p w:rsidR="003E1625" w:rsidRPr="00B93070" w:rsidRDefault="003E1625" w:rsidP="003E1625">
      <w:pPr>
        <w:pStyle w:val="FigureCaption"/>
        <w:rPr>
          <w:lang w:val="en-US"/>
        </w:rPr>
      </w:pPr>
      <w:r w:rsidRPr="00B93070">
        <w:rPr>
          <w:b/>
          <w:i/>
          <w:lang w:val="en-US"/>
        </w:rPr>
        <w:t>Figure 1.</w:t>
      </w:r>
      <w:r w:rsidRPr="00B93070">
        <w:rPr>
          <w:lang w:val="en-US"/>
        </w:rPr>
        <w:t xml:space="preserve"> Proposed catalytic cycles </w:t>
      </w:r>
    </w:p>
    <w:p w:rsidR="003E1625" w:rsidRPr="00B93070" w:rsidRDefault="003E1625" w:rsidP="003E1625">
      <w:pPr>
        <w:pStyle w:val="P1withoutIndendation"/>
        <w:rPr>
          <w:lang w:val="en-US"/>
        </w:rPr>
      </w:pPr>
      <w:r w:rsidRPr="00B93070">
        <w:rPr>
          <w:lang w:val="en-US"/>
        </w:rPr>
        <w:t xml:space="preserve">As a proof of concept of this new double synergistic cascade reaction, we decided to use 1,3-indanedione derivative </w:t>
      </w:r>
      <w:r w:rsidRPr="00B93070">
        <w:rPr>
          <w:b/>
          <w:lang w:val="en-US"/>
        </w:rPr>
        <w:t>6</w:t>
      </w:r>
      <w:r w:rsidRPr="00B93070">
        <w:rPr>
          <w:lang w:val="en-US"/>
        </w:rPr>
        <w:t>, that will show a good nucleophilicity and will lead to the synthesis of spiro compounds.</w:t>
      </w:r>
      <w:r w:rsidR="0063133D" w:rsidRPr="00B93070">
        <w:rPr>
          <w:vertAlign w:val="superscript"/>
          <w:lang w:val="en-US"/>
        </w:rPr>
        <w:t>[19</w:t>
      </w:r>
      <w:r w:rsidRPr="00B93070">
        <w:rPr>
          <w:vertAlign w:val="superscript"/>
          <w:lang w:val="en-US"/>
        </w:rPr>
        <w:t>]</w:t>
      </w:r>
      <w:r w:rsidRPr="00B93070">
        <w:rPr>
          <w:lang w:val="en-US"/>
        </w:rPr>
        <w:t xml:space="preserve"> Moreover, indanones and </w:t>
      </w:r>
      <w:r w:rsidR="00CB6539" w:rsidRPr="00B93070">
        <w:rPr>
          <w:lang w:val="en-US"/>
        </w:rPr>
        <w:t>their</w:t>
      </w:r>
      <w:r w:rsidRPr="00B93070">
        <w:rPr>
          <w:lang w:val="en-US"/>
        </w:rPr>
        <w:t xml:space="preserve"> derivatives containing spirocyclopentane are common building blocks in biologically active compounds, drugs and in functional materials.</w:t>
      </w:r>
      <w:r w:rsidR="0063133D" w:rsidRPr="00B93070">
        <w:rPr>
          <w:vertAlign w:val="superscript"/>
          <w:lang w:val="en-US"/>
        </w:rPr>
        <w:t>[20</w:t>
      </w:r>
      <w:r w:rsidRPr="00B93070">
        <w:rPr>
          <w:vertAlign w:val="superscript"/>
          <w:lang w:val="en-US"/>
        </w:rPr>
        <w:t>]</w:t>
      </w:r>
      <w:r w:rsidRPr="00B93070">
        <w:rPr>
          <w:lang w:val="en-US"/>
        </w:rPr>
        <w:t xml:space="preserve"> Probably the most important compound containing this motif is Fredericamycin A</w:t>
      </w:r>
      <w:r w:rsidR="0063133D" w:rsidRPr="00B93070">
        <w:rPr>
          <w:vertAlign w:val="superscript"/>
          <w:lang w:val="en-US"/>
        </w:rPr>
        <w:t>[21</w:t>
      </w:r>
      <w:r w:rsidRPr="00B93070">
        <w:rPr>
          <w:vertAlign w:val="superscript"/>
          <w:lang w:val="en-US"/>
        </w:rPr>
        <w:t xml:space="preserve">] </w:t>
      </w:r>
      <w:r w:rsidRPr="00B93070">
        <w:rPr>
          <w:lang w:val="en-US"/>
        </w:rPr>
        <w:t>which exhibits potent cytotoxicity and represents a novel anticancer drug lead. For these reasons a m</w:t>
      </w:r>
      <w:r w:rsidR="00AB7BB3" w:rsidRPr="00B93070">
        <w:rPr>
          <w:lang w:val="en-US"/>
        </w:rPr>
        <w:t>ethodology that will deliver the</w:t>
      </w:r>
      <w:r w:rsidRPr="00B93070">
        <w:rPr>
          <w:lang w:val="en-US"/>
        </w:rPr>
        <w:t>s</w:t>
      </w:r>
      <w:r w:rsidR="00AB7BB3" w:rsidRPr="00B93070">
        <w:rPr>
          <w:lang w:val="en-US"/>
        </w:rPr>
        <w:t>e</w:t>
      </w:r>
      <w:r w:rsidRPr="00B93070">
        <w:rPr>
          <w:lang w:val="en-US"/>
        </w:rPr>
        <w:t xml:space="preserve"> structural motifs in a highly stereoselective fashion and in a single step is of great interest.</w:t>
      </w:r>
    </w:p>
    <w:p w:rsidR="003E1625" w:rsidRPr="00B93070" w:rsidRDefault="003E1625" w:rsidP="003E1625">
      <w:pPr>
        <w:pStyle w:val="P1withoutIndendation"/>
        <w:rPr>
          <w:lang w:val="en-US"/>
        </w:rPr>
      </w:pPr>
      <w:r w:rsidRPr="00B93070">
        <w:rPr>
          <w:lang w:val="en-US"/>
        </w:rPr>
        <w:t>Based on our previous experience in synergistic catalysis and organocatalysis</w:t>
      </w:r>
      <w:r w:rsidR="00AB7BB3" w:rsidRPr="00B93070">
        <w:rPr>
          <w:vertAlign w:val="superscript"/>
          <w:lang w:val="en-US"/>
        </w:rPr>
        <w:t>[22</w:t>
      </w:r>
      <w:r w:rsidRPr="00B93070">
        <w:rPr>
          <w:vertAlign w:val="superscript"/>
          <w:lang w:val="en-US"/>
        </w:rPr>
        <w:t>]</w:t>
      </w:r>
      <w:r w:rsidRPr="00B93070">
        <w:rPr>
          <w:lang w:val="en-US"/>
        </w:rPr>
        <w:t xml:space="preserve"> we started the study of the reaction employing  compound </w:t>
      </w:r>
      <w:r w:rsidRPr="00B93070">
        <w:rPr>
          <w:b/>
          <w:lang w:val="en-US"/>
        </w:rPr>
        <w:t>6</w:t>
      </w:r>
      <w:r w:rsidRPr="00B93070">
        <w:rPr>
          <w:lang w:val="en-US"/>
        </w:rPr>
        <w:t xml:space="preserve"> with cinnamaldehyde and testing several metals, solvents and temperatures. To our delight the reaction renders the final product with reasonable stereoselectivities and yields when CH</w:t>
      </w:r>
      <w:r w:rsidRPr="00B93070">
        <w:rPr>
          <w:vertAlign w:val="subscript"/>
          <w:lang w:val="en-US"/>
        </w:rPr>
        <w:t>3</w:t>
      </w:r>
      <w:r w:rsidRPr="00B93070">
        <w:rPr>
          <w:lang w:val="en-US"/>
        </w:rPr>
        <w:t xml:space="preserve">CN is used as the solvent and the reaction is run at 40 °C. </w:t>
      </w:r>
    </w:p>
    <w:p w:rsidR="003E1625" w:rsidRPr="00B93070" w:rsidRDefault="003E1625" w:rsidP="003E1625">
      <w:pPr>
        <w:pStyle w:val="P1withoutIndendation"/>
        <w:rPr>
          <w:lang w:val="en-US"/>
        </w:rPr>
      </w:pPr>
      <w:r w:rsidRPr="00B93070">
        <w:rPr>
          <w:lang w:val="en-US"/>
        </w:rPr>
        <w:t>Next we decided to explore the use of ligands in order to improve the stereoselectivity of the reaction. The use of phosphine ligands like dppe or PPh</w:t>
      </w:r>
      <w:r w:rsidRPr="00B93070">
        <w:rPr>
          <w:vertAlign w:val="subscript"/>
          <w:lang w:val="en-US"/>
        </w:rPr>
        <w:t>3</w:t>
      </w:r>
      <w:r w:rsidRPr="00B93070">
        <w:rPr>
          <w:lang w:val="en-US"/>
        </w:rPr>
        <w:t xml:space="preserve"> or the use of nitrogen ligands such as phenanthroline did not give any positive outcome in the reaction (entries 2-4; Table 1). Next we decided to study the effect of the solvent. Toluene, EtOAc and THF render</w:t>
      </w:r>
      <w:r w:rsidR="00E011D0" w:rsidRPr="00B93070">
        <w:rPr>
          <w:lang w:val="en-US"/>
        </w:rPr>
        <w:t>ed</w:t>
      </w:r>
      <w:r w:rsidRPr="00B93070">
        <w:rPr>
          <w:lang w:val="en-US"/>
        </w:rPr>
        <w:t xml:space="preserve"> the final products with improved diastereoselectivities and enantioselectivities while DMSO gave only complex mixtures (entries 5-8, Table 1). Further screening of the reaction conditions allowed us to find the optimized conditions by using EtOAc at room temperature. Toluene and CH</w:t>
      </w:r>
      <w:r w:rsidRPr="00B93070">
        <w:rPr>
          <w:vertAlign w:val="subscript"/>
          <w:lang w:val="en-US"/>
        </w:rPr>
        <w:t>3</w:t>
      </w:r>
      <w:r w:rsidRPr="00B93070">
        <w:rPr>
          <w:lang w:val="en-US"/>
        </w:rPr>
        <w:t>CN at room temperature allow</w:t>
      </w:r>
      <w:r w:rsidR="00E011D0" w:rsidRPr="00B93070">
        <w:rPr>
          <w:lang w:val="en-US"/>
        </w:rPr>
        <w:t>ed</w:t>
      </w:r>
      <w:r w:rsidRPr="00B93070">
        <w:rPr>
          <w:lang w:val="en-US"/>
        </w:rPr>
        <w:t xml:space="preserve"> us to obtain the final products in good yields, with moderate diastereoselectivities and good enantioselectivities and when EtOAc was used, we got excellent conversions, diastereoselectivity and enantioselectivities (entries 9-11, Table 1). The reaction works at room temperature, in 14 hours, without the need of neither inert atmosphere nor additional ligands.</w:t>
      </w:r>
    </w:p>
    <w:p w:rsidR="003E1625" w:rsidRPr="00B93070" w:rsidRDefault="003B2424" w:rsidP="003E1625">
      <w:pPr>
        <w:pStyle w:val="TableCaption"/>
        <w:rPr>
          <w:vertAlign w:val="superscript"/>
        </w:rPr>
      </w:pPr>
      <w:r w:rsidRPr="00B93070">
        <w:rPr>
          <w:noProof/>
        </w:rPr>
        <w:lastRenderedPageBreak/>
        <w:object w:dxaOrig="1440" w:dyaOrig="1440">
          <v:shape id="_x0000_s1100" type="#_x0000_t75" style="position:absolute;left:0;text-align:left;margin-left:-.45pt;margin-top:5.05pt;width:237.1pt;height:50.85pt;z-index:251657728">
            <v:imagedata r:id="rId19" o:title=""/>
          </v:shape>
          <o:OLEObject Type="Embed" ProgID="ChemDraw.Document.6.0" ShapeID="_x0000_s1100" DrawAspect="Content" ObjectID="_1525078364" r:id="rId20"/>
        </w:object>
      </w:r>
      <w:r w:rsidR="003E1625" w:rsidRPr="00B93070">
        <w:rPr>
          <w:b/>
          <w:i/>
          <w:lang w:val="en-US"/>
        </w:rPr>
        <w:t>Table 1.</w:t>
      </w:r>
      <w:r w:rsidR="003E1625" w:rsidRPr="00B93070">
        <w:rPr>
          <w:lang w:val="en-US"/>
        </w:rPr>
        <w:t xml:space="preserve"> Screening</w:t>
      </w:r>
      <w:r w:rsidR="003E1625" w:rsidRPr="00B93070">
        <w:rPr>
          <w:vertAlign w:val="superscript"/>
        </w:rPr>
        <w:t xml:space="preserve"> [a]</w:t>
      </w:r>
    </w:p>
    <w:p w:rsidR="003E1625" w:rsidRPr="00B93070" w:rsidRDefault="003E1625" w:rsidP="003E1625">
      <w:pPr>
        <w:pStyle w:val="TableCaption"/>
        <w:rPr>
          <w:vertAlign w:val="superscript"/>
        </w:rPr>
      </w:pPr>
    </w:p>
    <w:p w:rsidR="003E1625" w:rsidRPr="00B93070" w:rsidRDefault="003E1625" w:rsidP="003E1625">
      <w:pPr>
        <w:pStyle w:val="TableCaption"/>
      </w:pPr>
    </w:p>
    <w:tbl>
      <w:tblPr>
        <w:tblW w:w="0" w:type="auto"/>
        <w:tblLook w:val="01E0" w:firstRow="1" w:lastRow="1" w:firstColumn="1" w:lastColumn="1" w:noHBand="0" w:noVBand="0"/>
      </w:tblPr>
      <w:tblGrid>
        <w:gridCol w:w="611"/>
        <w:gridCol w:w="613"/>
        <w:gridCol w:w="814"/>
        <w:gridCol w:w="639"/>
        <w:gridCol w:w="969"/>
        <w:gridCol w:w="576"/>
        <w:gridCol w:w="784"/>
      </w:tblGrid>
      <w:tr w:rsidR="00BC4C0E" w:rsidRPr="00B93070" w:rsidTr="00BC4C0E">
        <w:tc>
          <w:tcPr>
            <w:tcW w:w="611" w:type="dxa"/>
            <w:tcBorders>
              <w:top w:val="single" w:sz="8" w:space="0" w:color="808080"/>
              <w:bottom w:val="single" w:sz="8" w:space="0" w:color="808080"/>
            </w:tcBorders>
          </w:tcPr>
          <w:p w:rsidR="00BC4C0E" w:rsidRPr="00B93070" w:rsidRDefault="00BC4C0E" w:rsidP="00072431">
            <w:pPr>
              <w:pStyle w:val="TableHead"/>
            </w:pPr>
            <w:r w:rsidRPr="00B93070">
              <w:t>Entry</w:t>
            </w:r>
          </w:p>
        </w:tc>
        <w:tc>
          <w:tcPr>
            <w:tcW w:w="613" w:type="dxa"/>
            <w:tcBorders>
              <w:top w:val="single" w:sz="8" w:space="0" w:color="808080"/>
              <w:bottom w:val="single" w:sz="8" w:space="0" w:color="808080"/>
            </w:tcBorders>
          </w:tcPr>
          <w:p w:rsidR="00BC4C0E" w:rsidRPr="00B93070" w:rsidRDefault="00BC4C0E" w:rsidP="00072431">
            <w:pPr>
              <w:pStyle w:val="TableHead"/>
            </w:pPr>
            <w:r w:rsidRPr="00B93070">
              <w:t>Ligand</w:t>
            </w:r>
          </w:p>
        </w:tc>
        <w:tc>
          <w:tcPr>
            <w:tcW w:w="814" w:type="dxa"/>
            <w:tcBorders>
              <w:top w:val="single" w:sz="8" w:space="0" w:color="808080"/>
              <w:bottom w:val="single" w:sz="8" w:space="0" w:color="808080"/>
            </w:tcBorders>
          </w:tcPr>
          <w:p w:rsidR="00BC4C0E" w:rsidRPr="00B93070" w:rsidRDefault="00BC4C0E" w:rsidP="00072431">
            <w:pPr>
              <w:pStyle w:val="TableHead"/>
            </w:pPr>
            <w:r w:rsidRPr="00B93070">
              <w:t>Solvent</w:t>
            </w:r>
          </w:p>
        </w:tc>
        <w:tc>
          <w:tcPr>
            <w:tcW w:w="639" w:type="dxa"/>
            <w:tcBorders>
              <w:top w:val="single" w:sz="8" w:space="0" w:color="808080"/>
              <w:bottom w:val="single" w:sz="8" w:space="0" w:color="808080"/>
            </w:tcBorders>
          </w:tcPr>
          <w:p w:rsidR="00BC4C0E" w:rsidRPr="00B93070" w:rsidRDefault="00BC4C0E" w:rsidP="00072431">
            <w:pPr>
              <w:pStyle w:val="TableHead"/>
            </w:pPr>
            <w:r w:rsidRPr="00B93070">
              <w:t>Temp</w:t>
            </w:r>
          </w:p>
        </w:tc>
        <w:tc>
          <w:tcPr>
            <w:tcW w:w="969" w:type="dxa"/>
            <w:tcBorders>
              <w:top w:val="single" w:sz="8" w:space="0" w:color="808080"/>
              <w:bottom w:val="single" w:sz="8" w:space="0" w:color="808080"/>
            </w:tcBorders>
          </w:tcPr>
          <w:p w:rsidR="00BC4C0E" w:rsidRPr="00B93070" w:rsidRDefault="00BC4C0E" w:rsidP="00072431">
            <w:pPr>
              <w:pStyle w:val="TableHead"/>
            </w:pPr>
            <w:r w:rsidRPr="00B93070">
              <w:t xml:space="preserve">Conversion </w:t>
            </w:r>
            <w:r w:rsidRPr="00B93070">
              <w:rPr>
                <w:vertAlign w:val="superscript"/>
              </w:rPr>
              <w:t>[b]</w:t>
            </w:r>
          </w:p>
        </w:tc>
        <w:tc>
          <w:tcPr>
            <w:tcW w:w="576" w:type="dxa"/>
            <w:tcBorders>
              <w:top w:val="single" w:sz="8" w:space="0" w:color="808080"/>
              <w:bottom w:val="single" w:sz="8" w:space="0" w:color="808080"/>
            </w:tcBorders>
          </w:tcPr>
          <w:p w:rsidR="00BC4C0E" w:rsidRPr="00B93070" w:rsidRDefault="00BC4C0E" w:rsidP="00072431">
            <w:pPr>
              <w:pStyle w:val="TableHead"/>
            </w:pPr>
            <w:r w:rsidRPr="00B93070">
              <w:t>d.r.</w:t>
            </w:r>
            <w:r w:rsidRPr="00B93070">
              <w:rPr>
                <w:vertAlign w:val="superscript"/>
              </w:rPr>
              <w:t>[c]</w:t>
            </w:r>
          </w:p>
        </w:tc>
        <w:tc>
          <w:tcPr>
            <w:tcW w:w="784" w:type="dxa"/>
            <w:tcBorders>
              <w:top w:val="single" w:sz="8" w:space="0" w:color="808080"/>
              <w:bottom w:val="single" w:sz="8" w:space="0" w:color="808080"/>
            </w:tcBorders>
          </w:tcPr>
          <w:p w:rsidR="00BC4C0E" w:rsidRPr="00B93070" w:rsidRDefault="00BC4C0E" w:rsidP="00072431">
            <w:pPr>
              <w:pStyle w:val="TableHead"/>
            </w:pPr>
            <w:r w:rsidRPr="00B93070">
              <w:t>Ee(%)</w:t>
            </w:r>
            <w:r w:rsidRPr="00B93070">
              <w:rPr>
                <w:vertAlign w:val="superscript"/>
              </w:rPr>
              <w:t>[d]</w:t>
            </w:r>
          </w:p>
        </w:tc>
      </w:tr>
      <w:tr w:rsidR="00BC4C0E" w:rsidRPr="00B93070" w:rsidTr="00BC4C0E">
        <w:tc>
          <w:tcPr>
            <w:tcW w:w="611" w:type="dxa"/>
            <w:tcBorders>
              <w:top w:val="single" w:sz="8" w:space="0" w:color="808080"/>
            </w:tcBorders>
          </w:tcPr>
          <w:p w:rsidR="00BC4C0E" w:rsidRPr="00B93070" w:rsidRDefault="00BC4C0E" w:rsidP="00072431">
            <w:pPr>
              <w:pStyle w:val="TableBody"/>
              <w:jc w:val="center"/>
            </w:pPr>
            <w:r w:rsidRPr="00B93070">
              <w:t>1</w:t>
            </w:r>
          </w:p>
        </w:tc>
        <w:tc>
          <w:tcPr>
            <w:tcW w:w="613" w:type="dxa"/>
            <w:tcBorders>
              <w:top w:val="single" w:sz="8" w:space="0" w:color="808080"/>
            </w:tcBorders>
          </w:tcPr>
          <w:p w:rsidR="00BC4C0E" w:rsidRPr="00B93070" w:rsidRDefault="00BC4C0E" w:rsidP="00072431">
            <w:pPr>
              <w:pStyle w:val="TableBody"/>
              <w:jc w:val="center"/>
            </w:pPr>
            <w:r w:rsidRPr="00B93070">
              <w:t>-</w:t>
            </w:r>
          </w:p>
        </w:tc>
        <w:tc>
          <w:tcPr>
            <w:tcW w:w="814" w:type="dxa"/>
            <w:tcBorders>
              <w:top w:val="single" w:sz="8" w:space="0" w:color="808080"/>
            </w:tcBorders>
          </w:tcPr>
          <w:p w:rsidR="00BC4C0E" w:rsidRPr="00B93070" w:rsidRDefault="00BC4C0E" w:rsidP="00072431">
            <w:pPr>
              <w:pStyle w:val="TableBody"/>
              <w:jc w:val="center"/>
            </w:pPr>
            <w:r w:rsidRPr="00B93070">
              <w:t>CH</w:t>
            </w:r>
            <w:r w:rsidRPr="00B93070">
              <w:rPr>
                <w:vertAlign w:val="subscript"/>
              </w:rPr>
              <w:t>3</w:t>
            </w:r>
            <w:r w:rsidRPr="00B93070">
              <w:t>CN</w:t>
            </w:r>
          </w:p>
        </w:tc>
        <w:tc>
          <w:tcPr>
            <w:tcW w:w="639" w:type="dxa"/>
            <w:tcBorders>
              <w:top w:val="single" w:sz="8" w:space="0" w:color="808080"/>
            </w:tcBorders>
          </w:tcPr>
          <w:p w:rsidR="00BC4C0E" w:rsidRPr="00B93070" w:rsidRDefault="00BC4C0E" w:rsidP="00072431">
            <w:pPr>
              <w:pStyle w:val="TableBody"/>
              <w:jc w:val="center"/>
            </w:pPr>
            <w:r w:rsidRPr="00B93070">
              <w:t>40</w:t>
            </w:r>
            <w:r w:rsidRPr="00B93070">
              <w:rPr>
                <w:vertAlign w:val="superscript"/>
              </w:rPr>
              <w:t>o</w:t>
            </w:r>
            <w:r w:rsidRPr="00B93070">
              <w:t>C</w:t>
            </w:r>
          </w:p>
        </w:tc>
        <w:tc>
          <w:tcPr>
            <w:tcW w:w="969" w:type="dxa"/>
            <w:tcBorders>
              <w:top w:val="single" w:sz="8" w:space="0" w:color="808080"/>
            </w:tcBorders>
          </w:tcPr>
          <w:p w:rsidR="00BC4C0E" w:rsidRPr="00B93070" w:rsidRDefault="00BC4C0E" w:rsidP="00072431">
            <w:pPr>
              <w:pStyle w:val="TableBody"/>
              <w:jc w:val="center"/>
            </w:pPr>
            <w:r w:rsidRPr="00B93070">
              <w:t>100%</w:t>
            </w:r>
          </w:p>
        </w:tc>
        <w:tc>
          <w:tcPr>
            <w:tcW w:w="576" w:type="dxa"/>
            <w:tcBorders>
              <w:top w:val="single" w:sz="8" w:space="0" w:color="808080"/>
            </w:tcBorders>
          </w:tcPr>
          <w:p w:rsidR="00BC4C0E" w:rsidRPr="00B93070" w:rsidRDefault="00BC4C0E" w:rsidP="00072431">
            <w:pPr>
              <w:pStyle w:val="TableBody"/>
              <w:jc w:val="center"/>
            </w:pPr>
            <w:r w:rsidRPr="00B93070">
              <w:t>1</w:t>
            </w:r>
            <w:r w:rsidRPr="00B93070">
              <w:rPr>
                <w:lang w:val="en-GB"/>
              </w:rPr>
              <w:t>:1</w:t>
            </w:r>
          </w:p>
        </w:tc>
        <w:tc>
          <w:tcPr>
            <w:tcW w:w="784" w:type="dxa"/>
            <w:tcBorders>
              <w:top w:val="single" w:sz="8" w:space="0" w:color="808080"/>
            </w:tcBorders>
          </w:tcPr>
          <w:p w:rsidR="00BC4C0E" w:rsidRPr="00B93070" w:rsidRDefault="00BC4C0E" w:rsidP="00072431">
            <w:pPr>
              <w:pStyle w:val="TableBody"/>
              <w:jc w:val="center"/>
            </w:pPr>
            <w:r w:rsidRPr="00B93070">
              <w:t>nd/99</w:t>
            </w:r>
          </w:p>
        </w:tc>
      </w:tr>
      <w:tr w:rsidR="00BC4C0E" w:rsidRPr="00B93070" w:rsidTr="00BC4C0E">
        <w:tc>
          <w:tcPr>
            <w:tcW w:w="611" w:type="dxa"/>
          </w:tcPr>
          <w:p w:rsidR="00BC4C0E" w:rsidRPr="00B93070" w:rsidRDefault="00BC4C0E" w:rsidP="00072431">
            <w:pPr>
              <w:pStyle w:val="TableBody"/>
              <w:jc w:val="center"/>
            </w:pPr>
            <w:r w:rsidRPr="00B93070">
              <w:t>2</w:t>
            </w:r>
            <w:r w:rsidRPr="00B93070">
              <w:rPr>
                <w:vertAlign w:val="superscript"/>
              </w:rPr>
              <w:t>e</w:t>
            </w:r>
          </w:p>
        </w:tc>
        <w:tc>
          <w:tcPr>
            <w:tcW w:w="613" w:type="dxa"/>
          </w:tcPr>
          <w:p w:rsidR="00BC4C0E" w:rsidRPr="00B93070" w:rsidRDefault="00BC4C0E" w:rsidP="00072431">
            <w:pPr>
              <w:pStyle w:val="TableBody"/>
              <w:jc w:val="center"/>
            </w:pPr>
            <w:r w:rsidRPr="00B93070">
              <w:t>dppe</w:t>
            </w:r>
          </w:p>
        </w:tc>
        <w:tc>
          <w:tcPr>
            <w:tcW w:w="814" w:type="dxa"/>
          </w:tcPr>
          <w:p w:rsidR="00BC4C0E" w:rsidRPr="00B93070" w:rsidRDefault="00BC4C0E" w:rsidP="00072431">
            <w:pPr>
              <w:pStyle w:val="TableBody"/>
              <w:jc w:val="center"/>
            </w:pPr>
            <w:r w:rsidRPr="00B93070">
              <w:t>CH</w:t>
            </w:r>
            <w:r w:rsidRPr="00B93070">
              <w:rPr>
                <w:vertAlign w:val="subscript"/>
              </w:rPr>
              <w:t>3</w:t>
            </w:r>
            <w:r w:rsidRPr="00B93070">
              <w:t>CN</w:t>
            </w:r>
          </w:p>
        </w:tc>
        <w:tc>
          <w:tcPr>
            <w:tcW w:w="639" w:type="dxa"/>
          </w:tcPr>
          <w:p w:rsidR="00BC4C0E" w:rsidRPr="00B93070" w:rsidRDefault="00BC4C0E" w:rsidP="00072431">
            <w:pPr>
              <w:pStyle w:val="TableBody"/>
              <w:jc w:val="center"/>
            </w:pPr>
            <w:r w:rsidRPr="00B93070">
              <w:t>40</w:t>
            </w:r>
            <w:r w:rsidRPr="00B93070">
              <w:rPr>
                <w:vertAlign w:val="superscript"/>
              </w:rPr>
              <w:t>o</w:t>
            </w:r>
            <w:r w:rsidRPr="00B93070">
              <w:t>C</w:t>
            </w:r>
          </w:p>
        </w:tc>
        <w:tc>
          <w:tcPr>
            <w:tcW w:w="969" w:type="dxa"/>
          </w:tcPr>
          <w:p w:rsidR="00BC4C0E" w:rsidRPr="00B93070" w:rsidRDefault="00BC4C0E" w:rsidP="00072431">
            <w:pPr>
              <w:pStyle w:val="TableBody"/>
              <w:jc w:val="center"/>
            </w:pPr>
            <w:r w:rsidRPr="00B93070">
              <w:t>20%</w:t>
            </w:r>
          </w:p>
        </w:tc>
        <w:tc>
          <w:tcPr>
            <w:tcW w:w="576" w:type="dxa"/>
          </w:tcPr>
          <w:p w:rsidR="00BC4C0E" w:rsidRPr="00B93070" w:rsidRDefault="00BC4C0E" w:rsidP="00072431">
            <w:pPr>
              <w:pStyle w:val="TableBody"/>
              <w:jc w:val="center"/>
            </w:pPr>
            <w:r w:rsidRPr="00B93070">
              <w:t>1.7:1</w:t>
            </w:r>
          </w:p>
        </w:tc>
        <w:tc>
          <w:tcPr>
            <w:tcW w:w="784" w:type="dxa"/>
          </w:tcPr>
          <w:p w:rsidR="00BC4C0E" w:rsidRPr="00B93070" w:rsidRDefault="00BC4C0E" w:rsidP="00072431">
            <w:pPr>
              <w:pStyle w:val="TableBody"/>
              <w:jc w:val="center"/>
            </w:pPr>
            <w:r w:rsidRPr="00B93070">
              <w:t>78/99</w:t>
            </w:r>
          </w:p>
        </w:tc>
      </w:tr>
      <w:tr w:rsidR="00BC4C0E" w:rsidRPr="00B93070" w:rsidTr="00BC4C0E">
        <w:tc>
          <w:tcPr>
            <w:tcW w:w="611" w:type="dxa"/>
          </w:tcPr>
          <w:p w:rsidR="00BC4C0E" w:rsidRPr="00B93070" w:rsidRDefault="00BC4C0E" w:rsidP="00072431">
            <w:pPr>
              <w:pStyle w:val="TableBody"/>
              <w:jc w:val="center"/>
            </w:pPr>
            <w:r w:rsidRPr="00B93070">
              <w:t>3</w:t>
            </w:r>
            <w:r w:rsidRPr="00B93070">
              <w:rPr>
                <w:vertAlign w:val="superscript"/>
              </w:rPr>
              <w:t>f</w:t>
            </w:r>
          </w:p>
        </w:tc>
        <w:tc>
          <w:tcPr>
            <w:tcW w:w="613" w:type="dxa"/>
          </w:tcPr>
          <w:p w:rsidR="00BC4C0E" w:rsidRPr="00B93070" w:rsidRDefault="00BC4C0E" w:rsidP="00072431">
            <w:pPr>
              <w:pStyle w:val="TableBody"/>
              <w:jc w:val="center"/>
            </w:pPr>
            <w:r w:rsidRPr="00B93070">
              <w:t>phe</w:t>
            </w:r>
          </w:p>
        </w:tc>
        <w:tc>
          <w:tcPr>
            <w:tcW w:w="814" w:type="dxa"/>
          </w:tcPr>
          <w:p w:rsidR="00BC4C0E" w:rsidRPr="00B93070" w:rsidRDefault="00BC4C0E" w:rsidP="00072431">
            <w:pPr>
              <w:pStyle w:val="TableBody"/>
              <w:jc w:val="center"/>
            </w:pPr>
            <w:r w:rsidRPr="00B93070">
              <w:t>CH</w:t>
            </w:r>
            <w:r w:rsidRPr="00B93070">
              <w:rPr>
                <w:vertAlign w:val="subscript"/>
              </w:rPr>
              <w:t>3</w:t>
            </w:r>
            <w:r w:rsidRPr="00B93070">
              <w:t>CN</w:t>
            </w:r>
          </w:p>
        </w:tc>
        <w:tc>
          <w:tcPr>
            <w:tcW w:w="639" w:type="dxa"/>
          </w:tcPr>
          <w:p w:rsidR="00BC4C0E" w:rsidRPr="00B93070" w:rsidRDefault="00BC4C0E" w:rsidP="00072431">
            <w:pPr>
              <w:pStyle w:val="TableBody"/>
              <w:jc w:val="center"/>
            </w:pPr>
            <w:r w:rsidRPr="00B93070">
              <w:t>40</w:t>
            </w:r>
            <w:r w:rsidRPr="00B93070">
              <w:rPr>
                <w:vertAlign w:val="superscript"/>
              </w:rPr>
              <w:t>o</w:t>
            </w:r>
            <w:r w:rsidRPr="00B93070">
              <w:t>C</w:t>
            </w:r>
          </w:p>
        </w:tc>
        <w:tc>
          <w:tcPr>
            <w:tcW w:w="969" w:type="dxa"/>
          </w:tcPr>
          <w:p w:rsidR="00BC4C0E" w:rsidRPr="00B93070" w:rsidRDefault="00BC4C0E" w:rsidP="00072431">
            <w:pPr>
              <w:pStyle w:val="TableBody"/>
              <w:jc w:val="center"/>
            </w:pPr>
            <w:r w:rsidRPr="00B93070">
              <w:t>77%</w:t>
            </w:r>
          </w:p>
        </w:tc>
        <w:tc>
          <w:tcPr>
            <w:tcW w:w="576" w:type="dxa"/>
          </w:tcPr>
          <w:p w:rsidR="00BC4C0E" w:rsidRPr="00B93070" w:rsidRDefault="00BC4C0E" w:rsidP="00072431">
            <w:pPr>
              <w:pStyle w:val="TableBody"/>
              <w:jc w:val="center"/>
            </w:pPr>
            <w:r w:rsidRPr="00B93070">
              <w:t>1:1.2</w:t>
            </w:r>
          </w:p>
        </w:tc>
        <w:tc>
          <w:tcPr>
            <w:tcW w:w="784" w:type="dxa"/>
          </w:tcPr>
          <w:p w:rsidR="00BC4C0E" w:rsidRPr="00B93070" w:rsidRDefault="00BC4C0E" w:rsidP="00072431">
            <w:pPr>
              <w:pStyle w:val="TableBody"/>
              <w:jc w:val="center"/>
            </w:pPr>
            <w:r w:rsidRPr="00B93070">
              <w:t>53/99</w:t>
            </w:r>
          </w:p>
        </w:tc>
      </w:tr>
      <w:tr w:rsidR="00BC4C0E" w:rsidRPr="00B93070" w:rsidTr="00BC4C0E">
        <w:tc>
          <w:tcPr>
            <w:tcW w:w="611" w:type="dxa"/>
          </w:tcPr>
          <w:p w:rsidR="00BC4C0E" w:rsidRPr="00B93070" w:rsidRDefault="00BC4C0E" w:rsidP="00072431">
            <w:pPr>
              <w:pStyle w:val="TableBody"/>
              <w:jc w:val="center"/>
            </w:pPr>
            <w:r w:rsidRPr="00B93070">
              <w:t>4</w:t>
            </w:r>
            <w:r w:rsidRPr="00B93070">
              <w:rPr>
                <w:vertAlign w:val="superscript"/>
              </w:rPr>
              <w:t>g</w:t>
            </w:r>
          </w:p>
        </w:tc>
        <w:tc>
          <w:tcPr>
            <w:tcW w:w="613" w:type="dxa"/>
          </w:tcPr>
          <w:p w:rsidR="00BC4C0E" w:rsidRPr="00B93070" w:rsidRDefault="00BC4C0E" w:rsidP="00072431">
            <w:pPr>
              <w:pStyle w:val="TableBody"/>
              <w:jc w:val="center"/>
            </w:pPr>
            <w:r w:rsidRPr="00B93070">
              <w:t>PPh</w:t>
            </w:r>
            <w:r w:rsidRPr="00B93070">
              <w:rPr>
                <w:vertAlign w:val="subscript"/>
              </w:rPr>
              <w:t>3</w:t>
            </w:r>
          </w:p>
        </w:tc>
        <w:tc>
          <w:tcPr>
            <w:tcW w:w="814" w:type="dxa"/>
          </w:tcPr>
          <w:p w:rsidR="00BC4C0E" w:rsidRPr="00B93070" w:rsidRDefault="00BC4C0E" w:rsidP="00072431">
            <w:pPr>
              <w:pStyle w:val="TableBody"/>
              <w:jc w:val="center"/>
            </w:pPr>
            <w:r w:rsidRPr="00B93070">
              <w:t>CH</w:t>
            </w:r>
            <w:r w:rsidRPr="00B93070">
              <w:rPr>
                <w:vertAlign w:val="subscript"/>
              </w:rPr>
              <w:t>3</w:t>
            </w:r>
            <w:r w:rsidRPr="00B93070">
              <w:t>CN</w:t>
            </w:r>
          </w:p>
        </w:tc>
        <w:tc>
          <w:tcPr>
            <w:tcW w:w="639" w:type="dxa"/>
          </w:tcPr>
          <w:p w:rsidR="00BC4C0E" w:rsidRPr="00B93070" w:rsidRDefault="00BC4C0E" w:rsidP="00072431">
            <w:pPr>
              <w:pStyle w:val="TableBody"/>
              <w:jc w:val="center"/>
            </w:pPr>
            <w:r w:rsidRPr="00B93070">
              <w:t>40</w:t>
            </w:r>
            <w:r w:rsidRPr="00B93070">
              <w:rPr>
                <w:vertAlign w:val="superscript"/>
              </w:rPr>
              <w:t>o</w:t>
            </w:r>
            <w:r w:rsidRPr="00B93070">
              <w:t>C</w:t>
            </w:r>
          </w:p>
        </w:tc>
        <w:tc>
          <w:tcPr>
            <w:tcW w:w="969" w:type="dxa"/>
          </w:tcPr>
          <w:p w:rsidR="00BC4C0E" w:rsidRPr="00B93070" w:rsidRDefault="00BC4C0E" w:rsidP="00072431">
            <w:pPr>
              <w:pStyle w:val="TableBody"/>
              <w:jc w:val="center"/>
            </w:pPr>
            <w:r w:rsidRPr="00B93070">
              <w:t>20%</w:t>
            </w:r>
          </w:p>
        </w:tc>
        <w:tc>
          <w:tcPr>
            <w:tcW w:w="576" w:type="dxa"/>
          </w:tcPr>
          <w:p w:rsidR="00BC4C0E" w:rsidRPr="00B93070" w:rsidRDefault="00BC4C0E" w:rsidP="00072431">
            <w:pPr>
              <w:pStyle w:val="TableBody"/>
              <w:jc w:val="center"/>
            </w:pPr>
            <w:r w:rsidRPr="00B93070">
              <w:t>1.2:1</w:t>
            </w:r>
          </w:p>
        </w:tc>
        <w:tc>
          <w:tcPr>
            <w:tcW w:w="784" w:type="dxa"/>
          </w:tcPr>
          <w:p w:rsidR="00BC4C0E" w:rsidRPr="00B93070" w:rsidRDefault="00BC4C0E" w:rsidP="00072431">
            <w:pPr>
              <w:pStyle w:val="TableBody"/>
              <w:jc w:val="center"/>
            </w:pPr>
            <w:r w:rsidRPr="00B93070">
              <w:t>41/99</w:t>
            </w:r>
          </w:p>
        </w:tc>
      </w:tr>
      <w:tr w:rsidR="00BC4C0E" w:rsidRPr="00B93070" w:rsidTr="00BC4C0E">
        <w:tc>
          <w:tcPr>
            <w:tcW w:w="611" w:type="dxa"/>
          </w:tcPr>
          <w:p w:rsidR="00BC4C0E" w:rsidRPr="00B93070" w:rsidRDefault="00BC4C0E" w:rsidP="00072431">
            <w:pPr>
              <w:pStyle w:val="TableBody"/>
              <w:jc w:val="center"/>
            </w:pPr>
            <w:r w:rsidRPr="00B93070">
              <w:t>5</w:t>
            </w:r>
          </w:p>
        </w:tc>
        <w:tc>
          <w:tcPr>
            <w:tcW w:w="613" w:type="dxa"/>
          </w:tcPr>
          <w:p w:rsidR="00BC4C0E" w:rsidRPr="00B93070" w:rsidRDefault="00BC4C0E" w:rsidP="00072431">
            <w:pPr>
              <w:pStyle w:val="TableBody"/>
              <w:jc w:val="center"/>
            </w:pPr>
            <w:r w:rsidRPr="00B93070">
              <w:t>-</w:t>
            </w:r>
          </w:p>
        </w:tc>
        <w:tc>
          <w:tcPr>
            <w:tcW w:w="814" w:type="dxa"/>
          </w:tcPr>
          <w:p w:rsidR="00BC4C0E" w:rsidRPr="00B93070" w:rsidRDefault="00BC4C0E" w:rsidP="00072431">
            <w:pPr>
              <w:pStyle w:val="TableBody"/>
              <w:jc w:val="center"/>
            </w:pPr>
            <w:r w:rsidRPr="00B93070">
              <w:t>Toluene</w:t>
            </w:r>
          </w:p>
        </w:tc>
        <w:tc>
          <w:tcPr>
            <w:tcW w:w="639" w:type="dxa"/>
          </w:tcPr>
          <w:p w:rsidR="00BC4C0E" w:rsidRPr="00B93070" w:rsidRDefault="00BC4C0E" w:rsidP="00072431">
            <w:pPr>
              <w:pStyle w:val="TableBody"/>
              <w:jc w:val="center"/>
            </w:pPr>
            <w:r w:rsidRPr="00B93070">
              <w:t>40</w:t>
            </w:r>
            <w:r w:rsidRPr="00B93070">
              <w:rPr>
                <w:vertAlign w:val="superscript"/>
              </w:rPr>
              <w:t>o</w:t>
            </w:r>
            <w:r w:rsidRPr="00B93070">
              <w:t>C</w:t>
            </w:r>
          </w:p>
        </w:tc>
        <w:tc>
          <w:tcPr>
            <w:tcW w:w="969" w:type="dxa"/>
          </w:tcPr>
          <w:p w:rsidR="00BC4C0E" w:rsidRPr="00B93070" w:rsidRDefault="00BC4C0E" w:rsidP="00072431">
            <w:pPr>
              <w:pStyle w:val="TableBody"/>
              <w:jc w:val="center"/>
            </w:pPr>
            <w:r w:rsidRPr="00B93070">
              <w:t>68%</w:t>
            </w:r>
          </w:p>
        </w:tc>
        <w:tc>
          <w:tcPr>
            <w:tcW w:w="576" w:type="dxa"/>
          </w:tcPr>
          <w:p w:rsidR="00BC4C0E" w:rsidRPr="00B93070" w:rsidRDefault="00BC4C0E" w:rsidP="00072431">
            <w:pPr>
              <w:pStyle w:val="TableBody"/>
              <w:jc w:val="center"/>
            </w:pPr>
            <w:r w:rsidRPr="00B93070">
              <w:t>4.3:1</w:t>
            </w:r>
          </w:p>
        </w:tc>
        <w:tc>
          <w:tcPr>
            <w:tcW w:w="784" w:type="dxa"/>
          </w:tcPr>
          <w:p w:rsidR="00BC4C0E" w:rsidRPr="00B93070" w:rsidRDefault="00BC4C0E" w:rsidP="00072431">
            <w:pPr>
              <w:pStyle w:val="TableBody"/>
              <w:jc w:val="center"/>
            </w:pPr>
            <w:r w:rsidRPr="00B93070">
              <w:t>88/98</w:t>
            </w:r>
          </w:p>
        </w:tc>
      </w:tr>
      <w:tr w:rsidR="00BC4C0E" w:rsidRPr="00B93070" w:rsidTr="00BC4C0E">
        <w:tc>
          <w:tcPr>
            <w:tcW w:w="611" w:type="dxa"/>
          </w:tcPr>
          <w:p w:rsidR="00BC4C0E" w:rsidRPr="00B93070" w:rsidRDefault="00BC4C0E" w:rsidP="00072431">
            <w:pPr>
              <w:pStyle w:val="TableBody"/>
              <w:jc w:val="center"/>
            </w:pPr>
            <w:r w:rsidRPr="00B93070">
              <w:t>6</w:t>
            </w:r>
          </w:p>
        </w:tc>
        <w:tc>
          <w:tcPr>
            <w:tcW w:w="613" w:type="dxa"/>
          </w:tcPr>
          <w:p w:rsidR="00BC4C0E" w:rsidRPr="00B93070" w:rsidRDefault="00BC4C0E" w:rsidP="00072431">
            <w:pPr>
              <w:pStyle w:val="TableBody"/>
              <w:jc w:val="center"/>
            </w:pPr>
            <w:r w:rsidRPr="00B93070">
              <w:t>-</w:t>
            </w:r>
          </w:p>
        </w:tc>
        <w:tc>
          <w:tcPr>
            <w:tcW w:w="814" w:type="dxa"/>
          </w:tcPr>
          <w:p w:rsidR="00BC4C0E" w:rsidRPr="00B93070" w:rsidRDefault="00BC4C0E" w:rsidP="00072431">
            <w:pPr>
              <w:pStyle w:val="TableBody"/>
              <w:jc w:val="center"/>
            </w:pPr>
            <w:r w:rsidRPr="00B93070">
              <w:t>THF</w:t>
            </w:r>
          </w:p>
        </w:tc>
        <w:tc>
          <w:tcPr>
            <w:tcW w:w="639" w:type="dxa"/>
          </w:tcPr>
          <w:p w:rsidR="00BC4C0E" w:rsidRPr="00B93070" w:rsidRDefault="00BC4C0E" w:rsidP="00072431">
            <w:pPr>
              <w:pStyle w:val="TableBody"/>
              <w:jc w:val="center"/>
            </w:pPr>
            <w:r w:rsidRPr="00B93070">
              <w:t>40</w:t>
            </w:r>
            <w:r w:rsidRPr="00B93070">
              <w:rPr>
                <w:vertAlign w:val="superscript"/>
              </w:rPr>
              <w:t>o</w:t>
            </w:r>
            <w:r w:rsidRPr="00B93070">
              <w:t>C</w:t>
            </w:r>
          </w:p>
        </w:tc>
        <w:tc>
          <w:tcPr>
            <w:tcW w:w="969" w:type="dxa"/>
          </w:tcPr>
          <w:p w:rsidR="00BC4C0E" w:rsidRPr="00B93070" w:rsidRDefault="00BC4C0E" w:rsidP="00072431">
            <w:pPr>
              <w:pStyle w:val="TableBody"/>
              <w:jc w:val="center"/>
            </w:pPr>
            <w:r w:rsidRPr="00B93070">
              <w:t>40%</w:t>
            </w:r>
          </w:p>
        </w:tc>
        <w:tc>
          <w:tcPr>
            <w:tcW w:w="576" w:type="dxa"/>
          </w:tcPr>
          <w:p w:rsidR="00BC4C0E" w:rsidRPr="00B93070" w:rsidRDefault="00BC4C0E" w:rsidP="00072431">
            <w:pPr>
              <w:pStyle w:val="TableBody"/>
              <w:jc w:val="center"/>
            </w:pPr>
            <w:r w:rsidRPr="00B93070">
              <w:t>3.1:1</w:t>
            </w:r>
          </w:p>
        </w:tc>
        <w:tc>
          <w:tcPr>
            <w:tcW w:w="784" w:type="dxa"/>
          </w:tcPr>
          <w:p w:rsidR="00BC4C0E" w:rsidRPr="00B93070" w:rsidRDefault="00BC4C0E" w:rsidP="00072431">
            <w:pPr>
              <w:pStyle w:val="TableBody"/>
              <w:jc w:val="center"/>
            </w:pPr>
            <w:r w:rsidRPr="00B93070">
              <w:t>87/99</w:t>
            </w:r>
          </w:p>
        </w:tc>
      </w:tr>
      <w:tr w:rsidR="00BC4C0E" w:rsidRPr="00B93070" w:rsidTr="00BC4C0E">
        <w:tc>
          <w:tcPr>
            <w:tcW w:w="611" w:type="dxa"/>
          </w:tcPr>
          <w:p w:rsidR="00BC4C0E" w:rsidRPr="00B93070" w:rsidRDefault="00BC4C0E" w:rsidP="00072431">
            <w:pPr>
              <w:pStyle w:val="TableBody"/>
              <w:jc w:val="center"/>
            </w:pPr>
            <w:r w:rsidRPr="00B93070">
              <w:t>7</w:t>
            </w:r>
          </w:p>
        </w:tc>
        <w:tc>
          <w:tcPr>
            <w:tcW w:w="613" w:type="dxa"/>
          </w:tcPr>
          <w:p w:rsidR="00BC4C0E" w:rsidRPr="00B93070" w:rsidRDefault="00BC4C0E" w:rsidP="00072431">
            <w:pPr>
              <w:pStyle w:val="TableBody"/>
              <w:jc w:val="center"/>
            </w:pPr>
            <w:r w:rsidRPr="00B93070">
              <w:t>-</w:t>
            </w:r>
          </w:p>
        </w:tc>
        <w:tc>
          <w:tcPr>
            <w:tcW w:w="814" w:type="dxa"/>
          </w:tcPr>
          <w:p w:rsidR="00BC4C0E" w:rsidRPr="00B93070" w:rsidRDefault="00BC4C0E" w:rsidP="00072431">
            <w:pPr>
              <w:pStyle w:val="TableBody"/>
              <w:jc w:val="center"/>
            </w:pPr>
            <w:r w:rsidRPr="00B93070">
              <w:t>DMSO</w:t>
            </w:r>
          </w:p>
        </w:tc>
        <w:tc>
          <w:tcPr>
            <w:tcW w:w="639" w:type="dxa"/>
          </w:tcPr>
          <w:p w:rsidR="00BC4C0E" w:rsidRPr="00B93070" w:rsidRDefault="00BC4C0E" w:rsidP="00072431">
            <w:pPr>
              <w:pStyle w:val="TableBody"/>
              <w:jc w:val="center"/>
            </w:pPr>
            <w:r w:rsidRPr="00B93070">
              <w:t>40</w:t>
            </w:r>
            <w:r w:rsidRPr="00B93070">
              <w:rPr>
                <w:vertAlign w:val="superscript"/>
              </w:rPr>
              <w:t>o</w:t>
            </w:r>
            <w:r w:rsidRPr="00B93070">
              <w:t>C</w:t>
            </w:r>
          </w:p>
        </w:tc>
        <w:tc>
          <w:tcPr>
            <w:tcW w:w="969" w:type="dxa"/>
          </w:tcPr>
          <w:p w:rsidR="00BC4C0E" w:rsidRPr="00B93070" w:rsidRDefault="00BC4C0E" w:rsidP="00072431">
            <w:pPr>
              <w:pStyle w:val="TableBody"/>
              <w:jc w:val="center"/>
            </w:pPr>
            <w:r w:rsidRPr="00B93070">
              <w:t>c.m.</w:t>
            </w:r>
            <w:r w:rsidRPr="00B93070">
              <w:rPr>
                <w:vertAlign w:val="superscript"/>
              </w:rPr>
              <w:t>[h]</w:t>
            </w:r>
          </w:p>
        </w:tc>
        <w:tc>
          <w:tcPr>
            <w:tcW w:w="576" w:type="dxa"/>
          </w:tcPr>
          <w:p w:rsidR="00BC4C0E" w:rsidRPr="00B93070" w:rsidRDefault="00BC4C0E" w:rsidP="00072431">
            <w:pPr>
              <w:pStyle w:val="TableBody"/>
              <w:jc w:val="center"/>
            </w:pPr>
            <w:r w:rsidRPr="00B93070">
              <w:t>-</w:t>
            </w:r>
          </w:p>
        </w:tc>
        <w:tc>
          <w:tcPr>
            <w:tcW w:w="784" w:type="dxa"/>
          </w:tcPr>
          <w:p w:rsidR="00BC4C0E" w:rsidRPr="00B93070" w:rsidRDefault="00BC4C0E" w:rsidP="00072431">
            <w:pPr>
              <w:pStyle w:val="TableBody"/>
              <w:jc w:val="center"/>
            </w:pPr>
            <w:r w:rsidRPr="00B93070">
              <w:t>-</w:t>
            </w:r>
          </w:p>
        </w:tc>
      </w:tr>
      <w:tr w:rsidR="00BC4C0E" w:rsidRPr="00B93070" w:rsidTr="00BC4C0E">
        <w:tc>
          <w:tcPr>
            <w:tcW w:w="611" w:type="dxa"/>
          </w:tcPr>
          <w:p w:rsidR="00BC4C0E" w:rsidRPr="00B93070" w:rsidRDefault="00BC4C0E" w:rsidP="00072431">
            <w:pPr>
              <w:pStyle w:val="TableBody"/>
              <w:jc w:val="center"/>
            </w:pPr>
            <w:r w:rsidRPr="00B93070">
              <w:t>8</w:t>
            </w:r>
          </w:p>
        </w:tc>
        <w:tc>
          <w:tcPr>
            <w:tcW w:w="613" w:type="dxa"/>
          </w:tcPr>
          <w:p w:rsidR="00BC4C0E" w:rsidRPr="00B93070" w:rsidRDefault="00BC4C0E" w:rsidP="00072431">
            <w:pPr>
              <w:pStyle w:val="TableBody"/>
              <w:jc w:val="center"/>
              <w:rPr>
                <w:lang w:val="en-US"/>
              </w:rPr>
            </w:pPr>
            <w:r w:rsidRPr="00B93070">
              <w:rPr>
                <w:lang w:val="en-US"/>
              </w:rPr>
              <w:t>-</w:t>
            </w:r>
          </w:p>
        </w:tc>
        <w:tc>
          <w:tcPr>
            <w:tcW w:w="814" w:type="dxa"/>
          </w:tcPr>
          <w:p w:rsidR="00BC4C0E" w:rsidRPr="00B93070" w:rsidRDefault="00BC4C0E" w:rsidP="00072431">
            <w:pPr>
              <w:pStyle w:val="TableBody"/>
              <w:jc w:val="center"/>
            </w:pPr>
            <w:r w:rsidRPr="00B93070">
              <w:rPr>
                <w:lang w:val="en-US"/>
              </w:rPr>
              <w:t>EtOAc</w:t>
            </w:r>
          </w:p>
        </w:tc>
        <w:tc>
          <w:tcPr>
            <w:tcW w:w="639" w:type="dxa"/>
          </w:tcPr>
          <w:p w:rsidR="00BC4C0E" w:rsidRPr="00B93070" w:rsidRDefault="00BC4C0E" w:rsidP="00072431">
            <w:pPr>
              <w:pStyle w:val="TableBody"/>
              <w:jc w:val="center"/>
            </w:pPr>
            <w:r w:rsidRPr="00B93070">
              <w:t>40</w:t>
            </w:r>
            <w:r w:rsidRPr="00B93070">
              <w:rPr>
                <w:vertAlign w:val="superscript"/>
              </w:rPr>
              <w:t>o</w:t>
            </w:r>
            <w:r w:rsidRPr="00B93070">
              <w:t>C</w:t>
            </w:r>
          </w:p>
        </w:tc>
        <w:tc>
          <w:tcPr>
            <w:tcW w:w="969" w:type="dxa"/>
          </w:tcPr>
          <w:p w:rsidR="00BC4C0E" w:rsidRPr="00B93070" w:rsidRDefault="00BC4C0E" w:rsidP="00072431">
            <w:pPr>
              <w:pStyle w:val="TableBody"/>
              <w:jc w:val="center"/>
            </w:pPr>
            <w:r w:rsidRPr="00B93070">
              <w:t>70%</w:t>
            </w:r>
          </w:p>
        </w:tc>
        <w:tc>
          <w:tcPr>
            <w:tcW w:w="576" w:type="dxa"/>
          </w:tcPr>
          <w:p w:rsidR="00BC4C0E" w:rsidRPr="00B93070" w:rsidRDefault="00BC4C0E" w:rsidP="00072431">
            <w:pPr>
              <w:pStyle w:val="TableBody"/>
              <w:jc w:val="center"/>
            </w:pPr>
            <w:r w:rsidRPr="00B93070">
              <w:t>4.3:1</w:t>
            </w:r>
          </w:p>
        </w:tc>
        <w:tc>
          <w:tcPr>
            <w:tcW w:w="784" w:type="dxa"/>
          </w:tcPr>
          <w:p w:rsidR="00BC4C0E" w:rsidRPr="00B93070" w:rsidRDefault="00BC4C0E" w:rsidP="00072431">
            <w:pPr>
              <w:pStyle w:val="TableBody"/>
              <w:jc w:val="center"/>
            </w:pPr>
            <w:r w:rsidRPr="00B93070">
              <w:t>92/99</w:t>
            </w:r>
          </w:p>
        </w:tc>
      </w:tr>
      <w:tr w:rsidR="00BC4C0E" w:rsidRPr="00B93070" w:rsidTr="00BC4C0E">
        <w:tc>
          <w:tcPr>
            <w:tcW w:w="611" w:type="dxa"/>
          </w:tcPr>
          <w:p w:rsidR="00BC4C0E" w:rsidRPr="00B93070" w:rsidRDefault="00BC4C0E" w:rsidP="00072431">
            <w:pPr>
              <w:pStyle w:val="TableBody"/>
              <w:jc w:val="center"/>
            </w:pPr>
            <w:r w:rsidRPr="00B93070">
              <w:t>9</w:t>
            </w:r>
          </w:p>
        </w:tc>
        <w:tc>
          <w:tcPr>
            <w:tcW w:w="613" w:type="dxa"/>
          </w:tcPr>
          <w:p w:rsidR="00BC4C0E" w:rsidRPr="00B93070" w:rsidRDefault="00BC4C0E" w:rsidP="00072431">
            <w:pPr>
              <w:pStyle w:val="TableBody"/>
              <w:jc w:val="center"/>
            </w:pPr>
            <w:r w:rsidRPr="00B93070">
              <w:t>-</w:t>
            </w:r>
          </w:p>
        </w:tc>
        <w:tc>
          <w:tcPr>
            <w:tcW w:w="814" w:type="dxa"/>
          </w:tcPr>
          <w:p w:rsidR="00BC4C0E" w:rsidRPr="00B93070" w:rsidRDefault="00BC4C0E" w:rsidP="00072431">
            <w:pPr>
              <w:pStyle w:val="TableBody"/>
              <w:jc w:val="center"/>
            </w:pPr>
            <w:r w:rsidRPr="00B93070">
              <w:t>CH</w:t>
            </w:r>
            <w:r w:rsidRPr="00B93070">
              <w:rPr>
                <w:vertAlign w:val="subscript"/>
              </w:rPr>
              <w:t>3</w:t>
            </w:r>
            <w:r w:rsidRPr="00B93070">
              <w:t>CN</w:t>
            </w:r>
          </w:p>
        </w:tc>
        <w:tc>
          <w:tcPr>
            <w:tcW w:w="639" w:type="dxa"/>
          </w:tcPr>
          <w:p w:rsidR="00BC4C0E" w:rsidRPr="00B93070" w:rsidRDefault="00BC4C0E" w:rsidP="00072431">
            <w:pPr>
              <w:pStyle w:val="TableBody"/>
              <w:jc w:val="center"/>
            </w:pPr>
            <w:r w:rsidRPr="00B93070">
              <w:t>r.t.</w:t>
            </w:r>
          </w:p>
        </w:tc>
        <w:tc>
          <w:tcPr>
            <w:tcW w:w="969" w:type="dxa"/>
          </w:tcPr>
          <w:p w:rsidR="00BC4C0E" w:rsidRPr="00B93070" w:rsidRDefault="00BC4C0E" w:rsidP="00072431">
            <w:pPr>
              <w:pStyle w:val="TableBody"/>
              <w:jc w:val="center"/>
            </w:pPr>
            <w:r w:rsidRPr="00B93070">
              <w:t>86%</w:t>
            </w:r>
          </w:p>
        </w:tc>
        <w:tc>
          <w:tcPr>
            <w:tcW w:w="576" w:type="dxa"/>
          </w:tcPr>
          <w:p w:rsidR="00BC4C0E" w:rsidRPr="00B93070" w:rsidRDefault="00BC4C0E" w:rsidP="00072431">
            <w:pPr>
              <w:pStyle w:val="TableBody"/>
              <w:jc w:val="center"/>
            </w:pPr>
            <w:r w:rsidRPr="00B93070">
              <w:t>3.4:1</w:t>
            </w:r>
          </w:p>
        </w:tc>
        <w:tc>
          <w:tcPr>
            <w:tcW w:w="784" w:type="dxa"/>
          </w:tcPr>
          <w:p w:rsidR="00BC4C0E" w:rsidRPr="00B93070" w:rsidRDefault="00BC4C0E" w:rsidP="00072431">
            <w:pPr>
              <w:pStyle w:val="TableBody"/>
              <w:jc w:val="center"/>
            </w:pPr>
            <w:r w:rsidRPr="00B93070">
              <w:t>32/99</w:t>
            </w:r>
          </w:p>
        </w:tc>
      </w:tr>
      <w:tr w:rsidR="00BC4C0E" w:rsidRPr="00B93070" w:rsidTr="00BC4C0E">
        <w:tc>
          <w:tcPr>
            <w:tcW w:w="611" w:type="dxa"/>
          </w:tcPr>
          <w:p w:rsidR="00BC4C0E" w:rsidRPr="00B93070" w:rsidRDefault="00BC4C0E" w:rsidP="00072431">
            <w:pPr>
              <w:pStyle w:val="TableBody"/>
              <w:jc w:val="center"/>
            </w:pPr>
            <w:r w:rsidRPr="00B93070">
              <w:t>10</w:t>
            </w:r>
          </w:p>
        </w:tc>
        <w:tc>
          <w:tcPr>
            <w:tcW w:w="613" w:type="dxa"/>
          </w:tcPr>
          <w:p w:rsidR="00BC4C0E" w:rsidRPr="00B93070" w:rsidRDefault="00BC4C0E" w:rsidP="00072431">
            <w:pPr>
              <w:pStyle w:val="TableBody"/>
              <w:jc w:val="center"/>
            </w:pPr>
            <w:r w:rsidRPr="00B93070">
              <w:t>-</w:t>
            </w:r>
          </w:p>
        </w:tc>
        <w:tc>
          <w:tcPr>
            <w:tcW w:w="814" w:type="dxa"/>
          </w:tcPr>
          <w:p w:rsidR="00BC4C0E" w:rsidRPr="00B93070" w:rsidRDefault="00BC4C0E" w:rsidP="00072431">
            <w:pPr>
              <w:pStyle w:val="TableBody"/>
              <w:jc w:val="center"/>
            </w:pPr>
            <w:r w:rsidRPr="00B93070">
              <w:t>Toluene</w:t>
            </w:r>
          </w:p>
        </w:tc>
        <w:tc>
          <w:tcPr>
            <w:tcW w:w="639" w:type="dxa"/>
          </w:tcPr>
          <w:p w:rsidR="00BC4C0E" w:rsidRPr="00B93070" w:rsidRDefault="00BC4C0E" w:rsidP="00072431">
            <w:pPr>
              <w:pStyle w:val="TableBody"/>
              <w:jc w:val="center"/>
            </w:pPr>
            <w:r w:rsidRPr="00B93070">
              <w:t>r.t.</w:t>
            </w:r>
          </w:p>
        </w:tc>
        <w:tc>
          <w:tcPr>
            <w:tcW w:w="969" w:type="dxa"/>
          </w:tcPr>
          <w:p w:rsidR="00BC4C0E" w:rsidRPr="00B93070" w:rsidRDefault="00BC4C0E" w:rsidP="00072431">
            <w:pPr>
              <w:pStyle w:val="TableBody"/>
              <w:jc w:val="center"/>
            </w:pPr>
            <w:r w:rsidRPr="00B93070">
              <w:t>46%</w:t>
            </w:r>
          </w:p>
        </w:tc>
        <w:tc>
          <w:tcPr>
            <w:tcW w:w="576" w:type="dxa"/>
          </w:tcPr>
          <w:p w:rsidR="00BC4C0E" w:rsidRPr="00B93070" w:rsidRDefault="00BC4C0E" w:rsidP="00072431">
            <w:pPr>
              <w:pStyle w:val="TableBody"/>
              <w:jc w:val="center"/>
            </w:pPr>
            <w:r w:rsidRPr="00B93070">
              <w:t>5.6:1</w:t>
            </w:r>
          </w:p>
        </w:tc>
        <w:tc>
          <w:tcPr>
            <w:tcW w:w="784" w:type="dxa"/>
          </w:tcPr>
          <w:p w:rsidR="00BC4C0E" w:rsidRPr="00B93070" w:rsidRDefault="00BC4C0E" w:rsidP="00072431">
            <w:pPr>
              <w:pStyle w:val="TableBody"/>
              <w:jc w:val="center"/>
            </w:pPr>
            <w:r w:rsidRPr="00B93070">
              <w:t>93/99</w:t>
            </w:r>
          </w:p>
        </w:tc>
      </w:tr>
      <w:tr w:rsidR="00BC4C0E" w:rsidRPr="00B93070" w:rsidTr="00BC4C0E">
        <w:trPr>
          <w:trHeight w:val="57"/>
        </w:trPr>
        <w:tc>
          <w:tcPr>
            <w:tcW w:w="611" w:type="dxa"/>
            <w:tcBorders>
              <w:bottom w:val="single" w:sz="8" w:space="0" w:color="808080"/>
            </w:tcBorders>
          </w:tcPr>
          <w:p w:rsidR="00BC4C0E" w:rsidRPr="00B93070" w:rsidRDefault="00BC4C0E" w:rsidP="00072431">
            <w:pPr>
              <w:pStyle w:val="TableBody"/>
              <w:jc w:val="center"/>
            </w:pPr>
            <w:r w:rsidRPr="00B93070">
              <w:t>11</w:t>
            </w:r>
          </w:p>
        </w:tc>
        <w:tc>
          <w:tcPr>
            <w:tcW w:w="613" w:type="dxa"/>
            <w:tcBorders>
              <w:bottom w:val="single" w:sz="8" w:space="0" w:color="808080"/>
            </w:tcBorders>
          </w:tcPr>
          <w:p w:rsidR="00BC4C0E" w:rsidRPr="00B93070" w:rsidRDefault="00BC4C0E" w:rsidP="00072431">
            <w:pPr>
              <w:pStyle w:val="TableBody"/>
              <w:jc w:val="center"/>
            </w:pPr>
            <w:r w:rsidRPr="00B93070">
              <w:t>-</w:t>
            </w:r>
          </w:p>
        </w:tc>
        <w:tc>
          <w:tcPr>
            <w:tcW w:w="814" w:type="dxa"/>
            <w:tcBorders>
              <w:bottom w:val="single" w:sz="8" w:space="0" w:color="808080"/>
            </w:tcBorders>
          </w:tcPr>
          <w:p w:rsidR="00BC4C0E" w:rsidRPr="00B93070" w:rsidRDefault="00BC4C0E" w:rsidP="00072431">
            <w:pPr>
              <w:pStyle w:val="TableBody"/>
              <w:jc w:val="center"/>
            </w:pPr>
            <w:r w:rsidRPr="00B93070">
              <w:t>EtOAc</w:t>
            </w:r>
          </w:p>
        </w:tc>
        <w:tc>
          <w:tcPr>
            <w:tcW w:w="639" w:type="dxa"/>
            <w:tcBorders>
              <w:bottom w:val="single" w:sz="8" w:space="0" w:color="808080"/>
            </w:tcBorders>
          </w:tcPr>
          <w:p w:rsidR="00BC4C0E" w:rsidRPr="00B93070" w:rsidRDefault="00BC4C0E" w:rsidP="00072431">
            <w:pPr>
              <w:pStyle w:val="TableBody"/>
              <w:jc w:val="center"/>
            </w:pPr>
            <w:r w:rsidRPr="00B93070">
              <w:t>r.t.</w:t>
            </w:r>
          </w:p>
        </w:tc>
        <w:tc>
          <w:tcPr>
            <w:tcW w:w="969" w:type="dxa"/>
            <w:tcBorders>
              <w:bottom w:val="single" w:sz="8" w:space="0" w:color="808080"/>
            </w:tcBorders>
          </w:tcPr>
          <w:p w:rsidR="00BC4C0E" w:rsidRPr="00B93070" w:rsidRDefault="00BC4C0E" w:rsidP="00072431">
            <w:pPr>
              <w:pStyle w:val="TableBody"/>
              <w:jc w:val="center"/>
            </w:pPr>
            <w:r w:rsidRPr="00B93070">
              <w:t>100%</w:t>
            </w:r>
          </w:p>
        </w:tc>
        <w:tc>
          <w:tcPr>
            <w:tcW w:w="576" w:type="dxa"/>
            <w:tcBorders>
              <w:bottom w:val="single" w:sz="8" w:space="0" w:color="808080"/>
            </w:tcBorders>
          </w:tcPr>
          <w:p w:rsidR="00BC4C0E" w:rsidRPr="00B93070" w:rsidRDefault="00BC4C0E" w:rsidP="00072431">
            <w:pPr>
              <w:pStyle w:val="TableBody"/>
              <w:jc w:val="center"/>
            </w:pPr>
            <w:r w:rsidRPr="00B93070">
              <w:t>7:1</w:t>
            </w:r>
          </w:p>
        </w:tc>
        <w:tc>
          <w:tcPr>
            <w:tcW w:w="784" w:type="dxa"/>
            <w:tcBorders>
              <w:bottom w:val="single" w:sz="8" w:space="0" w:color="808080"/>
            </w:tcBorders>
          </w:tcPr>
          <w:p w:rsidR="00BC4C0E" w:rsidRPr="00B93070" w:rsidRDefault="00BC4C0E" w:rsidP="00072431">
            <w:pPr>
              <w:pStyle w:val="TableBody"/>
              <w:jc w:val="center"/>
              <w:rPr>
                <w:lang w:val="en-GB"/>
              </w:rPr>
            </w:pPr>
            <w:r w:rsidRPr="00B93070">
              <w:rPr>
                <w:lang w:val="en-GB"/>
              </w:rPr>
              <w:t>99/n.d.</w:t>
            </w:r>
            <w:r w:rsidRPr="00B93070">
              <w:rPr>
                <w:vertAlign w:val="superscript"/>
                <w:lang w:val="en-GB"/>
              </w:rPr>
              <w:t>[i]</w:t>
            </w:r>
          </w:p>
        </w:tc>
      </w:tr>
    </w:tbl>
    <w:p w:rsidR="003E1625" w:rsidRPr="00B93070" w:rsidRDefault="003E1625" w:rsidP="003E1625">
      <w:pPr>
        <w:pStyle w:val="TableFoot"/>
      </w:pPr>
      <w:r w:rsidRPr="00B93070">
        <w:t xml:space="preserve">[a] In a small vial, 1 equiv of </w:t>
      </w:r>
      <w:r w:rsidRPr="00B93070">
        <w:rPr>
          <w:b/>
        </w:rPr>
        <w:t>3a</w:t>
      </w:r>
      <w:r w:rsidRPr="00B93070">
        <w:t xml:space="preserve">,1.2 equiv of </w:t>
      </w:r>
      <w:r w:rsidRPr="00B93070">
        <w:rPr>
          <w:b/>
        </w:rPr>
        <w:t xml:space="preserve">6, </w:t>
      </w:r>
      <w:r w:rsidRPr="00B93070">
        <w:t>5 mol% of Pd</w:t>
      </w:r>
      <w:r w:rsidRPr="00B93070">
        <w:rPr>
          <w:vertAlign w:val="subscript"/>
        </w:rPr>
        <w:t>2</w:t>
      </w:r>
      <w:r w:rsidRPr="00B93070">
        <w:t>(dba)</w:t>
      </w:r>
      <w:r w:rsidRPr="00B93070">
        <w:rPr>
          <w:vertAlign w:val="subscript"/>
        </w:rPr>
        <w:t>3</w:t>
      </w:r>
      <w:r w:rsidRPr="00B93070">
        <w:t xml:space="preserve"> and 20 mol% of </w:t>
      </w:r>
      <w:r w:rsidRPr="00B93070">
        <w:rPr>
          <w:b/>
        </w:rPr>
        <w:t>I</w:t>
      </w:r>
      <w:r w:rsidRPr="00B93070">
        <w:t xml:space="preserve"> were added in 1 mL solvent at the temperature reported in the table [b] Determined by </w:t>
      </w:r>
      <w:r w:rsidRPr="00B93070">
        <w:rPr>
          <w:vertAlign w:val="superscript"/>
        </w:rPr>
        <w:t>1</w:t>
      </w:r>
      <w:r w:rsidRPr="00B93070">
        <w:t xml:space="preserve">H NMR analysis of the crude mixture after 14h [c] Determined by </w:t>
      </w:r>
      <w:r w:rsidRPr="00B93070">
        <w:rPr>
          <w:vertAlign w:val="superscript"/>
        </w:rPr>
        <w:t>1</w:t>
      </w:r>
      <w:r w:rsidRPr="00B93070">
        <w:t>H NMR analysis of the crude mixture [d] Determined by HPLC analysis of th</w:t>
      </w:r>
      <w:r w:rsidR="00BC4C0E" w:rsidRPr="00B93070">
        <w:t xml:space="preserve">e crude mixture [e] </w:t>
      </w:r>
      <w:r w:rsidRPr="00B93070">
        <w:t xml:space="preserve">12 mol% [f] </w:t>
      </w:r>
      <w:r w:rsidR="00D62DA7" w:rsidRPr="00B93070">
        <w:t xml:space="preserve">“phe” = </w:t>
      </w:r>
      <w:r w:rsidRPr="00B93070">
        <w:t xml:space="preserve">phenanthroline (12 mol%) </w:t>
      </w:r>
      <w:r w:rsidR="00BC4C0E" w:rsidRPr="00B93070">
        <w:t xml:space="preserve">[g] 20 mol% </w:t>
      </w:r>
      <w:r w:rsidRPr="00B93070">
        <w:t>[h] c.m. = complex mixture [i] n.d.</w:t>
      </w:r>
      <w:r w:rsidR="00AB7BB3" w:rsidRPr="00B93070">
        <w:t xml:space="preserve"> = not</w:t>
      </w:r>
      <w:r w:rsidRPr="00B93070">
        <w:t xml:space="preserve"> determined</w:t>
      </w:r>
    </w:p>
    <w:p w:rsidR="003E1625" w:rsidRPr="00B93070" w:rsidRDefault="003E1625" w:rsidP="003E1625">
      <w:pPr>
        <w:pStyle w:val="P1withoutIndendation"/>
        <w:rPr>
          <w:b/>
          <w:lang w:val="en-US"/>
        </w:rPr>
      </w:pPr>
      <w:r w:rsidRPr="00B93070">
        <w:rPr>
          <w:lang w:val="en-US"/>
        </w:rPr>
        <w:t xml:space="preserve">With the best conditions on hands, we decided to study the scope of the reaction in terms of the enals. To our delight the results were excellent in almost all the cases. The reaction with simple cinnamaldehyde renders the final product </w:t>
      </w:r>
      <w:r w:rsidRPr="00B93070">
        <w:rPr>
          <w:b/>
          <w:lang w:val="en-US"/>
        </w:rPr>
        <w:t>7a</w:t>
      </w:r>
      <w:r w:rsidRPr="00B93070">
        <w:rPr>
          <w:lang w:val="en-US"/>
        </w:rPr>
        <w:t xml:space="preserve"> in good yields and excellent s</w:t>
      </w:r>
      <w:r w:rsidR="0094582D" w:rsidRPr="00B93070">
        <w:rPr>
          <w:lang w:val="en-US"/>
        </w:rPr>
        <w:t xml:space="preserve">tereoselectivities (87% yield, </w:t>
      </w:r>
      <w:r w:rsidRPr="00B93070">
        <w:rPr>
          <w:lang w:val="en-US"/>
        </w:rPr>
        <w:t xml:space="preserve">7:1 d.r. and 99% ee). The reaction tolerates several functional electronwithdrawing groups in the aromatic ring, like </w:t>
      </w:r>
      <w:r w:rsidRPr="00B93070">
        <w:rPr>
          <w:i/>
          <w:lang w:val="en-US"/>
        </w:rPr>
        <w:t>p</w:t>
      </w:r>
      <w:r w:rsidRPr="00B93070">
        <w:rPr>
          <w:lang w:val="en-US"/>
        </w:rPr>
        <w:t>-CN (</w:t>
      </w:r>
      <w:r w:rsidRPr="00B93070">
        <w:rPr>
          <w:b/>
          <w:lang w:val="en-US"/>
        </w:rPr>
        <w:t>4b</w:t>
      </w:r>
      <w:r w:rsidRPr="00B93070">
        <w:rPr>
          <w:lang w:val="en-US"/>
        </w:rPr>
        <w:t xml:space="preserve">), </w:t>
      </w:r>
      <w:r w:rsidRPr="00B93070">
        <w:rPr>
          <w:i/>
          <w:lang w:val="en-US"/>
        </w:rPr>
        <w:t>p</w:t>
      </w:r>
      <w:r w:rsidRPr="00B93070">
        <w:rPr>
          <w:lang w:val="en-US"/>
        </w:rPr>
        <w:t>-NO</w:t>
      </w:r>
      <w:r w:rsidRPr="00B93070">
        <w:rPr>
          <w:vertAlign w:val="subscript"/>
          <w:lang w:val="en-US"/>
        </w:rPr>
        <w:t>2</w:t>
      </w:r>
      <w:r w:rsidRPr="00B93070">
        <w:rPr>
          <w:lang w:val="en-US"/>
        </w:rPr>
        <w:t xml:space="preserve"> (</w:t>
      </w:r>
      <w:r w:rsidRPr="00B93070">
        <w:rPr>
          <w:b/>
          <w:lang w:val="en-US"/>
        </w:rPr>
        <w:t>4d</w:t>
      </w:r>
      <w:r w:rsidRPr="00B93070">
        <w:rPr>
          <w:lang w:val="en-US"/>
        </w:rPr>
        <w:t xml:space="preserve">) or </w:t>
      </w:r>
      <w:r w:rsidRPr="00B93070">
        <w:rPr>
          <w:i/>
          <w:lang w:val="en-US"/>
        </w:rPr>
        <w:t>m</w:t>
      </w:r>
      <w:r w:rsidRPr="00B93070">
        <w:rPr>
          <w:lang w:val="en-US"/>
        </w:rPr>
        <w:t>-NO</w:t>
      </w:r>
      <w:r w:rsidRPr="00B93070">
        <w:rPr>
          <w:vertAlign w:val="subscript"/>
          <w:lang w:val="en-US"/>
        </w:rPr>
        <w:t>2</w:t>
      </w:r>
      <w:r w:rsidRPr="00B93070">
        <w:rPr>
          <w:lang w:val="en-US"/>
        </w:rPr>
        <w:t xml:space="preserve"> (</w:t>
      </w:r>
      <w:r w:rsidRPr="00B93070">
        <w:rPr>
          <w:b/>
          <w:lang w:val="en-US"/>
        </w:rPr>
        <w:t>4g</w:t>
      </w:r>
      <w:r w:rsidRPr="00B93070">
        <w:rPr>
          <w:lang w:val="en-US"/>
        </w:rPr>
        <w:t xml:space="preserve">), giving the final cyclopentanes in excellent yields (90-93%) and only slightly worse stereoselectivities (10-8:1 d.r. and 99-87% ee). Remarkably, the reaction tolerates the presence of halogens in the aromatic ring such as </w:t>
      </w:r>
      <w:r w:rsidRPr="00B93070">
        <w:rPr>
          <w:i/>
          <w:lang w:val="en-US"/>
        </w:rPr>
        <w:t>p</w:t>
      </w:r>
      <w:r w:rsidRPr="00B93070">
        <w:rPr>
          <w:lang w:val="en-US"/>
        </w:rPr>
        <w:t>-Br (</w:t>
      </w:r>
      <w:r w:rsidRPr="00B93070">
        <w:rPr>
          <w:b/>
          <w:lang w:val="en-US"/>
        </w:rPr>
        <w:t>4c</w:t>
      </w:r>
      <w:r w:rsidRPr="00B93070">
        <w:rPr>
          <w:lang w:val="en-US"/>
        </w:rPr>
        <w:t xml:space="preserve">), </w:t>
      </w:r>
      <w:r w:rsidRPr="00B93070">
        <w:rPr>
          <w:i/>
          <w:lang w:val="en-US"/>
        </w:rPr>
        <w:t>o</w:t>
      </w:r>
      <w:r w:rsidRPr="00B93070">
        <w:rPr>
          <w:lang w:val="en-US"/>
        </w:rPr>
        <w:t>-Br (</w:t>
      </w:r>
      <w:r w:rsidRPr="00B93070">
        <w:rPr>
          <w:b/>
          <w:lang w:val="en-US"/>
        </w:rPr>
        <w:t>4f</w:t>
      </w:r>
      <w:r w:rsidRPr="00B93070">
        <w:rPr>
          <w:lang w:val="en-US"/>
        </w:rPr>
        <w:t xml:space="preserve">) or </w:t>
      </w:r>
      <w:r w:rsidRPr="00B93070">
        <w:rPr>
          <w:i/>
          <w:lang w:val="en-US"/>
        </w:rPr>
        <w:t>p</w:t>
      </w:r>
      <w:r w:rsidRPr="00B93070">
        <w:rPr>
          <w:lang w:val="en-US"/>
        </w:rPr>
        <w:t>-F (</w:t>
      </w:r>
      <w:r w:rsidRPr="00B93070">
        <w:rPr>
          <w:b/>
          <w:lang w:val="en-US"/>
        </w:rPr>
        <w:t>4e</w:t>
      </w:r>
      <w:r w:rsidRPr="00B93070">
        <w:rPr>
          <w:lang w:val="en-US"/>
        </w:rPr>
        <w:t xml:space="preserve">) giving excellent yields, diastereo- and enantioselectivities. Only in the case of the </w:t>
      </w:r>
      <w:r w:rsidRPr="00B93070">
        <w:rPr>
          <w:i/>
          <w:iCs/>
          <w:lang w:val="en-US"/>
        </w:rPr>
        <w:t>m</w:t>
      </w:r>
      <w:r w:rsidRPr="00B93070">
        <w:rPr>
          <w:lang w:val="en-US"/>
        </w:rPr>
        <w:t>-Br the diastereoselectivity of the reaction is reduced (2.5:1) probably due to steric interactions. Aliphatic aldehydes such as Me (</w:t>
      </w:r>
      <w:r w:rsidRPr="00B93070">
        <w:rPr>
          <w:b/>
          <w:lang w:val="en-US"/>
        </w:rPr>
        <w:t>4i</w:t>
      </w:r>
      <w:r w:rsidRPr="00B93070">
        <w:rPr>
          <w:lang w:val="en-US"/>
        </w:rPr>
        <w:t>), Et (</w:t>
      </w:r>
      <w:r w:rsidRPr="00B93070">
        <w:rPr>
          <w:b/>
          <w:lang w:val="en-US"/>
        </w:rPr>
        <w:t>4j</w:t>
      </w:r>
      <w:r w:rsidRPr="00B93070">
        <w:rPr>
          <w:lang w:val="en-US"/>
        </w:rPr>
        <w:t>), Pr (</w:t>
      </w:r>
      <w:r w:rsidRPr="00B93070">
        <w:rPr>
          <w:b/>
          <w:lang w:val="en-US"/>
        </w:rPr>
        <w:t>4l</w:t>
      </w:r>
      <w:r w:rsidRPr="00B93070">
        <w:rPr>
          <w:lang w:val="en-US"/>
        </w:rPr>
        <w:t>), or heptyl (</w:t>
      </w:r>
      <w:r w:rsidRPr="00B93070">
        <w:rPr>
          <w:b/>
          <w:lang w:val="en-US"/>
        </w:rPr>
        <w:t>4k</w:t>
      </w:r>
      <w:r w:rsidRPr="00B93070">
        <w:rPr>
          <w:lang w:val="en-US"/>
        </w:rPr>
        <w:t>) gave the final cyclopentanes in excellent y</w:t>
      </w:r>
      <w:r w:rsidR="00BF7D81" w:rsidRPr="00B93070">
        <w:rPr>
          <w:lang w:val="en-US"/>
        </w:rPr>
        <w:t>ields and stereoselectivities, t</w:t>
      </w:r>
      <w:r w:rsidRPr="00B93070">
        <w:rPr>
          <w:lang w:val="en-US"/>
        </w:rPr>
        <w:t xml:space="preserve">he only substrate that has a different behavior is dienal </w:t>
      </w:r>
      <w:r w:rsidRPr="00B93070">
        <w:rPr>
          <w:b/>
          <w:lang w:val="en-US"/>
        </w:rPr>
        <w:t>4m</w:t>
      </w:r>
      <w:r w:rsidRPr="00B93070">
        <w:rPr>
          <w:lang w:val="en-US"/>
        </w:rPr>
        <w:t>. The first surprise is that the dienal reacts by the second conjugated double bond exclusively instead of the middle double bond as previously reported in other organocascade reactions.</w:t>
      </w:r>
      <w:r w:rsidR="00AB7BB3" w:rsidRPr="00B93070">
        <w:rPr>
          <w:vertAlign w:val="superscript"/>
          <w:lang w:val="en-US"/>
        </w:rPr>
        <w:t>[23</w:t>
      </w:r>
      <w:r w:rsidRPr="00B93070">
        <w:rPr>
          <w:vertAlign w:val="superscript"/>
          <w:lang w:val="en-US"/>
        </w:rPr>
        <w:t>]</w:t>
      </w:r>
      <w:r w:rsidRPr="00B93070">
        <w:rPr>
          <w:lang w:val="en-US"/>
        </w:rPr>
        <w:t xml:space="preserve"> This makes that the conformation of the iminium transition state will not be as fixed as in the other cases, leading to the loss of facial discrimination and rendering the final product with low enantioselectivity (</w:t>
      </w:r>
      <w:r w:rsidRPr="00B93070">
        <w:rPr>
          <w:b/>
          <w:lang w:val="en-US"/>
        </w:rPr>
        <w:t>7m</w:t>
      </w:r>
      <w:r w:rsidRPr="00B93070">
        <w:rPr>
          <w:lang w:val="en-US"/>
        </w:rPr>
        <w:t xml:space="preserve">). However, as far as we are aware, </w:t>
      </w:r>
      <w:r w:rsidRPr="00B93070">
        <w:rPr>
          <w:b/>
          <w:lang w:val="en-US"/>
        </w:rPr>
        <w:t xml:space="preserve">this is the first example of a </w:t>
      </w:r>
      <w:r w:rsidRPr="00B93070">
        <w:rPr>
          <w:b/>
          <w:lang w:val="en-US"/>
        </w:rPr>
        <w:t>total regioselective reaction with dienal by the second conjugated double bond.</w:t>
      </w:r>
    </w:p>
    <w:p w:rsidR="003E1625" w:rsidRPr="00B93070" w:rsidRDefault="003B2424" w:rsidP="003E1625">
      <w:pPr>
        <w:pStyle w:val="P1withoutIndendation"/>
        <w:rPr>
          <w:lang w:val="en-US"/>
        </w:rPr>
      </w:pPr>
      <w:r w:rsidRPr="00B93070">
        <w:rPr>
          <w:noProof/>
          <w:lang w:val="en-US" w:eastAsia="es-ES"/>
        </w:rPr>
        <w:object w:dxaOrig="1440" w:dyaOrig="1440">
          <v:shape id="_x0000_s1102" type="#_x0000_t75" style="position:absolute;left:0;text-align:left;margin-left:6.35pt;margin-top:9.3pt;width:233.7pt;height:48.65pt;z-index:251659776">
            <v:imagedata r:id="rId21" o:title=""/>
          </v:shape>
          <o:OLEObject Type="Embed" ProgID="ChemDraw.Document.6.0" ShapeID="_x0000_s1102" DrawAspect="Content" ObjectID="_1525078365" r:id="rId22"/>
        </w:object>
      </w:r>
    </w:p>
    <w:p w:rsidR="003E1625" w:rsidRPr="00B93070" w:rsidRDefault="003E1625" w:rsidP="003E1625">
      <w:pPr>
        <w:pStyle w:val="P1withoutIndendation"/>
        <w:rPr>
          <w:lang w:val="en-US"/>
        </w:rPr>
      </w:pPr>
    </w:p>
    <w:p w:rsidR="003E1625" w:rsidRPr="00B93070" w:rsidRDefault="003E1625" w:rsidP="003E1625">
      <w:pPr>
        <w:pStyle w:val="P1withoutIndendation"/>
        <w:rPr>
          <w:lang w:val="en-US"/>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B2424" w:rsidP="003E1625">
      <w:pPr>
        <w:pStyle w:val="P1withoutIndendation"/>
        <w:rPr>
          <w:lang w:val="en-GB"/>
        </w:rPr>
      </w:pPr>
      <w:r w:rsidRPr="00B93070">
        <w:rPr>
          <w:noProof/>
        </w:rPr>
        <w:object w:dxaOrig="1440" w:dyaOrig="1440">
          <v:shape id="_x0000_s1105" type="#_x0000_t75" style="position:absolute;left:0;text-align:left;margin-left:-6.25pt;margin-top:6.65pt;width:243.95pt;height:242.15pt;z-index:251662848;mso-position-horizontal-relative:text;mso-position-vertical-relative:text">
            <v:imagedata r:id="rId23" o:title=""/>
          </v:shape>
          <o:OLEObject Type="Embed" ProgID="ChemDraw.Document.6.0" ShapeID="_x0000_s1105" DrawAspect="Content" ObjectID="_1525078366" r:id="rId24"/>
        </w:object>
      </w: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p>
    <w:p w:rsidR="003E1625" w:rsidRPr="00B93070" w:rsidRDefault="003E1625" w:rsidP="003E1625">
      <w:pPr>
        <w:pStyle w:val="P1withoutIndendation"/>
        <w:rPr>
          <w:lang w:val="en-GB"/>
        </w:rPr>
      </w:pPr>
      <w:r w:rsidRPr="00B93070">
        <w:rPr>
          <w:lang w:val="en-GB"/>
        </w:rPr>
        <w:t xml:space="preserve">  </w:t>
      </w:r>
    </w:p>
    <w:p w:rsidR="003E1625" w:rsidRPr="00B93070" w:rsidRDefault="003E1625" w:rsidP="003E1625">
      <w:pPr>
        <w:pStyle w:val="SchemeCaption"/>
        <w:rPr>
          <w:b/>
          <w:i/>
        </w:rPr>
      </w:pPr>
    </w:p>
    <w:p w:rsidR="003E1625" w:rsidRPr="00B93070" w:rsidRDefault="003E1625" w:rsidP="003E1625">
      <w:pPr>
        <w:pStyle w:val="SchemeCaption"/>
        <w:rPr>
          <w:b/>
          <w:i/>
        </w:rPr>
      </w:pPr>
    </w:p>
    <w:p w:rsidR="003E1625" w:rsidRPr="00B93070" w:rsidRDefault="003E1625" w:rsidP="003E1625">
      <w:pPr>
        <w:pStyle w:val="SchemeCaption"/>
        <w:rPr>
          <w:b/>
          <w:i/>
        </w:rPr>
      </w:pPr>
    </w:p>
    <w:p w:rsidR="003E1625" w:rsidRPr="00B93070" w:rsidRDefault="003E1625" w:rsidP="003E1625">
      <w:pPr>
        <w:pStyle w:val="SchemeCaption"/>
      </w:pPr>
      <w:r w:rsidRPr="00B93070">
        <w:rPr>
          <w:b/>
          <w:i/>
        </w:rPr>
        <w:t>Scheme 2.</w:t>
      </w:r>
      <w:r w:rsidRPr="00B93070">
        <w:t xml:space="preserve"> Scope of the reaction</w:t>
      </w:r>
    </w:p>
    <w:p w:rsidR="003E1625" w:rsidRPr="00B93070" w:rsidRDefault="003E1625" w:rsidP="003E1625">
      <w:pPr>
        <w:pStyle w:val="P1withIndendation"/>
        <w:ind w:firstLine="0"/>
        <w:rPr>
          <w:bCs/>
        </w:rPr>
      </w:pPr>
      <w:r w:rsidRPr="00B93070">
        <w:rPr>
          <w:bCs/>
        </w:rPr>
        <w:t xml:space="preserve">We propose a plausible mechanism as shown in Figure 2: in the presence of palladium complex the vinylcyclopropane </w:t>
      </w:r>
      <w:r w:rsidRPr="00B93070">
        <w:rPr>
          <w:b/>
          <w:bCs/>
        </w:rPr>
        <w:t>6</w:t>
      </w:r>
      <w:r w:rsidRPr="00B93070">
        <w:rPr>
          <w:bCs/>
        </w:rPr>
        <w:t xml:space="preserve"> is cleaved by oxidative addition of the palladium</w:t>
      </w:r>
      <w:r w:rsidR="00AB7BB3" w:rsidRPr="00B93070">
        <w:rPr>
          <w:bCs/>
          <w:vertAlign w:val="superscript"/>
        </w:rPr>
        <w:t>[24</w:t>
      </w:r>
      <w:r w:rsidR="00C2354F" w:rsidRPr="00B93070">
        <w:rPr>
          <w:bCs/>
          <w:vertAlign w:val="superscript"/>
        </w:rPr>
        <w:t>]</w:t>
      </w:r>
      <w:r w:rsidRPr="00B93070">
        <w:rPr>
          <w:bCs/>
        </w:rPr>
        <w:t xml:space="preserve"> and the corresponding zwitterionic </w:t>
      </w:r>
      <w:r w:rsidRPr="00B93070">
        <w:rPr>
          <w:rFonts w:ascii="Symbol" w:hAnsi="Symbol"/>
          <w:bCs/>
        </w:rPr>
        <w:t></w:t>
      </w:r>
      <w:r w:rsidRPr="00B93070">
        <w:rPr>
          <w:bCs/>
        </w:rPr>
        <w:t xml:space="preserve">-allylpalladium intermediate </w:t>
      </w:r>
      <w:r w:rsidRPr="00B93070">
        <w:rPr>
          <w:b/>
          <w:bCs/>
        </w:rPr>
        <w:t>9</w:t>
      </w:r>
      <w:r w:rsidRPr="00B93070">
        <w:rPr>
          <w:bCs/>
        </w:rPr>
        <w:t xml:space="preserve"> is generated. On the other hand, the enal reacts with the chiral secondary amine </w:t>
      </w:r>
      <w:r w:rsidRPr="00B93070">
        <w:rPr>
          <w:b/>
          <w:bCs/>
        </w:rPr>
        <w:t>I</w:t>
      </w:r>
      <w:r w:rsidRPr="00B93070">
        <w:rPr>
          <w:bCs/>
        </w:rPr>
        <w:t xml:space="preserve"> to form the iminium intermediate </w:t>
      </w:r>
      <w:r w:rsidRPr="00B93070">
        <w:rPr>
          <w:b/>
          <w:bCs/>
        </w:rPr>
        <w:t>10</w:t>
      </w:r>
      <w:r w:rsidRPr="00B93070">
        <w:rPr>
          <w:bCs/>
        </w:rPr>
        <w:t xml:space="preserve">. The carbon anion of the dipole acts as a nucleophile through a Michael addition to the iminium intermediate leading to an enolate intermediate </w:t>
      </w:r>
      <w:r w:rsidRPr="00B93070">
        <w:rPr>
          <w:b/>
          <w:bCs/>
        </w:rPr>
        <w:t>11</w:t>
      </w:r>
      <w:r w:rsidRPr="00B93070">
        <w:rPr>
          <w:bCs/>
        </w:rPr>
        <w:t xml:space="preserve"> (first synergistic catalytic cycle). Next the enamine intermediate reacts intramolecularly with the previously generated allylic palladium via a 5-</w:t>
      </w:r>
      <w:r w:rsidRPr="00B93070">
        <w:rPr>
          <w:bCs/>
          <w:i/>
        </w:rPr>
        <w:t>exo</w:t>
      </w:r>
      <w:r w:rsidRPr="00B93070">
        <w:rPr>
          <w:bCs/>
        </w:rPr>
        <w:t>-</w:t>
      </w:r>
      <w:r w:rsidRPr="00B93070">
        <w:rPr>
          <w:bCs/>
          <w:i/>
        </w:rPr>
        <w:t>trig</w:t>
      </w:r>
      <w:r w:rsidRPr="00B93070">
        <w:rPr>
          <w:bCs/>
        </w:rPr>
        <w:t xml:space="preserve"> cyclization furnishing, after protonation and reductive elimination of the Pd complex and hydrolysis of the iminium intermediate, the final cyclopentane compound </w:t>
      </w:r>
      <w:r w:rsidRPr="00B93070">
        <w:rPr>
          <w:b/>
          <w:bCs/>
        </w:rPr>
        <w:t>7</w:t>
      </w:r>
      <w:r w:rsidRPr="00B93070">
        <w:rPr>
          <w:bCs/>
        </w:rPr>
        <w:t xml:space="preserve"> with the release of the catalysts, thus completing the catalytic cycle. Remarkably, the stereoselectivity of the reaction is perfectly controlled by the chiral secondary amine that blocks one of the faces of the iminium and enamine intermediates. The proposed mechanism is in agreement with the previously reported ones in similar organocascade reactions.</w:t>
      </w:r>
    </w:p>
    <w:p w:rsidR="003E1625" w:rsidRPr="00B93070" w:rsidRDefault="003E1625" w:rsidP="003E1625">
      <w:pPr>
        <w:pStyle w:val="P1withIndendation"/>
        <w:ind w:firstLine="0"/>
        <w:rPr>
          <w:bCs/>
        </w:rPr>
      </w:pPr>
    </w:p>
    <w:p w:rsidR="003E1625" w:rsidRPr="00B93070" w:rsidRDefault="003E1625" w:rsidP="003E1625">
      <w:pPr>
        <w:pStyle w:val="P1withIndendation"/>
        <w:ind w:firstLine="0"/>
        <w:rPr>
          <w:bCs/>
        </w:rPr>
      </w:pPr>
    </w:p>
    <w:p w:rsidR="003E1625" w:rsidRPr="00B93070" w:rsidRDefault="003E1625" w:rsidP="004A4165">
      <w:pPr>
        <w:pStyle w:val="P1withIndendation"/>
        <w:ind w:firstLine="0"/>
      </w:pPr>
    </w:p>
    <w:p w:rsidR="003E1625" w:rsidRPr="00B93070" w:rsidRDefault="003E1625" w:rsidP="003E1625">
      <w:pPr>
        <w:pStyle w:val="P1withIndendation"/>
      </w:pPr>
    </w:p>
    <w:p w:rsidR="003E1625" w:rsidRPr="00B93070" w:rsidRDefault="003E1625" w:rsidP="003E1625">
      <w:pPr>
        <w:pStyle w:val="P1withIndendation"/>
      </w:pPr>
    </w:p>
    <w:p w:rsidR="003E1625" w:rsidRPr="00B93070" w:rsidRDefault="003B2424" w:rsidP="003E1625">
      <w:pPr>
        <w:pStyle w:val="FigureCaption"/>
        <w:rPr>
          <w:b/>
          <w:i/>
        </w:rPr>
      </w:pPr>
      <w:r w:rsidRPr="00B93070">
        <w:rPr>
          <w:noProof/>
          <w:lang w:val="de-DE"/>
        </w:rPr>
        <w:lastRenderedPageBreak/>
        <w:object w:dxaOrig="1440" w:dyaOrig="1440">
          <v:shape id="_x0000_s1103" type="#_x0000_t75" style="position:absolute;left:0;text-align:left;margin-left:-11.45pt;margin-top:2.1pt;width:251.75pt;height:119.65pt;z-index:251660800;mso-position-horizontal-relative:text;mso-position-vertical-relative:text">
            <v:imagedata r:id="rId25" o:title=""/>
          </v:shape>
          <o:OLEObject Type="Embed" ProgID="ChemDraw.Document.6.0" ShapeID="_x0000_s1103" DrawAspect="Content" ObjectID="_1525078367" r:id="rId26"/>
        </w:object>
      </w:r>
    </w:p>
    <w:p w:rsidR="003E1625" w:rsidRPr="00B93070" w:rsidRDefault="003E1625" w:rsidP="003E1625">
      <w:pPr>
        <w:pStyle w:val="FigureCaption"/>
        <w:rPr>
          <w:b/>
          <w:i/>
        </w:rPr>
      </w:pPr>
    </w:p>
    <w:p w:rsidR="003E1625" w:rsidRPr="00B93070" w:rsidRDefault="003E1625" w:rsidP="003E1625">
      <w:pPr>
        <w:pStyle w:val="FigureCaption"/>
        <w:rPr>
          <w:b/>
          <w:i/>
        </w:rPr>
      </w:pPr>
    </w:p>
    <w:p w:rsidR="00FC69B7" w:rsidRPr="00B93070" w:rsidRDefault="00FC69B7" w:rsidP="003E1625">
      <w:pPr>
        <w:pStyle w:val="FigureCaption"/>
        <w:rPr>
          <w:b/>
          <w:i/>
        </w:rPr>
      </w:pPr>
    </w:p>
    <w:p w:rsidR="003E1625" w:rsidRPr="00B93070" w:rsidRDefault="003E1625" w:rsidP="003E1625">
      <w:pPr>
        <w:pStyle w:val="FigureCaption"/>
      </w:pPr>
      <w:r w:rsidRPr="00B93070">
        <w:rPr>
          <w:b/>
          <w:i/>
        </w:rPr>
        <w:t>Figure 2.</w:t>
      </w:r>
      <w:r w:rsidRPr="00B93070">
        <w:t xml:space="preserve"> Proposed mechanism</w:t>
      </w:r>
    </w:p>
    <w:p w:rsidR="003E1625" w:rsidRPr="00B93070" w:rsidRDefault="003E1625" w:rsidP="003E1625">
      <w:pPr>
        <w:pStyle w:val="P1withIndendation"/>
        <w:ind w:firstLine="0"/>
        <w:rPr>
          <w:vertAlign w:val="superscript"/>
          <w:lang w:val="en-US"/>
        </w:rPr>
      </w:pPr>
      <w:r w:rsidRPr="00B93070">
        <w:rPr>
          <w:lang w:val="en-US"/>
        </w:rPr>
        <w:t xml:space="preserve">The </w:t>
      </w:r>
      <w:r w:rsidRPr="00B93070">
        <w:rPr>
          <w:i/>
          <w:iCs/>
          <w:lang w:val="en-US"/>
        </w:rPr>
        <w:t>cis</w:t>
      </w:r>
      <w:r w:rsidRPr="00B93070">
        <w:rPr>
          <w:lang w:val="en-US"/>
        </w:rPr>
        <w:t xml:space="preserve"> configuration between the allyl group and the aldehyde can be explained by the cyclic transition state proposed in Figure 2. In order to avoid steric interaction</w:t>
      </w:r>
      <w:r w:rsidR="000D2FE5" w:rsidRPr="00B93070">
        <w:rPr>
          <w:lang w:val="en-US"/>
        </w:rPr>
        <w:t>,</w:t>
      </w:r>
      <w:r w:rsidRPr="00B93070">
        <w:rPr>
          <w:lang w:val="en-US"/>
        </w:rPr>
        <w:t xml:space="preserve"> the Pd of the allyl complex will be located on the opposite face respect to the enamine substituent. </w:t>
      </w:r>
      <w:r w:rsidRPr="00B93070">
        <w:rPr>
          <w:bCs/>
        </w:rPr>
        <w:t xml:space="preserve">Next, </w:t>
      </w:r>
      <w:r w:rsidR="000D2FE5" w:rsidRPr="00B93070">
        <w:rPr>
          <w:bCs/>
        </w:rPr>
        <w:t xml:space="preserve">the </w:t>
      </w:r>
      <w:r w:rsidRPr="00B93070">
        <w:rPr>
          <w:bCs/>
        </w:rPr>
        <w:t xml:space="preserve">irreversible stereoselective intermolecular nucleophilic </w:t>
      </w:r>
      <w:r w:rsidRPr="00B93070">
        <w:rPr>
          <w:bCs/>
          <w:i/>
        </w:rPr>
        <w:t>Si</w:t>
      </w:r>
      <w:r w:rsidRPr="00B93070">
        <w:rPr>
          <w:bCs/>
        </w:rPr>
        <w:t>-facial attack</w:t>
      </w:r>
      <w:r w:rsidR="000D2FE5" w:rsidRPr="00B93070">
        <w:rPr>
          <w:bCs/>
        </w:rPr>
        <w:t>,</w:t>
      </w:r>
      <w:r w:rsidRPr="00B93070">
        <w:rPr>
          <w:bCs/>
        </w:rPr>
        <w:t xml:space="preserve"> by the chiral enamine</w:t>
      </w:r>
      <w:r w:rsidR="000D2FE5" w:rsidRPr="00B93070">
        <w:rPr>
          <w:bCs/>
        </w:rPr>
        <w:t>,</w:t>
      </w:r>
      <w:r w:rsidRPr="00B93070">
        <w:rPr>
          <w:bCs/>
        </w:rPr>
        <w:t xml:space="preserve"> will lead to the final </w:t>
      </w:r>
      <w:r w:rsidRPr="00B93070">
        <w:rPr>
          <w:bCs/>
          <w:i/>
        </w:rPr>
        <w:t>cis</w:t>
      </w:r>
      <w:r w:rsidRPr="00B93070">
        <w:rPr>
          <w:bCs/>
        </w:rPr>
        <w:t xml:space="preserve"> configuration observed.</w:t>
      </w:r>
    </w:p>
    <w:p w:rsidR="003E1625" w:rsidRPr="00B93070" w:rsidRDefault="003B2424" w:rsidP="003E1625">
      <w:pPr>
        <w:pStyle w:val="FigureCaption"/>
        <w:rPr>
          <w:lang w:val="en-US"/>
        </w:rPr>
      </w:pPr>
      <w:r w:rsidRPr="00B93070">
        <w:rPr>
          <w:noProof/>
          <w:lang w:val="de-DE"/>
        </w:rPr>
        <w:object w:dxaOrig="1440" w:dyaOrig="1440">
          <v:shape id="_x0000_s1104" type="#_x0000_t75" style="position:absolute;left:0;text-align:left;margin-left:35.9pt;margin-top:12.35pt;width:155.05pt;height:81.5pt;z-index:251661824;mso-position-horizontal-relative:text;mso-position-vertical-relative:text">
            <v:imagedata r:id="rId27" o:title=""/>
          </v:shape>
          <o:OLEObject Type="Embed" ProgID="ChemDraw.Document.6.0" ShapeID="_x0000_s1104" DrawAspect="Content" ObjectID="_1525078368" r:id="rId28"/>
        </w:object>
      </w:r>
    </w:p>
    <w:p w:rsidR="003E1625" w:rsidRPr="00B93070" w:rsidRDefault="003B2424" w:rsidP="003E1625">
      <w:pPr>
        <w:pStyle w:val="P1withIndendation"/>
        <w:rPr>
          <w:lang w:val="en-US"/>
        </w:rPr>
      </w:pPr>
      <w:r w:rsidRPr="00B93070">
        <w:rPr>
          <w:noProof/>
        </w:rPr>
        <w:object w:dxaOrig="1440" w:dyaOrig="1440">
          <v:shape id="_x0000_s1107" type="#_x0000_t75" style="position:absolute;left:0;text-align:left;margin-left:243.35pt;margin-top:4.3pt;width:261.8pt;height:204.7pt;z-index:251654656;mso-position-horizontal-relative:text;mso-position-vertical-relative:text">
            <v:imagedata r:id="rId29" o:title=""/>
          </v:shape>
          <o:OLEObject Type="Embed" ProgID="ChemDraw.Document.6.0" ShapeID="_x0000_s1107" DrawAspect="Content" ObjectID="_1525078369" r:id="rId30"/>
        </w:object>
      </w:r>
    </w:p>
    <w:p w:rsidR="003E1625" w:rsidRPr="00B93070" w:rsidRDefault="003E1625" w:rsidP="00EA600F">
      <w:pPr>
        <w:pStyle w:val="P1withIndendation"/>
      </w:pPr>
    </w:p>
    <w:p w:rsidR="00EA600F" w:rsidRPr="00B93070" w:rsidRDefault="00EA600F" w:rsidP="003E1625">
      <w:pPr>
        <w:pStyle w:val="FigureCaption"/>
        <w:rPr>
          <w:b/>
          <w:i/>
        </w:rPr>
      </w:pPr>
    </w:p>
    <w:p w:rsidR="003E1625" w:rsidRPr="00B93070" w:rsidRDefault="003E1625" w:rsidP="003E1625">
      <w:pPr>
        <w:pStyle w:val="FigureCaption"/>
      </w:pPr>
      <w:r w:rsidRPr="00B93070">
        <w:rPr>
          <w:b/>
          <w:i/>
        </w:rPr>
        <w:t>Figure 3.</w:t>
      </w:r>
      <w:r w:rsidRPr="00B93070">
        <w:t xml:space="preserve"> Proposed Transition State</w:t>
      </w:r>
    </w:p>
    <w:p w:rsidR="003E1625" w:rsidRPr="00B93070" w:rsidRDefault="003E1625" w:rsidP="003E1625">
      <w:pPr>
        <w:pStyle w:val="P1withIndendation"/>
        <w:ind w:firstLine="0"/>
        <w:rPr>
          <w:vertAlign w:val="superscript"/>
          <w:lang w:val="en-US"/>
        </w:rPr>
      </w:pPr>
      <w:r w:rsidRPr="00B93070">
        <w:rPr>
          <w:lang w:val="en-US"/>
        </w:rPr>
        <w:t>The final (</w:t>
      </w:r>
      <w:r w:rsidRPr="00B93070">
        <w:rPr>
          <w:i/>
          <w:lang w:val="en-US"/>
        </w:rPr>
        <w:t>2S,3S,4R</w:t>
      </w:r>
      <w:r w:rsidRPr="00B93070">
        <w:rPr>
          <w:lang w:val="en-US"/>
        </w:rPr>
        <w:t xml:space="preserve">) configuration is in agreement with the mechanism proposed and with the previous works done with this type of catalysts, where the stereochemistry at the </w:t>
      </w:r>
      <w:r w:rsidRPr="00B93070">
        <w:rPr>
          <w:rFonts w:ascii="Symbol" w:hAnsi="Symbol"/>
          <w:lang w:val="en-US"/>
        </w:rPr>
        <w:t></w:t>
      </w:r>
      <w:r w:rsidRPr="00B93070">
        <w:rPr>
          <w:lang w:val="en-US"/>
        </w:rPr>
        <w:t>-position of the enal is perfectly controlled by the catalyst (</w:t>
      </w:r>
      <w:r w:rsidRPr="00B93070">
        <w:rPr>
          <w:b/>
          <w:lang w:val="en-US"/>
        </w:rPr>
        <w:t>I</w:t>
      </w:r>
      <w:r w:rsidRPr="00B93070">
        <w:rPr>
          <w:lang w:val="en-US"/>
        </w:rPr>
        <w:t>).</w:t>
      </w:r>
      <w:r w:rsidR="00AB7BB3" w:rsidRPr="00B93070">
        <w:rPr>
          <w:vertAlign w:val="superscript"/>
          <w:lang w:val="en-US"/>
        </w:rPr>
        <w:t>[13</w:t>
      </w:r>
      <w:r w:rsidRPr="00B93070">
        <w:rPr>
          <w:vertAlign w:val="superscript"/>
          <w:lang w:val="en-US"/>
        </w:rPr>
        <w:t>]</w:t>
      </w:r>
    </w:p>
    <w:p w:rsidR="003E1625" w:rsidRPr="00B93070" w:rsidRDefault="004F5C0B" w:rsidP="003E1625">
      <w:pPr>
        <w:pStyle w:val="P1withIndendation"/>
        <w:rPr>
          <w:vertAlign w:val="superscript"/>
          <w:lang w:val="en-US"/>
        </w:rPr>
      </w:pPr>
      <w:r w:rsidRPr="00B93070">
        <w:rPr>
          <w:noProof/>
          <w:lang w:eastAsia="en-GB"/>
        </w:rPr>
        <w:drawing>
          <wp:anchor distT="0" distB="0" distL="114300" distR="114300" simplePos="0" relativeHeight="251659264" behindDoc="0" locked="0" layoutInCell="1" allowOverlap="1">
            <wp:simplePos x="0" y="0"/>
            <wp:positionH relativeFrom="column">
              <wp:posOffset>444500</wp:posOffset>
            </wp:positionH>
            <wp:positionV relativeFrom="paragraph">
              <wp:posOffset>31115</wp:posOffset>
            </wp:positionV>
            <wp:extent cx="1874520" cy="1760220"/>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74520" cy="176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1625" w:rsidRPr="00B93070" w:rsidRDefault="003E1625" w:rsidP="003E1625">
      <w:pPr>
        <w:pStyle w:val="P1withIndendation"/>
        <w:rPr>
          <w:vertAlign w:val="superscript"/>
          <w:lang w:val="en-US"/>
        </w:rPr>
      </w:pPr>
    </w:p>
    <w:p w:rsidR="003E1625" w:rsidRPr="00B93070" w:rsidRDefault="003E1625" w:rsidP="003E1625">
      <w:pPr>
        <w:pStyle w:val="P1withIndendation"/>
        <w:rPr>
          <w:vertAlign w:val="superscript"/>
          <w:lang w:val="en-US"/>
        </w:rPr>
      </w:pPr>
    </w:p>
    <w:p w:rsidR="003E1625" w:rsidRPr="00B93070" w:rsidRDefault="003E1625" w:rsidP="003E1625">
      <w:pPr>
        <w:pStyle w:val="P1withIndendation"/>
        <w:rPr>
          <w:vertAlign w:val="superscript"/>
          <w:lang w:val="en-US"/>
        </w:rPr>
      </w:pPr>
    </w:p>
    <w:p w:rsidR="003E1625" w:rsidRPr="00B93070" w:rsidRDefault="003E1625" w:rsidP="003E1625">
      <w:pPr>
        <w:pStyle w:val="P1withIndendation"/>
        <w:rPr>
          <w:vertAlign w:val="superscript"/>
          <w:lang w:val="en-US"/>
        </w:rPr>
      </w:pPr>
    </w:p>
    <w:p w:rsidR="003E1625" w:rsidRPr="00B93070" w:rsidRDefault="003E1625" w:rsidP="003E1625">
      <w:pPr>
        <w:pStyle w:val="P1withIndendation"/>
        <w:rPr>
          <w:vertAlign w:val="superscript"/>
          <w:lang w:val="en-US"/>
        </w:rPr>
      </w:pPr>
    </w:p>
    <w:p w:rsidR="003E1625" w:rsidRPr="00B93070" w:rsidRDefault="003E1625" w:rsidP="003E1625">
      <w:pPr>
        <w:pStyle w:val="P1withIndendation"/>
        <w:rPr>
          <w:vertAlign w:val="superscript"/>
          <w:lang w:val="en-US"/>
        </w:rPr>
      </w:pPr>
    </w:p>
    <w:p w:rsidR="003E1625" w:rsidRPr="00B93070" w:rsidRDefault="003E1625" w:rsidP="003E1625">
      <w:pPr>
        <w:pStyle w:val="FigureCaption"/>
      </w:pPr>
      <w:r w:rsidRPr="00B93070">
        <w:rPr>
          <w:b/>
          <w:i/>
        </w:rPr>
        <w:t>Figure 4</w:t>
      </w:r>
      <w:r w:rsidRPr="00B93070">
        <w:t xml:space="preserve"> X-ray structure of compound </w:t>
      </w:r>
      <w:r w:rsidRPr="00B93070">
        <w:rPr>
          <w:b/>
        </w:rPr>
        <w:t>7e.</w:t>
      </w:r>
      <w:r w:rsidRPr="00B93070">
        <w:t xml:space="preserve"> The displacement ellipsoids are drawn at the 50% probability level.</w:t>
      </w:r>
      <w:r w:rsidR="00AB7BB3" w:rsidRPr="00B93070">
        <w:rPr>
          <w:vertAlign w:val="superscript"/>
        </w:rPr>
        <w:t>[25</w:t>
      </w:r>
      <w:r w:rsidRPr="00B93070">
        <w:rPr>
          <w:vertAlign w:val="superscript"/>
        </w:rPr>
        <w:t>]</w:t>
      </w:r>
      <w:r w:rsidRPr="00B93070">
        <w:t xml:space="preserve"> </w:t>
      </w:r>
    </w:p>
    <w:p w:rsidR="003E1625" w:rsidRPr="00B93070" w:rsidRDefault="003E1625" w:rsidP="003E1625">
      <w:pPr>
        <w:pStyle w:val="P1withIndendation"/>
        <w:ind w:firstLine="0"/>
      </w:pPr>
      <w:r w:rsidRPr="00B93070">
        <w:rPr>
          <w:lang w:val="en-US"/>
        </w:rPr>
        <w:t xml:space="preserve">Next we decided to expand the scope of the reaction by using interesting heterocycles, cyano esters or meldrum acid derivatives as starting materials. As it is depicted in Scheme 3, first we focused our attention on the synthesis of spiro heterocycles such as oxindoles and benzofuranones. Spirooxindoles and spirobenzofuranones are common motifs in many natural products </w:t>
      </w:r>
      <w:r w:rsidRPr="00B93070">
        <w:rPr>
          <w:lang w:val="en-US"/>
        </w:rPr>
        <w:t xml:space="preserve">such as </w:t>
      </w:r>
      <w:r w:rsidRPr="00B93070">
        <w:t xml:space="preserve">gelsemine, spirotryprostatin B or marcfortine B among others. When vinyl cyclopropanes oxindoles or benzofuranones </w:t>
      </w:r>
      <w:r w:rsidR="000D2FE5" w:rsidRPr="00B93070">
        <w:t>are</w:t>
      </w:r>
      <w:r w:rsidRPr="00B93070">
        <w:t xml:space="preserve"> used, the reaction renders the final spiro products in moderate yields, low</w:t>
      </w:r>
      <w:r w:rsidR="00B12602" w:rsidRPr="00B93070">
        <w:t xml:space="preserve"> to good</w:t>
      </w:r>
      <w:r w:rsidRPr="00B93070">
        <w:t xml:space="preserve"> diastereoselectivities and moderate to good enantioselectivities (</w:t>
      </w:r>
      <w:r w:rsidRPr="00B93070">
        <w:rPr>
          <w:b/>
        </w:rPr>
        <w:t>12a</w:t>
      </w:r>
      <w:r w:rsidRPr="00B93070">
        <w:t xml:space="preserve">, </w:t>
      </w:r>
      <w:r w:rsidRPr="00B93070">
        <w:rPr>
          <w:b/>
        </w:rPr>
        <w:t>13a</w:t>
      </w:r>
      <w:r w:rsidRPr="00B93070">
        <w:t xml:space="preserve">). Next we decided to study the reaction using diester and cyanoester derivatives that could be excellent precursors for cyclic β-amino acids after amide conversion of one of the esters or by reduction of the cyano group. Surprisingly, the reaction with malonate derivatives did not </w:t>
      </w:r>
      <w:r w:rsidR="000D2FE5" w:rsidRPr="00B93070">
        <w:t>give any conversion,</w:t>
      </w:r>
      <w:r w:rsidRPr="00B93070">
        <w:t xml:space="preserve"> probably for their low nucleophilicity. For this </w:t>
      </w:r>
      <w:r w:rsidR="00935885" w:rsidRPr="00B93070">
        <w:t>reason,</w:t>
      </w:r>
      <w:r w:rsidRPr="00B93070">
        <w:t xml:space="preserve"> we turned our attention to a more nucleophilic diester like Meldrum’s acid derivative. In this case we </w:t>
      </w:r>
      <w:r w:rsidR="000D2FE5" w:rsidRPr="00B93070">
        <w:t>obtained</w:t>
      </w:r>
      <w:r w:rsidRPr="00B93070">
        <w:t xml:space="preserve"> the final product in good yields </w:t>
      </w:r>
      <w:r w:rsidR="00935885" w:rsidRPr="00B93070">
        <w:t>but moderate</w:t>
      </w:r>
      <w:r w:rsidRPr="00B93070">
        <w:t xml:space="preserve"> e</w:t>
      </w:r>
      <w:r w:rsidR="00935885" w:rsidRPr="00B93070">
        <w:t>nantioselectivities and</w:t>
      </w:r>
      <w:r w:rsidRPr="00B93070">
        <w:t xml:space="preserve"> </w:t>
      </w:r>
      <w:r w:rsidR="00935885" w:rsidRPr="00B93070">
        <w:t>diastereo</w:t>
      </w:r>
      <w:r w:rsidRPr="00B93070">
        <w:t>selectivities (</w:t>
      </w:r>
      <w:r w:rsidRPr="00B93070">
        <w:rPr>
          <w:b/>
        </w:rPr>
        <w:t>14a</w:t>
      </w:r>
      <w:r w:rsidRPr="00B93070">
        <w:t>). Finally, we tested the reacti</w:t>
      </w:r>
      <w:r w:rsidR="000D2FE5" w:rsidRPr="00B93070">
        <w:t xml:space="preserve">on with cyanoester derivatives, obtaining </w:t>
      </w:r>
      <w:r w:rsidRPr="00B93070">
        <w:t>the final cyclopentane derivatives in excellent yields and stereoselectivities (</w:t>
      </w:r>
      <w:r w:rsidRPr="00B93070">
        <w:rPr>
          <w:b/>
        </w:rPr>
        <w:t>15a, 15b</w:t>
      </w:r>
      <w:r w:rsidRPr="00B93070">
        <w:t xml:space="preserve">).  Remarkably, in this last two examples we break 1 C-C bond and form 2 C-C bond with 4 consecutive stereocenters (1 quaternary) with total enantiocontrol and with excellent yields, showing that this approach could be a valid platform not only for the synthesis of spiro compounds but also for cyclic </w:t>
      </w:r>
      <w:r w:rsidRPr="00B93070">
        <w:rPr>
          <w:rFonts w:ascii="Symbol" w:hAnsi="Symbol"/>
          <w:lang w:val="de-DE"/>
        </w:rPr>
        <w:t></w:t>
      </w:r>
      <w:r w:rsidRPr="00B93070">
        <w:t>-amino acid derivatives.</w:t>
      </w:r>
      <w:r w:rsidR="00FE639E" w:rsidRPr="00B93070">
        <w:t xml:space="preserve"> </w:t>
      </w:r>
      <w:r w:rsidR="00935885" w:rsidRPr="00B93070">
        <w:t>Unfortunately,</w:t>
      </w:r>
      <w:r w:rsidR="00FE639E" w:rsidRPr="00B93070">
        <w:t xml:space="preserve"> when the reaction was tested with malonate derivatives (</w:t>
      </w:r>
      <w:r w:rsidR="00FE639E" w:rsidRPr="00B93070">
        <w:rPr>
          <w:b/>
        </w:rPr>
        <w:t>16</w:t>
      </w:r>
      <w:r w:rsidR="00FE639E" w:rsidRPr="00B93070">
        <w:t>) or ketoesters (</w:t>
      </w:r>
      <w:r w:rsidR="00FE639E" w:rsidRPr="00B93070">
        <w:rPr>
          <w:b/>
        </w:rPr>
        <w:t>17</w:t>
      </w:r>
      <w:r w:rsidR="00FE639E" w:rsidRPr="00B93070">
        <w:t>) the reaction did not render the final compounds.</w:t>
      </w:r>
    </w:p>
    <w:p w:rsidR="00EA600F" w:rsidRPr="00B93070" w:rsidRDefault="00EA600F" w:rsidP="003E1625">
      <w:pPr>
        <w:pStyle w:val="P1withIndendation"/>
        <w:ind w:firstLine="0"/>
      </w:pPr>
    </w:p>
    <w:p w:rsidR="00EA600F" w:rsidRPr="00B93070" w:rsidRDefault="00EA600F" w:rsidP="003E1625">
      <w:pPr>
        <w:pStyle w:val="P1withIndendation"/>
        <w:ind w:firstLine="0"/>
      </w:pPr>
    </w:p>
    <w:p w:rsidR="00EA600F" w:rsidRPr="00B93070" w:rsidRDefault="00EA600F" w:rsidP="003E1625">
      <w:pPr>
        <w:pStyle w:val="P1withIndendation"/>
        <w:ind w:firstLine="0"/>
      </w:pPr>
    </w:p>
    <w:p w:rsidR="003E1625" w:rsidRPr="00B93070" w:rsidRDefault="003E1625" w:rsidP="003E1625">
      <w:pPr>
        <w:pStyle w:val="P1withIndendation"/>
        <w:ind w:firstLine="0"/>
      </w:pPr>
    </w:p>
    <w:p w:rsidR="003E1625" w:rsidRPr="00B93070" w:rsidRDefault="003E1625" w:rsidP="003E1625">
      <w:pPr>
        <w:pStyle w:val="P1withIndendation"/>
        <w:ind w:firstLine="0"/>
      </w:pPr>
    </w:p>
    <w:p w:rsidR="003E1625" w:rsidRPr="00B93070" w:rsidRDefault="003E1625" w:rsidP="003E1625">
      <w:pPr>
        <w:pStyle w:val="P1withIndendation"/>
        <w:ind w:firstLine="0"/>
      </w:pPr>
    </w:p>
    <w:p w:rsidR="003E1625" w:rsidRPr="00B93070" w:rsidRDefault="003E1625" w:rsidP="003E1625">
      <w:pPr>
        <w:pStyle w:val="P1withIndendation"/>
        <w:ind w:firstLine="0"/>
      </w:pPr>
    </w:p>
    <w:p w:rsidR="003E1625" w:rsidRPr="00B93070" w:rsidRDefault="003E1625" w:rsidP="003E1625">
      <w:pPr>
        <w:pStyle w:val="P1withIndendation"/>
        <w:ind w:firstLine="0"/>
      </w:pPr>
    </w:p>
    <w:p w:rsidR="00FE639E" w:rsidRPr="00B93070" w:rsidRDefault="00FE639E" w:rsidP="003E1625">
      <w:pPr>
        <w:pStyle w:val="SchemeCaption"/>
        <w:rPr>
          <w:b/>
          <w:i/>
        </w:rPr>
      </w:pPr>
    </w:p>
    <w:p w:rsidR="003E1625" w:rsidRPr="00B93070" w:rsidRDefault="003E1625" w:rsidP="003E1625">
      <w:pPr>
        <w:pStyle w:val="SchemeCaption"/>
      </w:pPr>
      <w:r w:rsidRPr="00B93070">
        <w:rPr>
          <w:b/>
          <w:i/>
        </w:rPr>
        <w:t>Scheme 3.</w:t>
      </w:r>
      <w:r w:rsidRPr="00B93070">
        <w:t xml:space="preserve"> Scope of the reaction</w:t>
      </w:r>
    </w:p>
    <w:p w:rsidR="00BE114C" w:rsidRPr="00B93070" w:rsidRDefault="003E1625" w:rsidP="003E1625">
      <w:pPr>
        <w:pStyle w:val="P1withIndendation"/>
        <w:ind w:firstLine="0"/>
      </w:pPr>
      <w:r w:rsidRPr="00B93070">
        <w:rPr>
          <w:lang w:val="en-US"/>
        </w:rPr>
        <w:t xml:space="preserve">In summary, we reported for the first time a double synergistic cascade reaction for the synthesis of cyclopentane derivatives. The reaction is simply catalyzed by the combination of Pd(0) complexes and chiral secondary amines giving the final products in excellent yields and stereoselectivities. We not only prove the viability of this approach for the synthesis of spiroindanones but also for the synthesis of spirooxindoles, spirobenzofuranones and β-amino acid precursors. Mechanistic studies and the expansion of the present methodology to other interesting scaffolds </w:t>
      </w:r>
      <w:r w:rsidR="00DE3145" w:rsidRPr="00B93070">
        <w:rPr>
          <w:lang w:val="en-US"/>
        </w:rPr>
        <w:t xml:space="preserve">such </w:t>
      </w:r>
      <w:r w:rsidR="00D272DF" w:rsidRPr="00B93070">
        <w:rPr>
          <w:lang w:val="en-US"/>
        </w:rPr>
        <w:t xml:space="preserve">as </w:t>
      </w:r>
      <w:r w:rsidR="00DE3145" w:rsidRPr="00B93070">
        <w:rPr>
          <w:lang w:val="en-US"/>
        </w:rPr>
        <w:t>vinyl aziridines</w:t>
      </w:r>
      <w:r w:rsidR="00B93070">
        <w:rPr>
          <w:lang w:val="en-US"/>
        </w:rPr>
        <w:t>, epoxides,</w:t>
      </w:r>
      <w:r w:rsidR="00DE3145" w:rsidRPr="00B93070">
        <w:rPr>
          <w:lang w:val="en-US"/>
        </w:rPr>
        <w:t xml:space="preserve"> carba</w:t>
      </w:r>
      <w:r w:rsidR="00D272DF" w:rsidRPr="00B93070">
        <w:rPr>
          <w:lang w:val="en-US"/>
        </w:rPr>
        <w:t>m</w:t>
      </w:r>
      <w:r w:rsidR="00DE3145" w:rsidRPr="00B93070">
        <w:rPr>
          <w:lang w:val="en-US"/>
        </w:rPr>
        <w:t xml:space="preserve">ates </w:t>
      </w:r>
      <w:r w:rsidR="00B93070">
        <w:rPr>
          <w:lang w:val="en-US"/>
        </w:rPr>
        <w:t xml:space="preserve">or carbonates </w:t>
      </w:r>
      <w:bookmarkStart w:id="0" w:name="_GoBack"/>
      <w:bookmarkEnd w:id="0"/>
      <w:r w:rsidRPr="00B93070">
        <w:rPr>
          <w:lang w:val="en-US"/>
        </w:rPr>
        <w:t>are ongoing in our research laboratory and will be reported in due course.</w:t>
      </w:r>
      <w:r w:rsidR="00AB7BB3" w:rsidRPr="00B93070">
        <w:rPr>
          <w:vertAlign w:val="superscript"/>
          <w:lang w:val="en-US"/>
        </w:rPr>
        <w:t>[26</w:t>
      </w:r>
      <w:r w:rsidR="00BE3B0B" w:rsidRPr="00B93070">
        <w:rPr>
          <w:vertAlign w:val="superscript"/>
          <w:lang w:val="en-US"/>
        </w:rPr>
        <w:t>]</w:t>
      </w:r>
    </w:p>
    <w:p w:rsidR="00C85EE3" w:rsidRPr="00B93070" w:rsidRDefault="00C85EE3" w:rsidP="001F4EE4">
      <w:pPr>
        <w:pStyle w:val="HExperimentalSection"/>
        <w:rPr>
          <w:lang w:val="en-GB"/>
        </w:rPr>
      </w:pPr>
    </w:p>
    <w:p w:rsidR="00714DB9" w:rsidRPr="00B93070" w:rsidRDefault="006011C8" w:rsidP="001F4EE4">
      <w:pPr>
        <w:pStyle w:val="HExperimentalSection"/>
        <w:rPr>
          <w:lang w:val="en-GB"/>
        </w:rPr>
      </w:pPr>
      <w:r w:rsidRPr="00B93070">
        <w:rPr>
          <w:lang w:val="en-GB"/>
        </w:rPr>
        <w:lastRenderedPageBreak/>
        <w:t>Experimental Section</w:t>
      </w:r>
    </w:p>
    <w:p w:rsidR="00CB2DCB" w:rsidRPr="00B93070" w:rsidRDefault="003E1625" w:rsidP="00390DD7">
      <w:pPr>
        <w:pStyle w:val="ExperimentalSection"/>
      </w:pPr>
      <w:r w:rsidRPr="00B93070">
        <w:rPr>
          <w:b/>
        </w:rPr>
        <w:t>General Procedure</w:t>
      </w:r>
      <w:r w:rsidRPr="00B93070">
        <w:t>: In a closed vial were added in this sequence: the organic catalyst 2-(diphenyl((trimethylsilyl)oxy)methyl)pyrrolidine (20 mol% equiv), α,β-unsaturated aldehyde (1 equiv), vinyl-cyclopropane (1.2 equiv, 0.2 mmol), Pd</w:t>
      </w:r>
      <w:r w:rsidRPr="00B93070">
        <w:rPr>
          <w:vertAlign w:val="subscript"/>
        </w:rPr>
        <w:t>2</w:t>
      </w:r>
      <w:r w:rsidRPr="00B93070">
        <w:t>(dba)</w:t>
      </w:r>
      <w:r w:rsidRPr="00B93070">
        <w:rPr>
          <w:vertAlign w:val="subscript"/>
        </w:rPr>
        <w:t>3</w:t>
      </w:r>
      <w:r w:rsidRPr="00B93070">
        <w:t xml:space="preserve"> (5 mol% equiv) and EtOAc (1 mL). The reaction mixture was stirred at room temperature overnight. The crude was purified by flash column chromatography (</w:t>
      </w:r>
      <w:r w:rsidRPr="00B93070">
        <w:rPr>
          <w:i/>
        </w:rPr>
        <w:t>n</w:t>
      </w:r>
      <w:r w:rsidRPr="00B93070">
        <w:t>-hexane/EtOAc) to obtain the desired product.</w:t>
      </w:r>
    </w:p>
    <w:p w:rsidR="00184380" w:rsidRPr="00B93070" w:rsidRDefault="00184380" w:rsidP="00184380">
      <w:pPr>
        <w:pStyle w:val="H1"/>
      </w:pPr>
      <w:r w:rsidRPr="00B93070">
        <w:t>Acknowledgements</w:t>
      </w:r>
      <w:r w:rsidR="00827A4E" w:rsidRPr="00B93070">
        <w:t xml:space="preserve"> ((optional))</w:t>
      </w:r>
    </w:p>
    <w:p w:rsidR="00184380" w:rsidRPr="00B93070" w:rsidRDefault="003E1625" w:rsidP="00390DD7">
      <w:pPr>
        <w:pStyle w:val="ExperimentalSection"/>
      </w:pPr>
      <w:r w:rsidRPr="00B93070">
        <w:t>M.M. and R.R. are grateful for EPSRC Core Capability Funding (EP/ K039466/1).</w:t>
      </w:r>
    </w:p>
    <w:p w:rsidR="00E24565" w:rsidRPr="00B93070" w:rsidRDefault="00E24565" w:rsidP="00E24565">
      <w:pPr>
        <w:pStyle w:val="Keywords"/>
      </w:pPr>
      <w:r w:rsidRPr="00B93070">
        <w:rPr>
          <w:b/>
        </w:rPr>
        <w:t>Keywords:</w:t>
      </w:r>
      <w:r w:rsidRPr="00B93070">
        <w:t xml:space="preserve"> </w:t>
      </w:r>
      <w:r w:rsidR="00E52433" w:rsidRPr="00B93070">
        <w:t xml:space="preserve">Cyclopentanation </w:t>
      </w:r>
      <w:r w:rsidR="00E52433" w:rsidRPr="00B93070">
        <w:rPr>
          <w:b/>
        </w:rPr>
        <w:t>·</w:t>
      </w:r>
      <w:r w:rsidR="00E52433" w:rsidRPr="00B93070">
        <w:t xml:space="preserve"> Synergistic catalysis </w:t>
      </w:r>
      <w:r w:rsidR="00E52433" w:rsidRPr="00B93070">
        <w:rPr>
          <w:b/>
        </w:rPr>
        <w:t>·</w:t>
      </w:r>
      <w:r w:rsidR="00E52433" w:rsidRPr="00B93070">
        <w:t xml:space="preserve"> enantioselective </w:t>
      </w:r>
      <w:r w:rsidR="00E52433" w:rsidRPr="00B93070">
        <w:rPr>
          <w:b/>
        </w:rPr>
        <w:t>·</w:t>
      </w:r>
      <w:r w:rsidR="00E52433" w:rsidRPr="00B93070">
        <w:t xml:space="preserve"> allyl palladium </w:t>
      </w:r>
      <w:r w:rsidR="00E52433" w:rsidRPr="00B93070">
        <w:rPr>
          <w:b/>
        </w:rPr>
        <w:t>·</w:t>
      </w:r>
      <w:r w:rsidR="00E52433" w:rsidRPr="00B93070">
        <w:t xml:space="preserve"> cascade reaction</w:t>
      </w:r>
    </w:p>
    <w:p w:rsidR="003E1625" w:rsidRPr="00B93070" w:rsidRDefault="00D84C72" w:rsidP="003E1625">
      <w:pPr>
        <w:pStyle w:val="References"/>
        <w:pBdr>
          <w:top w:val="single" w:sz="12" w:space="1" w:color="999999"/>
        </w:pBdr>
      </w:pPr>
      <w:r w:rsidRPr="00B93070">
        <w:t>[1</w:t>
      </w:r>
      <w:r w:rsidR="003E1625" w:rsidRPr="00B93070">
        <w:t>]</w:t>
      </w:r>
      <w:r w:rsidR="003E1625" w:rsidRPr="00B93070">
        <w:tab/>
        <w:t xml:space="preserve">R. A. Sheldon,  I. W. C. E. Arends, U. Hanefeld,  Green Chemistry and Catalysis, Wiley-VCH Verlag GmbH &amp; Co. KGaA, </w:t>
      </w:r>
      <w:r w:rsidR="003E1625" w:rsidRPr="00B93070">
        <w:rPr>
          <w:b/>
        </w:rPr>
        <w:t>2007</w:t>
      </w:r>
      <w:r w:rsidR="003E1625" w:rsidRPr="00B93070">
        <w:t>.</w:t>
      </w:r>
    </w:p>
    <w:p w:rsidR="003E1625" w:rsidRPr="00B93070" w:rsidRDefault="00D84C72" w:rsidP="003E1625">
      <w:pPr>
        <w:pStyle w:val="References"/>
        <w:pBdr>
          <w:top w:val="single" w:sz="12" w:space="1" w:color="999999"/>
        </w:pBdr>
      </w:pPr>
      <w:r w:rsidRPr="00B93070">
        <w:t>[2</w:t>
      </w:r>
      <w:r w:rsidR="003E1625" w:rsidRPr="00B93070">
        <w:t>]</w:t>
      </w:r>
      <w:r w:rsidR="003E1625" w:rsidRPr="00B93070">
        <w:tab/>
        <w:t xml:space="preserve">For reviews on organocascade reactions, see: a) A. Moyano, R. Rios, </w:t>
      </w:r>
      <w:r w:rsidR="003E1625" w:rsidRPr="00B93070">
        <w:rPr>
          <w:i/>
        </w:rPr>
        <w:t xml:space="preserve">Chem. </w:t>
      </w:r>
      <w:r w:rsidR="003E1625" w:rsidRPr="00B93070">
        <w:rPr>
          <w:i/>
          <w:lang w:val="es-ES_tradnl"/>
        </w:rPr>
        <w:t xml:space="preserve">Rev. </w:t>
      </w:r>
      <w:r w:rsidR="003E1625" w:rsidRPr="00B93070">
        <w:rPr>
          <w:b/>
          <w:lang w:val="es-ES_tradnl"/>
        </w:rPr>
        <w:t>2011</w:t>
      </w:r>
      <w:r w:rsidR="003E1625" w:rsidRPr="00B93070">
        <w:rPr>
          <w:lang w:val="es-ES_tradnl"/>
        </w:rPr>
        <w:t xml:space="preserve">, </w:t>
      </w:r>
      <w:r w:rsidR="003E1625" w:rsidRPr="00B93070">
        <w:rPr>
          <w:i/>
          <w:lang w:val="es-ES_tradnl"/>
        </w:rPr>
        <w:t>111</w:t>
      </w:r>
      <w:r w:rsidR="003E1625" w:rsidRPr="00B93070">
        <w:rPr>
          <w:lang w:val="es-ES_tradnl"/>
        </w:rPr>
        <w:t xml:space="preserve">, 4703–4832; b) A.-N. Alba, X. Companyó, M. Viciano, R. Rios, </w:t>
      </w:r>
      <w:r w:rsidR="003E1625" w:rsidRPr="00B93070">
        <w:rPr>
          <w:i/>
          <w:lang w:val="es-ES_tradnl"/>
        </w:rPr>
        <w:t xml:space="preserve">Curr. Org. </w:t>
      </w:r>
      <w:r w:rsidR="003E1625" w:rsidRPr="00B93070">
        <w:rPr>
          <w:i/>
        </w:rPr>
        <w:t>Chem.</w:t>
      </w:r>
      <w:r w:rsidR="003E1625" w:rsidRPr="00B93070">
        <w:t xml:space="preserve"> </w:t>
      </w:r>
      <w:r w:rsidR="003E1625" w:rsidRPr="00B93070">
        <w:rPr>
          <w:b/>
        </w:rPr>
        <w:t>2009</w:t>
      </w:r>
      <w:r w:rsidR="003E1625" w:rsidRPr="00B93070">
        <w:t xml:space="preserve">, </w:t>
      </w:r>
      <w:r w:rsidR="003E1625" w:rsidRPr="00B93070">
        <w:rPr>
          <w:i/>
        </w:rPr>
        <w:t>13</w:t>
      </w:r>
      <w:r w:rsidR="003E1625" w:rsidRPr="00B93070">
        <w:t xml:space="preserve">, 1432–1474; c) D. Enders, C. Grondal, M. R. M. Hüttl, </w:t>
      </w:r>
      <w:r w:rsidR="003E1625" w:rsidRPr="00B93070">
        <w:rPr>
          <w:i/>
        </w:rPr>
        <w:t xml:space="preserve">Angew. Chem. </w:t>
      </w:r>
      <w:r w:rsidR="003E1625" w:rsidRPr="00B93070">
        <w:rPr>
          <w:b/>
        </w:rPr>
        <w:t>2007</w:t>
      </w:r>
      <w:r w:rsidR="003E1625" w:rsidRPr="00B93070">
        <w:t xml:space="preserve">, </w:t>
      </w:r>
      <w:r w:rsidR="003E1625" w:rsidRPr="00B93070">
        <w:rPr>
          <w:i/>
        </w:rPr>
        <w:t>119</w:t>
      </w:r>
      <w:r w:rsidR="003E1625" w:rsidRPr="00B93070">
        <w:t xml:space="preserve">, 1590–1601; </w:t>
      </w:r>
      <w:r w:rsidR="003E1625" w:rsidRPr="00B93070">
        <w:rPr>
          <w:i/>
        </w:rPr>
        <w:t>Angew. Chem. Int. Ed.</w:t>
      </w:r>
      <w:r w:rsidR="003E1625" w:rsidRPr="00B93070">
        <w:t xml:space="preserve"> </w:t>
      </w:r>
      <w:r w:rsidR="003E1625" w:rsidRPr="00B93070">
        <w:rPr>
          <w:b/>
        </w:rPr>
        <w:t>2007</w:t>
      </w:r>
      <w:r w:rsidR="003E1625" w:rsidRPr="00B93070">
        <w:t xml:space="preserve">, </w:t>
      </w:r>
      <w:r w:rsidR="003E1625" w:rsidRPr="00B93070">
        <w:rPr>
          <w:i/>
        </w:rPr>
        <w:t>46</w:t>
      </w:r>
      <w:r w:rsidR="003E1625" w:rsidRPr="00B93070">
        <w:t>, 1570–1581.</w:t>
      </w:r>
    </w:p>
    <w:p w:rsidR="003E1625" w:rsidRPr="00B93070" w:rsidRDefault="00D84C72" w:rsidP="003E1625">
      <w:pPr>
        <w:pStyle w:val="References"/>
        <w:pBdr>
          <w:top w:val="single" w:sz="12" w:space="1" w:color="999999"/>
        </w:pBdr>
      </w:pPr>
      <w:r w:rsidRPr="00B93070">
        <w:t>[3</w:t>
      </w:r>
      <w:r w:rsidR="003E1625" w:rsidRPr="00B93070">
        <w:t>]</w:t>
      </w:r>
      <w:r w:rsidR="003E1625" w:rsidRPr="00B93070">
        <w:tab/>
        <w:t xml:space="preserve">For reviews merging transition metals with organocatalysis see: a) M. Meazza, R. Rios, </w:t>
      </w:r>
      <w:r w:rsidR="003E1625" w:rsidRPr="00B93070">
        <w:rPr>
          <w:i/>
        </w:rPr>
        <w:t>Synthesis</w:t>
      </w:r>
      <w:r w:rsidR="003E1625" w:rsidRPr="00B93070">
        <w:t xml:space="preserve"> </w:t>
      </w:r>
      <w:r w:rsidR="003E1625" w:rsidRPr="00B93070">
        <w:rPr>
          <w:b/>
        </w:rPr>
        <w:t>2016</w:t>
      </w:r>
      <w:r w:rsidR="003E1625" w:rsidRPr="00B93070">
        <w:t xml:space="preserve">, </w:t>
      </w:r>
      <w:r w:rsidR="003E1625" w:rsidRPr="00B93070">
        <w:rPr>
          <w:i/>
        </w:rPr>
        <w:t>48</w:t>
      </w:r>
      <w:r w:rsidR="003E1625" w:rsidRPr="00B93070">
        <w:t xml:space="preserve">, 960-973; for selected examples see: (a) Q. Ding and J. Wu, J. </w:t>
      </w:r>
      <w:r w:rsidR="003E1625" w:rsidRPr="00B93070">
        <w:rPr>
          <w:i/>
        </w:rPr>
        <w:t xml:space="preserve">Org. </w:t>
      </w:r>
      <w:r w:rsidR="003E1625" w:rsidRPr="00B93070">
        <w:rPr>
          <w:i/>
          <w:lang w:val="de-DE"/>
        </w:rPr>
        <w:t>Lett</w:t>
      </w:r>
      <w:r w:rsidR="003E1625" w:rsidRPr="00B93070">
        <w:rPr>
          <w:lang w:val="de-DE"/>
        </w:rPr>
        <w:t xml:space="preserve">. </w:t>
      </w:r>
      <w:r w:rsidR="003E1625" w:rsidRPr="00B93070">
        <w:rPr>
          <w:b/>
          <w:lang w:val="de-DE"/>
        </w:rPr>
        <w:t>2007</w:t>
      </w:r>
      <w:r w:rsidR="003E1625" w:rsidRPr="00B93070">
        <w:rPr>
          <w:lang w:val="de-DE"/>
        </w:rPr>
        <w:t xml:space="preserve">, </w:t>
      </w:r>
      <w:r w:rsidR="003E1625" w:rsidRPr="00B93070">
        <w:rPr>
          <w:i/>
          <w:lang w:val="de-DE"/>
        </w:rPr>
        <w:t>9</w:t>
      </w:r>
      <w:r w:rsidR="003E1625" w:rsidRPr="00B93070">
        <w:rPr>
          <w:lang w:val="de-DE"/>
        </w:rPr>
        <w:t xml:space="preserve">, 4959-4962; b) A. E. Allen, D. W. C. MacMillan,  </w:t>
      </w:r>
      <w:r w:rsidR="003E1625" w:rsidRPr="00B93070">
        <w:rPr>
          <w:i/>
          <w:lang w:val="de-DE"/>
        </w:rPr>
        <w:t>J. Am. Chem. Soc.</w:t>
      </w:r>
      <w:r w:rsidR="003E1625" w:rsidRPr="00B93070">
        <w:rPr>
          <w:lang w:val="de-DE"/>
        </w:rPr>
        <w:t xml:space="preserve"> </w:t>
      </w:r>
      <w:r w:rsidR="003E1625" w:rsidRPr="00B93070">
        <w:rPr>
          <w:b/>
          <w:lang w:val="de-DE"/>
        </w:rPr>
        <w:t>2010</w:t>
      </w:r>
      <w:r w:rsidR="003E1625" w:rsidRPr="00B93070">
        <w:rPr>
          <w:lang w:val="de-DE"/>
        </w:rPr>
        <w:t xml:space="preserve">, </w:t>
      </w:r>
      <w:r w:rsidR="003E1625" w:rsidRPr="00B93070">
        <w:rPr>
          <w:i/>
          <w:lang w:val="de-DE"/>
        </w:rPr>
        <w:t>132</w:t>
      </w:r>
      <w:r w:rsidR="003E1625" w:rsidRPr="00B93070">
        <w:rPr>
          <w:lang w:val="de-DE"/>
        </w:rPr>
        <w:t xml:space="preserve">, 4986-4987; c) M. Ikeda, Y. Miyake, Y. Nishibayashi, </w:t>
      </w:r>
      <w:r w:rsidR="003E1625" w:rsidRPr="00B93070">
        <w:rPr>
          <w:i/>
          <w:lang w:val="de-DE"/>
        </w:rPr>
        <w:t>Angew. Chem., Int. Ed.</w:t>
      </w:r>
      <w:r w:rsidR="003E1625" w:rsidRPr="00B93070">
        <w:rPr>
          <w:lang w:val="de-DE"/>
        </w:rPr>
        <w:t xml:space="preserve"> </w:t>
      </w:r>
      <w:r w:rsidR="003E1625" w:rsidRPr="00B93070">
        <w:rPr>
          <w:b/>
          <w:lang w:val="de-DE"/>
        </w:rPr>
        <w:t>2010</w:t>
      </w:r>
      <w:r w:rsidR="003E1625" w:rsidRPr="00B93070">
        <w:rPr>
          <w:lang w:val="de-DE"/>
        </w:rPr>
        <w:t xml:space="preserve">, </w:t>
      </w:r>
      <w:r w:rsidR="003E1625" w:rsidRPr="00B93070">
        <w:rPr>
          <w:i/>
          <w:lang w:val="de-DE"/>
        </w:rPr>
        <w:t>49</w:t>
      </w:r>
      <w:r w:rsidR="003E1625" w:rsidRPr="00B93070">
        <w:rPr>
          <w:lang w:val="de-DE"/>
        </w:rPr>
        <w:t xml:space="preserve">, 7289-7393; (d) A. Yoshida, M. Ikeda, G. Hattori, Y. Miyake, Y. Nishibayashi, </w:t>
      </w:r>
      <w:r w:rsidR="003E1625" w:rsidRPr="00B93070">
        <w:rPr>
          <w:i/>
          <w:lang w:val="de-DE"/>
        </w:rPr>
        <w:t>Org. Lett.</w:t>
      </w:r>
      <w:r w:rsidR="003E1625" w:rsidRPr="00B93070">
        <w:rPr>
          <w:lang w:val="de-DE"/>
        </w:rPr>
        <w:t xml:space="preserve"> </w:t>
      </w:r>
      <w:r w:rsidR="003E1625" w:rsidRPr="00B93070">
        <w:rPr>
          <w:b/>
          <w:lang w:val="de-DE"/>
        </w:rPr>
        <w:t>2011</w:t>
      </w:r>
      <w:r w:rsidR="003E1625" w:rsidRPr="00B93070">
        <w:rPr>
          <w:lang w:val="de-DE"/>
        </w:rPr>
        <w:t xml:space="preserve">, </w:t>
      </w:r>
      <w:r w:rsidR="003E1625" w:rsidRPr="00B93070">
        <w:rPr>
          <w:i/>
          <w:lang w:val="de-DE"/>
        </w:rPr>
        <w:t>13</w:t>
      </w:r>
      <w:r w:rsidR="003E1625" w:rsidRPr="00B93070">
        <w:rPr>
          <w:lang w:val="de-DE"/>
        </w:rPr>
        <w:t xml:space="preserve">, 592-595; e) M. P. Sibi,  M. Hasegawa, </w:t>
      </w:r>
      <w:r w:rsidR="003E1625" w:rsidRPr="00B93070">
        <w:rPr>
          <w:i/>
          <w:lang w:val="de-DE"/>
        </w:rPr>
        <w:t>J. Am. Chem. Soc.</w:t>
      </w:r>
      <w:r w:rsidR="003E1625" w:rsidRPr="00B93070">
        <w:rPr>
          <w:lang w:val="de-DE"/>
        </w:rPr>
        <w:t xml:space="preserve"> </w:t>
      </w:r>
      <w:r w:rsidR="003E1625" w:rsidRPr="00B93070">
        <w:rPr>
          <w:b/>
          <w:lang w:val="de-DE"/>
        </w:rPr>
        <w:t>2007</w:t>
      </w:r>
      <w:r w:rsidR="003E1625" w:rsidRPr="00B93070">
        <w:rPr>
          <w:lang w:val="de-DE"/>
        </w:rPr>
        <w:t xml:space="preserve">, </w:t>
      </w:r>
      <w:r w:rsidR="003E1625" w:rsidRPr="00B93070">
        <w:rPr>
          <w:i/>
          <w:lang w:val="de-DE"/>
        </w:rPr>
        <w:t>129</w:t>
      </w:r>
      <w:r w:rsidR="003E1625" w:rsidRPr="00B93070">
        <w:rPr>
          <w:lang w:val="de-DE"/>
        </w:rPr>
        <w:t xml:space="preserve">, 4124-4125; f) A. E. Allen, D. W. C. MacMillan, </w:t>
      </w:r>
      <w:r w:rsidR="003E1625" w:rsidRPr="00B93070">
        <w:rPr>
          <w:i/>
          <w:lang w:val="de-DE"/>
        </w:rPr>
        <w:t>J. Am. Chem. Soc.</w:t>
      </w:r>
      <w:r w:rsidR="003E1625" w:rsidRPr="00B93070">
        <w:rPr>
          <w:lang w:val="de-DE"/>
        </w:rPr>
        <w:t xml:space="preserve"> </w:t>
      </w:r>
      <w:r w:rsidR="003E1625" w:rsidRPr="00B93070">
        <w:rPr>
          <w:b/>
          <w:lang w:val="de-DE"/>
        </w:rPr>
        <w:t>2011</w:t>
      </w:r>
      <w:r w:rsidR="003E1625" w:rsidRPr="00B93070">
        <w:rPr>
          <w:lang w:val="de-DE"/>
        </w:rPr>
        <w:t xml:space="preserve">, </w:t>
      </w:r>
      <w:r w:rsidR="003E1625" w:rsidRPr="00B93070">
        <w:rPr>
          <w:i/>
          <w:lang w:val="de-DE"/>
        </w:rPr>
        <w:t>133</w:t>
      </w:r>
      <w:r w:rsidR="003E1625" w:rsidRPr="00B93070">
        <w:rPr>
          <w:lang w:val="de-DE"/>
        </w:rPr>
        <w:t xml:space="preserve">, 4260-4263; g) D. A. Nicewicz, D. W. C. MacMillan, </w:t>
      </w:r>
      <w:r w:rsidR="003E1625" w:rsidRPr="00B93070">
        <w:rPr>
          <w:i/>
          <w:lang w:val="de-DE"/>
        </w:rPr>
        <w:t>Science</w:t>
      </w:r>
      <w:r w:rsidR="003E1625" w:rsidRPr="00B93070">
        <w:rPr>
          <w:lang w:val="de-DE"/>
        </w:rPr>
        <w:t xml:space="preserve"> </w:t>
      </w:r>
      <w:r w:rsidR="003E1625" w:rsidRPr="00B93070">
        <w:rPr>
          <w:b/>
          <w:lang w:val="de-DE"/>
        </w:rPr>
        <w:t>2008</w:t>
      </w:r>
      <w:r w:rsidR="003E1625" w:rsidRPr="00B93070">
        <w:rPr>
          <w:lang w:val="de-DE"/>
        </w:rPr>
        <w:t xml:space="preserve">, </w:t>
      </w:r>
      <w:r w:rsidR="003E1625" w:rsidRPr="00B93070">
        <w:rPr>
          <w:i/>
          <w:lang w:val="de-DE"/>
        </w:rPr>
        <w:t>322</w:t>
      </w:r>
      <w:r w:rsidR="003E1625" w:rsidRPr="00B93070">
        <w:rPr>
          <w:lang w:val="de-DE"/>
        </w:rPr>
        <w:t xml:space="preserve">, 77-80; h) I. Ibrahem, P. Breistein, A. Cordova, </w:t>
      </w:r>
      <w:r w:rsidR="003E1625" w:rsidRPr="00B93070">
        <w:rPr>
          <w:i/>
          <w:lang w:val="de-DE"/>
        </w:rPr>
        <w:t>Angew. Chem. Int. Ed</w:t>
      </w:r>
      <w:r w:rsidR="003E1625" w:rsidRPr="00B93070">
        <w:rPr>
          <w:lang w:val="de-DE"/>
        </w:rPr>
        <w:t xml:space="preserve">. </w:t>
      </w:r>
      <w:r w:rsidR="003E1625" w:rsidRPr="00B93070">
        <w:rPr>
          <w:b/>
          <w:lang w:val="de-DE"/>
        </w:rPr>
        <w:t>2011</w:t>
      </w:r>
      <w:r w:rsidR="003E1625" w:rsidRPr="00B93070">
        <w:rPr>
          <w:lang w:val="de-DE"/>
        </w:rPr>
        <w:t xml:space="preserve">, </w:t>
      </w:r>
      <w:r w:rsidR="003E1625" w:rsidRPr="00B93070">
        <w:rPr>
          <w:i/>
          <w:lang w:val="de-DE"/>
        </w:rPr>
        <w:t>50</w:t>
      </w:r>
      <w:r w:rsidR="003E1625" w:rsidRPr="00B93070">
        <w:rPr>
          <w:lang w:val="de-DE"/>
        </w:rPr>
        <w:t xml:space="preserve">, 12036-12041; i) I. Ibrahem, G. Ma, S. Afewerki, A. Cordova, </w:t>
      </w:r>
      <w:r w:rsidR="003E1625" w:rsidRPr="00B93070">
        <w:rPr>
          <w:i/>
          <w:lang w:val="de-DE"/>
        </w:rPr>
        <w:t>Angew. Chem. Int. Ed.</w:t>
      </w:r>
      <w:r w:rsidR="003E1625" w:rsidRPr="00B93070">
        <w:rPr>
          <w:lang w:val="de-DE"/>
        </w:rPr>
        <w:t xml:space="preserve"> </w:t>
      </w:r>
      <w:r w:rsidR="003E1625" w:rsidRPr="00B93070">
        <w:rPr>
          <w:b/>
          <w:lang w:val="de-DE"/>
        </w:rPr>
        <w:t>2013</w:t>
      </w:r>
      <w:r w:rsidR="003E1625" w:rsidRPr="00B93070">
        <w:rPr>
          <w:lang w:val="de-DE"/>
        </w:rPr>
        <w:t xml:space="preserve">, </w:t>
      </w:r>
      <w:r w:rsidR="003E1625" w:rsidRPr="00B93070">
        <w:rPr>
          <w:i/>
          <w:lang w:val="de-DE"/>
        </w:rPr>
        <w:t>52</w:t>
      </w:r>
      <w:r w:rsidR="003E1625" w:rsidRPr="00B93070">
        <w:rPr>
          <w:lang w:val="de-DE"/>
        </w:rPr>
        <w:t xml:space="preserve">, 878-882; j) I. Ibrahem, S. Santoro, F. Himo, A. Cordova, </w:t>
      </w:r>
      <w:r w:rsidR="003E1625" w:rsidRPr="00B93070">
        <w:rPr>
          <w:i/>
          <w:lang w:val="de-DE"/>
        </w:rPr>
        <w:t xml:space="preserve">Adv. </w:t>
      </w:r>
      <w:r w:rsidR="003E1625" w:rsidRPr="00B93070">
        <w:rPr>
          <w:i/>
        </w:rPr>
        <w:t>Synth. Catal.</w:t>
      </w:r>
      <w:r w:rsidR="003E1625" w:rsidRPr="00B93070">
        <w:t xml:space="preserve"> </w:t>
      </w:r>
      <w:r w:rsidR="003E1625" w:rsidRPr="00B93070">
        <w:rPr>
          <w:b/>
        </w:rPr>
        <w:t>2011</w:t>
      </w:r>
      <w:r w:rsidR="003E1625" w:rsidRPr="00B93070">
        <w:t xml:space="preserve">, </w:t>
      </w:r>
      <w:r w:rsidR="003E1625" w:rsidRPr="00B93070">
        <w:rPr>
          <w:i/>
        </w:rPr>
        <w:t>353</w:t>
      </w:r>
      <w:r w:rsidR="003E1625" w:rsidRPr="00B93070">
        <w:t xml:space="preserve">, 245-252; k) G. Jiang and B. List, </w:t>
      </w:r>
      <w:r w:rsidR="003E1625" w:rsidRPr="00B93070">
        <w:rPr>
          <w:i/>
        </w:rPr>
        <w:t>Angew. Chem. Int. Ed.</w:t>
      </w:r>
      <w:r w:rsidR="003E1625" w:rsidRPr="00B93070">
        <w:t xml:space="preserve"> </w:t>
      </w:r>
      <w:r w:rsidR="003E1625" w:rsidRPr="00B93070">
        <w:rPr>
          <w:b/>
        </w:rPr>
        <w:t>2011</w:t>
      </w:r>
      <w:r w:rsidR="003E1625" w:rsidRPr="00B93070">
        <w:t xml:space="preserve">, </w:t>
      </w:r>
      <w:r w:rsidR="003E1625" w:rsidRPr="00B93070">
        <w:rPr>
          <w:i/>
        </w:rPr>
        <w:t>50</w:t>
      </w:r>
      <w:r w:rsidR="003E1625" w:rsidRPr="00B93070">
        <w:t xml:space="preserve">, 9471-9474; i) G. Jiang, R. Halder, Y. Fang, and B. List </w:t>
      </w:r>
      <w:r w:rsidR="003E1625" w:rsidRPr="00B93070">
        <w:rPr>
          <w:i/>
        </w:rPr>
        <w:t xml:space="preserve">Angew. </w:t>
      </w:r>
      <w:r w:rsidR="003E1625" w:rsidRPr="00B93070">
        <w:rPr>
          <w:i/>
          <w:lang w:val="de-DE"/>
        </w:rPr>
        <w:t>Chem. Int. Ed.</w:t>
      </w:r>
      <w:r w:rsidR="003E1625" w:rsidRPr="00B93070">
        <w:rPr>
          <w:lang w:val="de-DE"/>
        </w:rPr>
        <w:t xml:space="preserve"> </w:t>
      </w:r>
      <w:r w:rsidR="003E1625" w:rsidRPr="00B93070">
        <w:rPr>
          <w:b/>
          <w:lang w:val="de-DE"/>
        </w:rPr>
        <w:t>2011</w:t>
      </w:r>
      <w:r w:rsidR="003E1625" w:rsidRPr="00B93070">
        <w:rPr>
          <w:lang w:val="de-DE"/>
        </w:rPr>
        <w:t xml:space="preserve">, </w:t>
      </w:r>
      <w:r w:rsidR="003E1625" w:rsidRPr="00B93070">
        <w:rPr>
          <w:i/>
          <w:lang w:val="de-DE"/>
        </w:rPr>
        <w:t>50</w:t>
      </w:r>
      <w:r w:rsidR="003E1625" w:rsidRPr="00B93070">
        <w:rPr>
          <w:lang w:val="de-DE"/>
        </w:rPr>
        <w:t xml:space="preserve">, 9752-9755; j) S. Mukherjee, B. List, </w:t>
      </w:r>
      <w:r w:rsidR="003E1625" w:rsidRPr="00B93070">
        <w:rPr>
          <w:i/>
          <w:lang w:val="de-DE"/>
        </w:rPr>
        <w:t xml:space="preserve">J. Am. </w:t>
      </w:r>
      <w:r w:rsidR="003E1625" w:rsidRPr="00B93070">
        <w:rPr>
          <w:i/>
        </w:rPr>
        <w:t>Chem. Soc</w:t>
      </w:r>
      <w:r w:rsidR="003E1625" w:rsidRPr="00B93070">
        <w:t xml:space="preserve">. </w:t>
      </w:r>
      <w:r w:rsidR="003E1625" w:rsidRPr="00B93070">
        <w:rPr>
          <w:b/>
        </w:rPr>
        <w:t>2007</w:t>
      </w:r>
      <w:r w:rsidR="003E1625" w:rsidRPr="00B93070">
        <w:t xml:space="preserve">, </w:t>
      </w:r>
      <w:r w:rsidR="003E1625" w:rsidRPr="00B93070">
        <w:rPr>
          <w:i/>
        </w:rPr>
        <w:t>129</w:t>
      </w:r>
      <w:r w:rsidR="003E1625" w:rsidRPr="00B93070">
        <w:t xml:space="preserve">, 11336-11337; k) S. Liao, B. List, </w:t>
      </w:r>
      <w:r w:rsidR="003E1625" w:rsidRPr="00B93070">
        <w:rPr>
          <w:i/>
        </w:rPr>
        <w:t>Angew. Chem. Int. Ed.</w:t>
      </w:r>
      <w:r w:rsidR="003E1625" w:rsidRPr="00B93070">
        <w:t xml:space="preserve"> </w:t>
      </w:r>
      <w:r w:rsidR="003E1625" w:rsidRPr="00B93070">
        <w:rPr>
          <w:b/>
        </w:rPr>
        <w:t>2010</w:t>
      </w:r>
      <w:r w:rsidR="003E1625" w:rsidRPr="00B93070">
        <w:t xml:space="preserve">, </w:t>
      </w:r>
      <w:r w:rsidR="003E1625" w:rsidRPr="00B93070">
        <w:rPr>
          <w:i/>
        </w:rPr>
        <w:t>49</w:t>
      </w:r>
      <w:r w:rsidR="003E1625" w:rsidRPr="00B93070">
        <w:t xml:space="preserve">, 638-641; l) G. Jiang, B. List, </w:t>
      </w:r>
      <w:r w:rsidR="003E1625" w:rsidRPr="00B93070">
        <w:rPr>
          <w:i/>
        </w:rPr>
        <w:t>Adv. Synth. Catal</w:t>
      </w:r>
      <w:r w:rsidR="003E1625" w:rsidRPr="00B93070">
        <w:t xml:space="preserve">. </w:t>
      </w:r>
      <w:r w:rsidR="003E1625" w:rsidRPr="00B93070">
        <w:rPr>
          <w:b/>
        </w:rPr>
        <w:t>2011</w:t>
      </w:r>
      <w:r w:rsidR="003E1625" w:rsidRPr="00B93070">
        <w:t xml:space="preserve">, </w:t>
      </w:r>
      <w:r w:rsidR="003E1625" w:rsidRPr="00B93070">
        <w:rPr>
          <w:i/>
        </w:rPr>
        <w:t>353</w:t>
      </w:r>
      <w:r w:rsidR="003E1625" w:rsidRPr="00B93070">
        <w:t xml:space="preserve">, 1667-1670; m) G. Jiang, B. List, </w:t>
      </w:r>
      <w:r w:rsidR="003E1625" w:rsidRPr="00B93070">
        <w:rPr>
          <w:i/>
        </w:rPr>
        <w:t>Chem. Commun.</w:t>
      </w:r>
      <w:r w:rsidR="003E1625" w:rsidRPr="00B93070">
        <w:t xml:space="preserve"> </w:t>
      </w:r>
      <w:r w:rsidR="003E1625" w:rsidRPr="00B93070">
        <w:rPr>
          <w:b/>
        </w:rPr>
        <w:t>2011</w:t>
      </w:r>
      <w:r w:rsidR="003E1625" w:rsidRPr="00B93070">
        <w:t xml:space="preserve">, </w:t>
      </w:r>
      <w:r w:rsidR="003E1625" w:rsidRPr="00B93070">
        <w:rPr>
          <w:i/>
        </w:rPr>
        <w:t>47</w:t>
      </w:r>
      <w:r w:rsidR="003E1625" w:rsidRPr="00B93070">
        <w:t>, 10022-10024.</w:t>
      </w:r>
    </w:p>
    <w:p w:rsidR="003E1625" w:rsidRPr="00B93070" w:rsidRDefault="00D84C72" w:rsidP="003E1625">
      <w:pPr>
        <w:pStyle w:val="References"/>
        <w:pBdr>
          <w:top w:val="single" w:sz="12" w:space="1" w:color="999999"/>
        </w:pBdr>
      </w:pPr>
      <w:r w:rsidRPr="00B93070">
        <w:t>[4</w:t>
      </w:r>
      <w:r w:rsidR="003E1625" w:rsidRPr="00B93070">
        <w:t xml:space="preserve">] </w:t>
      </w:r>
      <w:r w:rsidR="003E1625" w:rsidRPr="00B93070">
        <w:tab/>
        <w:t xml:space="preserve">For an excellent review on synergistic catalysis see: A. E Allen, D. W. C. MacMillan, </w:t>
      </w:r>
      <w:r w:rsidR="003E1625" w:rsidRPr="00B93070">
        <w:rPr>
          <w:i/>
        </w:rPr>
        <w:t xml:space="preserve">Chem. Sci. </w:t>
      </w:r>
      <w:r w:rsidR="003E1625" w:rsidRPr="00B93070">
        <w:rPr>
          <w:b/>
        </w:rPr>
        <w:t>2012</w:t>
      </w:r>
      <w:r w:rsidR="003E1625" w:rsidRPr="00B93070">
        <w:rPr>
          <w:bCs/>
        </w:rPr>
        <w:t>,</w:t>
      </w:r>
      <w:r w:rsidR="003E1625" w:rsidRPr="00B93070">
        <w:t xml:space="preserve"> </w:t>
      </w:r>
      <w:r w:rsidR="003E1625" w:rsidRPr="00B93070">
        <w:rPr>
          <w:i/>
        </w:rPr>
        <w:t>3</w:t>
      </w:r>
      <w:r w:rsidR="003E1625" w:rsidRPr="00B93070">
        <w:t>, 633–658.</w:t>
      </w:r>
    </w:p>
    <w:p w:rsidR="003E1625" w:rsidRPr="00B93070" w:rsidRDefault="00D84C72" w:rsidP="003E1625">
      <w:pPr>
        <w:pStyle w:val="References"/>
        <w:pBdr>
          <w:top w:val="single" w:sz="12" w:space="1" w:color="999999"/>
        </w:pBdr>
      </w:pPr>
      <w:r w:rsidRPr="00B93070">
        <w:t>[5</w:t>
      </w:r>
      <w:r w:rsidR="003E1625" w:rsidRPr="00B93070">
        <w:t>]</w:t>
      </w:r>
      <w:r w:rsidR="003E1625" w:rsidRPr="00B93070">
        <w:tab/>
        <w:t xml:space="preserve">(a) V. Ceban, P. Putaj, M. Meazza, M. B. Pitak, S. J. Coles, J. Vesely, R. Rios, </w:t>
      </w:r>
      <w:r w:rsidR="003E1625" w:rsidRPr="00B93070">
        <w:rPr>
          <w:i/>
        </w:rPr>
        <w:t>Chem. Commun</w:t>
      </w:r>
      <w:r w:rsidR="003E1625" w:rsidRPr="00B93070">
        <w:t xml:space="preserve">. </w:t>
      </w:r>
      <w:r w:rsidR="003E1625" w:rsidRPr="00B93070">
        <w:rPr>
          <w:b/>
        </w:rPr>
        <w:t>2014</w:t>
      </w:r>
      <w:r w:rsidR="003E1625" w:rsidRPr="00B93070">
        <w:t xml:space="preserve">, </w:t>
      </w:r>
      <w:r w:rsidR="003E1625" w:rsidRPr="00B93070">
        <w:rPr>
          <w:i/>
        </w:rPr>
        <w:t>50</w:t>
      </w:r>
      <w:r w:rsidR="003E1625" w:rsidRPr="00B93070">
        <w:t xml:space="preserve">, 7447-7450; b) M. Meazza, V. Ceban, M. B. Pitak, S. J. Coles, R. Rios, </w:t>
      </w:r>
      <w:r w:rsidR="003E1625" w:rsidRPr="00B93070">
        <w:rPr>
          <w:i/>
        </w:rPr>
        <w:t>Chem. Eur. J.</w:t>
      </w:r>
      <w:r w:rsidR="003E1625" w:rsidRPr="00B93070">
        <w:t xml:space="preserve"> </w:t>
      </w:r>
      <w:r w:rsidR="003E1625" w:rsidRPr="00B93070">
        <w:rPr>
          <w:b/>
        </w:rPr>
        <w:t>2014</w:t>
      </w:r>
      <w:r w:rsidR="003E1625" w:rsidRPr="00B93070">
        <w:t xml:space="preserve">, </w:t>
      </w:r>
      <w:r w:rsidR="003E1625" w:rsidRPr="00B93070">
        <w:rPr>
          <w:i/>
        </w:rPr>
        <w:t>20</w:t>
      </w:r>
      <w:r w:rsidR="003E1625" w:rsidRPr="00B93070">
        <w:t>, 16853-16857.</w:t>
      </w:r>
    </w:p>
    <w:p w:rsidR="003E1625" w:rsidRPr="00B93070" w:rsidRDefault="00D84C72" w:rsidP="003E1625">
      <w:pPr>
        <w:pStyle w:val="References"/>
        <w:pBdr>
          <w:top w:val="single" w:sz="12" w:space="1" w:color="999999"/>
        </w:pBdr>
        <w:rPr>
          <w:szCs w:val="18"/>
          <w:lang w:eastAsia="en-GB"/>
        </w:rPr>
      </w:pPr>
      <w:r w:rsidRPr="00B93070">
        <w:t>[6</w:t>
      </w:r>
      <w:r w:rsidR="003E1625" w:rsidRPr="00B93070">
        <w:t>]</w:t>
      </w:r>
      <w:r w:rsidR="003E1625" w:rsidRPr="00B93070">
        <w:tab/>
        <w:t xml:space="preserve">M. Meazza, M. E. Light, A. Mazzanti, R. Rios, </w:t>
      </w:r>
      <w:r w:rsidR="003E1625" w:rsidRPr="00B93070">
        <w:rPr>
          <w:i/>
        </w:rPr>
        <w:t>Chem. Sci.</w:t>
      </w:r>
      <w:r w:rsidR="003E1625" w:rsidRPr="00B93070">
        <w:t xml:space="preserve"> </w:t>
      </w:r>
      <w:r w:rsidR="003E1625" w:rsidRPr="00B93070">
        <w:rPr>
          <w:b/>
        </w:rPr>
        <w:t>2016</w:t>
      </w:r>
      <w:r w:rsidR="003E1625" w:rsidRPr="00B93070">
        <w:t xml:space="preserve">, </w:t>
      </w:r>
      <w:r w:rsidR="003E1625" w:rsidRPr="00B93070">
        <w:rPr>
          <w:i/>
          <w:iCs/>
          <w:szCs w:val="18"/>
          <w:lang w:eastAsia="en-GB"/>
        </w:rPr>
        <w:t>7</w:t>
      </w:r>
      <w:r w:rsidR="003E1625" w:rsidRPr="00B93070">
        <w:rPr>
          <w:szCs w:val="18"/>
          <w:lang w:eastAsia="en-GB"/>
        </w:rPr>
        <w:t>, 984-988.</w:t>
      </w:r>
    </w:p>
    <w:p w:rsidR="003E1625" w:rsidRPr="00B93070" w:rsidRDefault="00D84C72" w:rsidP="003E1625">
      <w:pPr>
        <w:pStyle w:val="References"/>
        <w:pBdr>
          <w:top w:val="single" w:sz="12" w:space="1" w:color="999999"/>
        </w:pBdr>
      </w:pPr>
      <w:r w:rsidRPr="00B93070">
        <w:rPr>
          <w:szCs w:val="18"/>
          <w:lang w:val="en-US" w:eastAsia="en-GB"/>
        </w:rPr>
        <w:t>[7</w:t>
      </w:r>
      <w:r w:rsidR="003E1625" w:rsidRPr="00B93070">
        <w:rPr>
          <w:szCs w:val="18"/>
          <w:lang w:val="en-US" w:eastAsia="en-GB"/>
        </w:rPr>
        <w:t>]</w:t>
      </w:r>
      <w:r w:rsidR="003E1625" w:rsidRPr="00B93070">
        <w:rPr>
          <w:szCs w:val="18"/>
          <w:lang w:val="en-US" w:eastAsia="en-GB"/>
        </w:rPr>
        <w:tab/>
        <w:t xml:space="preserve">The Pauson-​Khand Reaction: Scope, Variations and Applications. Ed. Ramon Rios </w:t>
      </w:r>
      <w:r w:rsidR="003E1625" w:rsidRPr="00B93070">
        <w:t xml:space="preserve">John Wiley &amp; Sons Ltd., </w:t>
      </w:r>
      <w:r w:rsidR="003E1625" w:rsidRPr="00B93070">
        <w:rPr>
          <w:b/>
        </w:rPr>
        <w:t>2012</w:t>
      </w:r>
      <w:r w:rsidR="003E1625" w:rsidRPr="00B93070">
        <w:t>.</w:t>
      </w:r>
    </w:p>
    <w:p w:rsidR="003E1625" w:rsidRPr="00B93070" w:rsidRDefault="00D84C72" w:rsidP="003E1625">
      <w:pPr>
        <w:pStyle w:val="References"/>
        <w:pBdr>
          <w:top w:val="single" w:sz="12" w:space="1" w:color="999999"/>
        </w:pBdr>
      </w:pPr>
      <w:r w:rsidRPr="00B93070">
        <w:t>[8</w:t>
      </w:r>
      <w:r w:rsidR="003E1625" w:rsidRPr="00B93070">
        <w:t>]</w:t>
      </w:r>
      <w:r w:rsidR="003E1625" w:rsidRPr="00B93070">
        <w:tab/>
        <w:t xml:space="preserve">For a review: D. R. Wenz, J. Read de Alaniz, </w:t>
      </w:r>
      <w:r w:rsidR="003E1625" w:rsidRPr="00B93070">
        <w:rPr>
          <w:i/>
        </w:rPr>
        <w:t>Eur. J. Org. Chem</w:t>
      </w:r>
      <w:r w:rsidR="003E1625" w:rsidRPr="00B93070">
        <w:t xml:space="preserve">. </w:t>
      </w:r>
      <w:r w:rsidR="003E1625" w:rsidRPr="00B93070">
        <w:rPr>
          <w:b/>
        </w:rPr>
        <w:t>2015</w:t>
      </w:r>
      <w:r w:rsidR="003E1625" w:rsidRPr="00B93070">
        <w:t>, 23-37.</w:t>
      </w:r>
    </w:p>
    <w:p w:rsidR="003E1625" w:rsidRPr="00B93070" w:rsidRDefault="00D84C72" w:rsidP="003E1625">
      <w:pPr>
        <w:pStyle w:val="References"/>
        <w:pBdr>
          <w:top w:val="single" w:sz="12" w:space="1" w:color="999999"/>
        </w:pBdr>
      </w:pPr>
      <w:r w:rsidRPr="00B93070">
        <w:t>[9</w:t>
      </w:r>
      <w:r w:rsidR="003E1625" w:rsidRPr="00B93070">
        <w:t>]</w:t>
      </w:r>
      <w:r w:rsidR="003E1625" w:rsidRPr="00B93070">
        <w:tab/>
        <w:t xml:space="preserve">For a recent example, see: Y. Tokimizu, M. Wieteck, M. Rudolph, S. Oishi, N. Fujii, A. S. K. Hashmi, H. Ohno, </w:t>
      </w:r>
      <w:r w:rsidR="003E1625" w:rsidRPr="00B93070">
        <w:rPr>
          <w:i/>
        </w:rPr>
        <w:t>Org. Lett.</w:t>
      </w:r>
      <w:r w:rsidR="003E1625" w:rsidRPr="00B93070">
        <w:t xml:space="preserve"> </w:t>
      </w:r>
      <w:r w:rsidR="003E1625" w:rsidRPr="00B93070">
        <w:rPr>
          <w:b/>
        </w:rPr>
        <w:t>2015</w:t>
      </w:r>
      <w:r w:rsidR="003E1625" w:rsidRPr="00B93070">
        <w:t xml:space="preserve">, </w:t>
      </w:r>
      <w:r w:rsidR="003E1625" w:rsidRPr="00B93070">
        <w:rPr>
          <w:i/>
        </w:rPr>
        <w:t>17</w:t>
      </w:r>
      <w:r w:rsidR="003E1625" w:rsidRPr="00B93070">
        <w:t>, 604-607.</w:t>
      </w:r>
    </w:p>
    <w:p w:rsidR="003E1625" w:rsidRPr="00B93070" w:rsidRDefault="00D84C72" w:rsidP="003E1625">
      <w:pPr>
        <w:pStyle w:val="References"/>
        <w:pBdr>
          <w:top w:val="single" w:sz="12" w:space="1" w:color="999999"/>
        </w:pBdr>
      </w:pPr>
      <w:r w:rsidRPr="00B93070">
        <w:t>[10</w:t>
      </w:r>
      <w:r w:rsidR="003E1625" w:rsidRPr="00B93070">
        <w:t>]</w:t>
      </w:r>
      <w:r w:rsidR="003E1625" w:rsidRPr="00B93070">
        <w:tab/>
        <w:t xml:space="preserve">a) I. Ibrahem, G.-L. Zhao, R. Rios, J. Vesely, H. Sunden, P. Dziedzic, A. Cordova, </w:t>
      </w:r>
      <w:r w:rsidR="003E1625" w:rsidRPr="00B93070">
        <w:rPr>
          <w:i/>
        </w:rPr>
        <w:t>Chem. Eur. J</w:t>
      </w:r>
      <w:r w:rsidR="003E1625" w:rsidRPr="00B93070">
        <w:t xml:space="preserve">. </w:t>
      </w:r>
      <w:r w:rsidR="003E1625" w:rsidRPr="00B93070">
        <w:rPr>
          <w:b/>
        </w:rPr>
        <w:t>2008</w:t>
      </w:r>
      <w:r w:rsidR="003E1625" w:rsidRPr="00B93070">
        <w:t xml:space="preserve">, </w:t>
      </w:r>
      <w:r w:rsidR="003E1625" w:rsidRPr="00B93070">
        <w:rPr>
          <w:i/>
        </w:rPr>
        <w:t>14</w:t>
      </w:r>
      <w:r w:rsidR="003E1625" w:rsidRPr="00B93070">
        <w:t xml:space="preserve">, 7867-7879, b) R. Rios, J. Vesely, H. Sunden, I. Ibrahem, G.-L. Zhao, A. Cordova, </w:t>
      </w:r>
      <w:r w:rsidR="003E1625" w:rsidRPr="00B93070">
        <w:rPr>
          <w:i/>
        </w:rPr>
        <w:t>Tetrahedron Lett.</w:t>
      </w:r>
      <w:r w:rsidR="003E1625" w:rsidRPr="00B93070">
        <w:t xml:space="preserve"> </w:t>
      </w:r>
      <w:r w:rsidR="003E1625" w:rsidRPr="00B93070">
        <w:rPr>
          <w:b/>
        </w:rPr>
        <w:t>2007</w:t>
      </w:r>
      <w:r w:rsidR="003E1625" w:rsidRPr="00B93070">
        <w:t xml:space="preserve">, </w:t>
      </w:r>
      <w:r w:rsidR="003E1625" w:rsidRPr="00B93070">
        <w:rPr>
          <w:i/>
        </w:rPr>
        <w:t>48</w:t>
      </w:r>
      <w:r w:rsidR="003E1625" w:rsidRPr="00B93070">
        <w:t>, 5835-5839.</w:t>
      </w:r>
    </w:p>
    <w:p w:rsidR="003E1625" w:rsidRPr="00B93070" w:rsidRDefault="00D84C72" w:rsidP="003E1625">
      <w:pPr>
        <w:pStyle w:val="References"/>
        <w:pBdr>
          <w:top w:val="single" w:sz="12" w:space="1" w:color="999999"/>
        </w:pBdr>
      </w:pPr>
      <w:r w:rsidRPr="00B93070">
        <w:rPr>
          <w:lang w:val="de-DE"/>
        </w:rPr>
        <w:t>[11</w:t>
      </w:r>
      <w:r w:rsidR="003E1625" w:rsidRPr="00B93070">
        <w:rPr>
          <w:lang w:val="de-DE"/>
        </w:rPr>
        <w:t xml:space="preserve">] </w:t>
      </w:r>
      <w:r w:rsidR="003E1625" w:rsidRPr="00B93070">
        <w:rPr>
          <w:lang w:val="de-DE"/>
        </w:rPr>
        <w:tab/>
        <w:t xml:space="preserve">J. Wang, H. Li, H. Xie, L. Zu, X. Shen, W. Wang, </w:t>
      </w:r>
      <w:r w:rsidR="003E1625" w:rsidRPr="00B93070">
        <w:rPr>
          <w:i/>
          <w:lang w:val="de-DE"/>
        </w:rPr>
        <w:t xml:space="preserve">Angew. </w:t>
      </w:r>
      <w:r w:rsidR="003E1625" w:rsidRPr="00B93070">
        <w:rPr>
          <w:i/>
        </w:rPr>
        <w:t>Chem. Int. Ed.</w:t>
      </w:r>
      <w:r w:rsidR="003E1625" w:rsidRPr="00B93070">
        <w:t xml:space="preserve"> </w:t>
      </w:r>
      <w:r w:rsidR="003E1625" w:rsidRPr="00B93070">
        <w:rPr>
          <w:b/>
        </w:rPr>
        <w:t>2007</w:t>
      </w:r>
      <w:r w:rsidR="003E1625" w:rsidRPr="00B93070">
        <w:t xml:space="preserve">, </w:t>
      </w:r>
      <w:r w:rsidR="003E1625" w:rsidRPr="00B93070">
        <w:rPr>
          <w:i/>
        </w:rPr>
        <w:t>46</w:t>
      </w:r>
      <w:r w:rsidR="003E1625" w:rsidRPr="00B93070">
        <w:t>, 9050-9053.</w:t>
      </w:r>
    </w:p>
    <w:p w:rsidR="003E1625" w:rsidRPr="00B93070" w:rsidRDefault="00D84C72" w:rsidP="003E1625">
      <w:pPr>
        <w:pStyle w:val="References"/>
        <w:pBdr>
          <w:top w:val="single" w:sz="12" w:space="1" w:color="999999"/>
        </w:pBdr>
        <w:rPr>
          <w:lang w:val="it-IT"/>
        </w:rPr>
      </w:pPr>
      <w:r w:rsidRPr="00B93070">
        <w:t>[12</w:t>
      </w:r>
      <w:r w:rsidR="003E1625" w:rsidRPr="00B93070">
        <w:t>]</w:t>
      </w:r>
      <w:r w:rsidR="003E1625" w:rsidRPr="00B93070">
        <w:tab/>
        <w:t xml:space="preserve">for example: a) D. Enders, C. Wang, J.W. Bats, </w:t>
      </w:r>
      <w:r w:rsidR="003E1625" w:rsidRPr="00B93070">
        <w:rPr>
          <w:i/>
        </w:rPr>
        <w:t xml:space="preserve">Angew. </w:t>
      </w:r>
      <w:r w:rsidR="003E1625" w:rsidRPr="00B93070">
        <w:rPr>
          <w:i/>
          <w:lang w:val="it-IT"/>
        </w:rPr>
        <w:t>Chem. Int. Ed.</w:t>
      </w:r>
      <w:r w:rsidR="003E1625" w:rsidRPr="00B93070">
        <w:rPr>
          <w:lang w:val="it-IT"/>
        </w:rPr>
        <w:t xml:space="preserve"> </w:t>
      </w:r>
      <w:r w:rsidR="003E1625" w:rsidRPr="00B93070">
        <w:rPr>
          <w:b/>
          <w:lang w:val="it-IT"/>
        </w:rPr>
        <w:t>2008</w:t>
      </w:r>
      <w:r w:rsidR="003E1625" w:rsidRPr="00B93070">
        <w:rPr>
          <w:lang w:val="it-IT"/>
        </w:rPr>
        <w:t xml:space="preserve">, </w:t>
      </w:r>
      <w:r w:rsidR="003E1625" w:rsidRPr="00B93070">
        <w:rPr>
          <w:i/>
          <w:lang w:val="it-IT"/>
        </w:rPr>
        <w:t>47</w:t>
      </w:r>
      <w:r w:rsidR="003E1625" w:rsidRPr="00B93070">
        <w:rPr>
          <w:lang w:val="it-IT"/>
        </w:rPr>
        <w:t>, 7539-7542.</w:t>
      </w:r>
    </w:p>
    <w:p w:rsidR="003E1625" w:rsidRPr="00B93070" w:rsidRDefault="00D84C72" w:rsidP="003E1625">
      <w:pPr>
        <w:pStyle w:val="References"/>
        <w:pBdr>
          <w:top w:val="single" w:sz="12" w:space="1" w:color="999999"/>
        </w:pBdr>
      </w:pPr>
      <w:r w:rsidRPr="00B93070">
        <w:rPr>
          <w:lang w:val="it-IT"/>
        </w:rPr>
        <w:t>[13</w:t>
      </w:r>
      <w:r w:rsidR="003E1625" w:rsidRPr="00B93070">
        <w:rPr>
          <w:lang w:val="it-IT"/>
        </w:rPr>
        <w:t>]</w:t>
      </w:r>
      <w:r w:rsidR="003E1625" w:rsidRPr="00B93070">
        <w:rPr>
          <w:lang w:val="it-IT"/>
        </w:rPr>
        <w:tab/>
        <w:t xml:space="preserve">a) G. Ma, S. Afewerki, L. Deiana, C. Palo-Nieto, L. Liu, J. Sun, I. Ibrahem, A. Cordova, </w:t>
      </w:r>
      <w:r w:rsidR="003E1625" w:rsidRPr="00B93070">
        <w:rPr>
          <w:i/>
          <w:lang w:val="it-IT"/>
        </w:rPr>
        <w:t xml:space="preserve">Angew. </w:t>
      </w:r>
      <w:r w:rsidR="003E1625" w:rsidRPr="00B93070">
        <w:rPr>
          <w:i/>
        </w:rPr>
        <w:t>Chem. Int. Ed</w:t>
      </w:r>
      <w:r w:rsidR="003E1625" w:rsidRPr="00B93070">
        <w:t xml:space="preserve">. </w:t>
      </w:r>
      <w:r w:rsidR="003E1625" w:rsidRPr="00B93070">
        <w:rPr>
          <w:b/>
        </w:rPr>
        <w:t>2013</w:t>
      </w:r>
      <w:r w:rsidR="003E1625" w:rsidRPr="00B93070">
        <w:t xml:space="preserve">, </w:t>
      </w:r>
      <w:r w:rsidR="003E1625" w:rsidRPr="00B93070">
        <w:rPr>
          <w:i/>
        </w:rPr>
        <w:t>52</w:t>
      </w:r>
      <w:r w:rsidR="003E1625" w:rsidRPr="00B93070">
        <w:t xml:space="preserve">, 6050–6054; b) S. Afewerki, G.  Ma, I. Ibrahem, L. Liu, J. Sun, A. Cordova, </w:t>
      </w:r>
      <w:r w:rsidR="003E1625" w:rsidRPr="00B93070">
        <w:rPr>
          <w:i/>
        </w:rPr>
        <w:t>ACS Catal</w:t>
      </w:r>
      <w:r w:rsidR="003E1625" w:rsidRPr="00B93070">
        <w:t xml:space="preserve">. </w:t>
      </w:r>
      <w:r w:rsidR="003E1625" w:rsidRPr="00B93070">
        <w:rPr>
          <w:b/>
        </w:rPr>
        <w:t>2015</w:t>
      </w:r>
      <w:r w:rsidR="003E1625" w:rsidRPr="00B93070">
        <w:t xml:space="preserve">, </w:t>
      </w:r>
      <w:r w:rsidR="003E1625" w:rsidRPr="00B93070">
        <w:rPr>
          <w:i/>
        </w:rPr>
        <w:t>5</w:t>
      </w:r>
      <w:r w:rsidR="003E1625" w:rsidRPr="00B93070">
        <w:t>, 1266–1272.</w:t>
      </w:r>
    </w:p>
    <w:p w:rsidR="00FE639E" w:rsidRPr="00B93070" w:rsidRDefault="00D84C72" w:rsidP="003E1625">
      <w:pPr>
        <w:pStyle w:val="References"/>
        <w:pBdr>
          <w:top w:val="single" w:sz="12" w:space="1" w:color="999999"/>
        </w:pBdr>
      </w:pPr>
      <w:r w:rsidRPr="00B93070">
        <w:t>[14</w:t>
      </w:r>
      <w:r w:rsidR="00FE639E" w:rsidRPr="00B93070">
        <w:t>]</w:t>
      </w:r>
      <w:r w:rsidR="00FE639E" w:rsidRPr="00B93070">
        <w:tab/>
        <w:t xml:space="preserve">a) T. Hudickly, J. W. Reed, </w:t>
      </w:r>
      <w:r w:rsidR="00FE639E" w:rsidRPr="00B93070">
        <w:rPr>
          <w:i/>
        </w:rPr>
        <w:t>Angew. Chem. Int. Ed</w:t>
      </w:r>
      <w:r w:rsidR="00FE639E" w:rsidRPr="00B93070">
        <w:t xml:space="preserve">. </w:t>
      </w:r>
      <w:r w:rsidR="00FE639E" w:rsidRPr="00B93070">
        <w:rPr>
          <w:b/>
        </w:rPr>
        <w:t>2010</w:t>
      </w:r>
      <w:r w:rsidR="00FE639E" w:rsidRPr="00B93070">
        <w:t xml:space="preserve">, </w:t>
      </w:r>
      <w:r w:rsidR="00FE639E" w:rsidRPr="00B93070">
        <w:rPr>
          <w:i/>
        </w:rPr>
        <w:t>49</w:t>
      </w:r>
      <w:r w:rsidR="00FE639E" w:rsidRPr="00B93070">
        <w:t xml:space="preserve">, 4864-4876; b) J. E. Baldwin, </w:t>
      </w:r>
      <w:r w:rsidR="00FE639E" w:rsidRPr="00B93070">
        <w:rPr>
          <w:i/>
        </w:rPr>
        <w:t>Chem. Rev.</w:t>
      </w:r>
      <w:r w:rsidR="00FE639E" w:rsidRPr="00B93070">
        <w:t xml:space="preserve"> </w:t>
      </w:r>
      <w:r w:rsidR="00C2354F" w:rsidRPr="00B93070">
        <w:rPr>
          <w:b/>
        </w:rPr>
        <w:t>2003</w:t>
      </w:r>
      <w:r w:rsidR="00C2354F" w:rsidRPr="00B93070">
        <w:t xml:space="preserve">, </w:t>
      </w:r>
      <w:r w:rsidR="00C2354F" w:rsidRPr="00B93070">
        <w:rPr>
          <w:i/>
        </w:rPr>
        <w:t>103</w:t>
      </w:r>
      <w:r w:rsidR="00C2354F" w:rsidRPr="00B93070">
        <w:t>, 1197-1212.</w:t>
      </w:r>
    </w:p>
    <w:p w:rsidR="003E1625" w:rsidRPr="00B93070" w:rsidRDefault="00D84C72" w:rsidP="003E1625">
      <w:pPr>
        <w:pStyle w:val="References"/>
        <w:pBdr>
          <w:top w:val="single" w:sz="12" w:space="1" w:color="999999"/>
        </w:pBdr>
      </w:pPr>
      <w:r w:rsidRPr="00B93070">
        <w:t>[15</w:t>
      </w:r>
      <w:r w:rsidR="003E1625" w:rsidRPr="00B93070">
        <w:t>]</w:t>
      </w:r>
      <w:r w:rsidR="003E1625" w:rsidRPr="00B93070">
        <w:tab/>
        <w:t xml:space="preserve">This work was presented, for the first time, in the RSC Organic Division South-West Regional Meeting, UK, </w:t>
      </w:r>
      <w:r w:rsidR="003E1625" w:rsidRPr="00B93070">
        <w:rPr>
          <w:b/>
        </w:rPr>
        <w:t>January 13th,</w:t>
      </w:r>
      <w:r w:rsidR="003E1625" w:rsidRPr="00B93070">
        <w:t xml:space="preserve"> </w:t>
      </w:r>
      <w:r w:rsidR="003E1625" w:rsidRPr="00B93070">
        <w:rPr>
          <w:b/>
        </w:rPr>
        <w:t>2016</w:t>
      </w:r>
      <w:r w:rsidR="00455E11" w:rsidRPr="00B93070">
        <w:rPr>
          <w:b/>
        </w:rPr>
        <w:t>.</w:t>
      </w:r>
    </w:p>
    <w:p w:rsidR="003E1625" w:rsidRPr="00B93070" w:rsidRDefault="00D84C72" w:rsidP="003E1625">
      <w:pPr>
        <w:pStyle w:val="References"/>
        <w:pBdr>
          <w:top w:val="single" w:sz="12" w:space="1" w:color="999999"/>
        </w:pBdr>
      </w:pPr>
      <w:r w:rsidRPr="00B93070">
        <w:t>[16</w:t>
      </w:r>
      <w:r w:rsidR="003E1625" w:rsidRPr="00B93070">
        <w:t>]</w:t>
      </w:r>
      <w:r w:rsidR="003E1625" w:rsidRPr="00B93070">
        <w:tab/>
        <w:t xml:space="preserve">a) I. Shimizu, Y. Ohashi, J. Tsuji, </w:t>
      </w:r>
      <w:r w:rsidR="003E1625" w:rsidRPr="00B93070">
        <w:rPr>
          <w:i/>
        </w:rPr>
        <w:t>Tetrahedron Lett.</w:t>
      </w:r>
      <w:r w:rsidR="003E1625" w:rsidRPr="00B93070">
        <w:t xml:space="preserve"> </w:t>
      </w:r>
      <w:r w:rsidR="003E1625" w:rsidRPr="00B93070">
        <w:rPr>
          <w:b/>
        </w:rPr>
        <w:t>1985</w:t>
      </w:r>
      <w:r w:rsidR="003E1625" w:rsidRPr="00B93070">
        <w:t xml:space="preserve">, </w:t>
      </w:r>
      <w:r w:rsidR="003E1625" w:rsidRPr="00B93070">
        <w:rPr>
          <w:i/>
        </w:rPr>
        <w:t>26</w:t>
      </w:r>
      <w:r w:rsidR="003E1625" w:rsidRPr="00B93070">
        <w:t xml:space="preserve">, 3825–3828; b) A. F. G. Goldberg, B. M. Stoltz, </w:t>
      </w:r>
      <w:r w:rsidR="003E1625" w:rsidRPr="00B93070">
        <w:rPr>
          <w:i/>
        </w:rPr>
        <w:t>Org. Lett</w:t>
      </w:r>
      <w:r w:rsidR="003E1625" w:rsidRPr="00B93070">
        <w:t xml:space="preserve">. </w:t>
      </w:r>
      <w:r w:rsidR="003E1625" w:rsidRPr="00B93070">
        <w:rPr>
          <w:b/>
        </w:rPr>
        <w:t>2011</w:t>
      </w:r>
      <w:r w:rsidR="003E1625" w:rsidRPr="00B93070">
        <w:t xml:space="preserve">, </w:t>
      </w:r>
      <w:r w:rsidR="003E1625" w:rsidRPr="00B93070">
        <w:rPr>
          <w:i/>
        </w:rPr>
        <w:t>13</w:t>
      </w:r>
      <w:r w:rsidR="003E1625" w:rsidRPr="00B93070">
        <w:t xml:space="preserve">, 4474–4476; c) L.-y. Mei, Y. Wei, Q. Xu, M. Shi, </w:t>
      </w:r>
      <w:r w:rsidR="003E1625" w:rsidRPr="00B93070">
        <w:rPr>
          <w:i/>
        </w:rPr>
        <w:t>Organometallics</w:t>
      </w:r>
      <w:r w:rsidR="003E1625" w:rsidRPr="00B93070">
        <w:t xml:space="preserve"> </w:t>
      </w:r>
      <w:r w:rsidR="003E1625" w:rsidRPr="00B93070">
        <w:rPr>
          <w:b/>
        </w:rPr>
        <w:t>2012</w:t>
      </w:r>
      <w:r w:rsidR="003E1625" w:rsidRPr="00B93070">
        <w:t xml:space="preserve">, </w:t>
      </w:r>
      <w:r w:rsidR="003E1625" w:rsidRPr="00B93070">
        <w:rPr>
          <w:i/>
        </w:rPr>
        <w:t>31</w:t>
      </w:r>
      <w:r w:rsidR="003E1625" w:rsidRPr="00B93070">
        <w:t>, 7591–7599.</w:t>
      </w:r>
    </w:p>
    <w:p w:rsidR="003E1625" w:rsidRPr="00B93070" w:rsidRDefault="00D84C72" w:rsidP="003E1625">
      <w:pPr>
        <w:pStyle w:val="References"/>
        <w:pBdr>
          <w:top w:val="single" w:sz="12" w:space="1" w:color="999999"/>
        </w:pBdr>
        <w:rPr>
          <w:lang w:val="de-DE"/>
        </w:rPr>
      </w:pPr>
      <w:r w:rsidRPr="00B93070">
        <w:t>[17</w:t>
      </w:r>
      <w:r w:rsidR="003E1625" w:rsidRPr="00B93070">
        <w:t>]</w:t>
      </w:r>
      <w:r w:rsidR="003E1625" w:rsidRPr="00B93070">
        <w:tab/>
        <w:t xml:space="preserve">a) B. M. Trost, P. J. Morris, </w:t>
      </w:r>
      <w:r w:rsidR="003E1625" w:rsidRPr="00B93070">
        <w:rPr>
          <w:i/>
        </w:rPr>
        <w:t>Angew. Chem. Int. Ed</w:t>
      </w:r>
      <w:r w:rsidR="003E1625" w:rsidRPr="00B93070">
        <w:t xml:space="preserve">. </w:t>
      </w:r>
      <w:r w:rsidR="003E1625" w:rsidRPr="00B93070">
        <w:rPr>
          <w:b/>
        </w:rPr>
        <w:t>2011</w:t>
      </w:r>
      <w:r w:rsidR="003E1625" w:rsidRPr="00B93070">
        <w:t xml:space="preserve">, </w:t>
      </w:r>
      <w:r w:rsidR="003E1625" w:rsidRPr="00B93070">
        <w:rPr>
          <w:i/>
        </w:rPr>
        <w:t>50</w:t>
      </w:r>
      <w:r w:rsidR="003E1625" w:rsidRPr="00B93070">
        <w:t>, 6167-6170; For a similar reaction with enones see: b) B. M. Trost, P. J. Morris, S. J. Sprague</w:t>
      </w:r>
      <w:r w:rsidR="003E1625" w:rsidRPr="00B93070">
        <w:rPr>
          <w:i/>
        </w:rPr>
        <w:t xml:space="preserve">, J. Am. </w:t>
      </w:r>
      <w:r w:rsidR="003E1625" w:rsidRPr="00B93070">
        <w:rPr>
          <w:i/>
          <w:lang w:val="de-DE"/>
        </w:rPr>
        <w:t>Chem. Soc</w:t>
      </w:r>
      <w:r w:rsidR="003E1625" w:rsidRPr="00B93070">
        <w:rPr>
          <w:lang w:val="de-DE"/>
        </w:rPr>
        <w:t xml:space="preserve">. </w:t>
      </w:r>
      <w:r w:rsidR="003E1625" w:rsidRPr="00B93070">
        <w:rPr>
          <w:b/>
          <w:lang w:val="de-DE"/>
        </w:rPr>
        <w:t>2012</w:t>
      </w:r>
      <w:r w:rsidR="003E1625" w:rsidRPr="00B93070">
        <w:rPr>
          <w:lang w:val="de-DE"/>
        </w:rPr>
        <w:t xml:space="preserve">, </w:t>
      </w:r>
      <w:r w:rsidR="003E1625" w:rsidRPr="00B93070">
        <w:rPr>
          <w:i/>
          <w:lang w:val="de-DE"/>
        </w:rPr>
        <w:t>134</w:t>
      </w:r>
      <w:r w:rsidR="003E1625" w:rsidRPr="00B93070">
        <w:rPr>
          <w:lang w:val="de-DE"/>
        </w:rPr>
        <w:t>, 17823–17831.</w:t>
      </w:r>
    </w:p>
    <w:p w:rsidR="003E1625" w:rsidRPr="00B93070" w:rsidRDefault="00D84C72" w:rsidP="003E1625">
      <w:pPr>
        <w:pStyle w:val="References"/>
        <w:pBdr>
          <w:top w:val="single" w:sz="12" w:space="1" w:color="999999"/>
        </w:pBdr>
        <w:rPr>
          <w:lang w:val="de-DE"/>
        </w:rPr>
      </w:pPr>
      <w:r w:rsidRPr="00B93070">
        <w:rPr>
          <w:lang w:val="de-DE"/>
        </w:rPr>
        <w:t>[18</w:t>
      </w:r>
      <w:r w:rsidR="003E1625" w:rsidRPr="00B93070">
        <w:rPr>
          <w:lang w:val="de-DE"/>
        </w:rPr>
        <w:t>]</w:t>
      </w:r>
      <w:r w:rsidR="003E1625" w:rsidRPr="00B93070">
        <w:rPr>
          <w:lang w:val="de-DE"/>
        </w:rPr>
        <w:tab/>
        <w:t xml:space="preserve">F. Wei, C.-L. Ren, D. Wang, L. Liu, </w:t>
      </w:r>
      <w:r w:rsidR="003E1625" w:rsidRPr="00B93070">
        <w:rPr>
          <w:i/>
          <w:lang w:val="de-DE"/>
        </w:rPr>
        <w:t>Chem. Eur. J.</w:t>
      </w:r>
      <w:r w:rsidR="003E1625" w:rsidRPr="00B93070">
        <w:rPr>
          <w:lang w:val="de-DE"/>
        </w:rPr>
        <w:t xml:space="preserve"> </w:t>
      </w:r>
      <w:r w:rsidR="003E1625" w:rsidRPr="00B93070">
        <w:rPr>
          <w:b/>
          <w:lang w:val="de-DE"/>
        </w:rPr>
        <w:t>2015</w:t>
      </w:r>
      <w:r w:rsidR="003E1625" w:rsidRPr="00B93070">
        <w:rPr>
          <w:lang w:val="de-DE"/>
        </w:rPr>
        <w:t xml:space="preserve">, </w:t>
      </w:r>
      <w:r w:rsidR="003E1625" w:rsidRPr="00B93070">
        <w:rPr>
          <w:i/>
          <w:lang w:val="de-DE"/>
        </w:rPr>
        <w:t>21</w:t>
      </w:r>
      <w:r w:rsidR="003E1625" w:rsidRPr="00B93070">
        <w:rPr>
          <w:lang w:val="de-DE"/>
        </w:rPr>
        <w:t>, 2335-2338.</w:t>
      </w:r>
    </w:p>
    <w:p w:rsidR="003E1625" w:rsidRPr="00B93070" w:rsidRDefault="00D84C72" w:rsidP="003E1625">
      <w:pPr>
        <w:pStyle w:val="References"/>
        <w:pBdr>
          <w:top w:val="single" w:sz="12" w:space="1" w:color="999999"/>
        </w:pBdr>
      </w:pPr>
      <w:r w:rsidRPr="00B93070">
        <w:t>[19</w:t>
      </w:r>
      <w:r w:rsidR="003E1625" w:rsidRPr="00B93070">
        <w:t>]</w:t>
      </w:r>
      <w:r w:rsidR="003E1625" w:rsidRPr="00B93070">
        <w:tab/>
        <w:t xml:space="preserve">For a review regarding the enantioselective synthesis of spiro compounds see, R. Rios, </w:t>
      </w:r>
      <w:r w:rsidR="003E1625" w:rsidRPr="00B93070">
        <w:rPr>
          <w:i/>
        </w:rPr>
        <w:t>Chem. Soc. Rev.</w:t>
      </w:r>
      <w:r w:rsidR="003E1625" w:rsidRPr="00B93070">
        <w:t xml:space="preserve"> </w:t>
      </w:r>
      <w:r w:rsidR="003E1625" w:rsidRPr="00B93070">
        <w:rPr>
          <w:b/>
        </w:rPr>
        <w:t>2012</w:t>
      </w:r>
      <w:r w:rsidR="003E1625" w:rsidRPr="00B93070">
        <w:t xml:space="preserve">, </w:t>
      </w:r>
      <w:r w:rsidR="003E1625" w:rsidRPr="00B93070">
        <w:rPr>
          <w:i/>
        </w:rPr>
        <w:t>41</w:t>
      </w:r>
      <w:r w:rsidR="003E1625" w:rsidRPr="00B93070">
        <w:t>, 1060-1074.</w:t>
      </w:r>
    </w:p>
    <w:p w:rsidR="003E1625" w:rsidRPr="00B93070" w:rsidRDefault="00D84C72" w:rsidP="003E1625">
      <w:pPr>
        <w:pStyle w:val="References"/>
        <w:pBdr>
          <w:top w:val="single" w:sz="12" w:space="1" w:color="999999"/>
        </w:pBdr>
        <w:rPr>
          <w:lang w:val="de-DE"/>
        </w:rPr>
      </w:pPr>
      <w:r w:rsidRPr="00B93070">
        <w:t>[20</w:t>
      </w:r>
      <w:r w:rsidR="003E1625" w:rsidRPr="00B93070">
        <w:t>]</w:t>
      </w:r>
      <w:r w:rsidR="003E1625" w:rsidRPr="00B93070">
        <w:tab/>
        <w:t xml:space="preserve">a) G. Feuer in Progress in Medicinal Chemistry, Vol. 10 (Eds.: G. P. Ellis, G. B. West), Elsevier, </w:t>
      </w:r>
      <w:r w:rsidR="003E1625" w:rsidRPr="00B93070">
        <w:rPr>
          <w:b/>
        </w:rPr>
        <w:t>1974</w:t>
      </w:r>
      <w:r w:rsidR="003E1625" w:rsidRPr="00B93070">
        <w:t xml:space="preserve">, pp. 85–158; b) D. Leblois, S. Piessard, G. Le Baut, P. Kumar, J.-D. Brion, L. Sparfel, R.-Y. Sanchez, M. Juge, J.-Y. Petit, L. Welin, </w:t>
      </w:r>
      <w:r w:rsidR="003E1625" w:rsidRPr="00B93070">
        <w:rPr>
          <w:i/>
        </w:rPr>
        <w:t xml:space="preserve">Eur. J. Med. </w:t>
      </w:r>
      <w:r w:rsidR="003E1625" w:rsidRPr="00B93070">
        <w:rPr>
          <w:i/>
          <w:lang w:val="de-DE"/>
        </w:rPr>
        <w:t>Chem</w:t>
      </w:r>
      <w:r w:rsidR="003E1625" w:rsidRPr="00B93070">
        <w:rPr>
          <w:lang w:val="de-DE"/>
        </w:rPr>
        <w:t xml:space="preserve">. </w:t>
      </w:r>
      <w:r w:rsidR="003E1625" w:rsidRPr="00B93070">
        <w:rPr>
          <w:b/>
          <w:lang w:val="de-DE"/>
        </w:rPr>
        <w:t>1987</w:t>
      </w:r>
      <w:r w:rsidR="003E1625" w:rsidRPr="00B93070">
        <w:rPr>
          <w:lang w:val="de-DE"/>
        </w:rPr>
        <w:t xml:space="preserve">, </w:t>
      </w:r>
      <w:r w:rsidR="003E1625" w:rsidRPr="00B93070">
        <w:rPr>
          <w:i/>
          <w:lang w:val="de-DE"/>
        </w:rPr>
        <w:t>22</w:t>
      </w:r>
      <w:r w:rsidR="003E1625" w:rsidRPr="00B93070">
        <w:rPr>
          <w:lang w:val="de-DE"/>
        </w:rPr>
        <w:t xml:space="preserve">, 229–238; c) K. A. Bello, L. Cheng, J. Griffiths, J. Chem. Soc. Perkin Trans. 2 </w:t>
      </w:r>
      <w:r w:rsidR="003E1625" w:rsidRPr="00B93070">
        <w:rPr>
          <w:b/>
          <w:lang w:val="de-DE"/>
        </w:rPr>
        <w:t>1987</w:t>
      </w:r>
      <w:r w:rsidR="003E1625" w:rsidRPr="00B93070">
        <w:rPr>
          <w:lang w:val="de-DE"/>
        </w:rPr>
        <w:t xml:space="preserve">, 815–818; d) D. B. Hansen, M. M. Joullie, </w:t>
      </w:r>
      <w:r w:rsidR="003E1625" w:rsidRPr="00B93070">
        <w:rPr>
          <w:i/>
          <w:lang w:val="de-DE"/>
        </w:rPr>
        <w:t xml:space="preserve">Chem. Soc. Rev. </w:t>
      </w:r>
      <w:r w:rsidR="003E1625" w:rsidRPr="00B93070">
        <w:rPr>
          <w:b/>
          <w:lang w:val="de-DE"/>
        </w:rPr>
        <w:t>2005</w:t>
      </w:r>
      <w:r w:rsidR="003E1625" w:rsidRPr="00B93070">
        <w:rPr>
          <w:lang w:val="de-DE"/>
        </w:rPr>
        <w:t xml:space="preserve">, </w:t>
      </w:r>
      <w:r w:rsidR="003E1625" w:rsidRPr="00B93070">
        <w:rPr>
          <w:i/>
          <w:lang w:val="de-DE"/>
        </w:rPr>
        <w:t>34</w:t>
      </w:r>
      <w:r w:rsidR="003E1625" w:rsidRPr="00B93070">
        <w:rPr>
          <w:lang w:val="de-DE"/>
        </w:rPr>
        <w:t>, 408–417.</w:t>
      </w:r>
    </w:p>
    <w:p w:rsidR="003E1625" w:rsidRPr="00B93070" w:rsidRDefault="00D84C72" w:rsidP="003E1625">
      <w:pPr>
        <w:pStyle w:val="References"/>
        <w:pBdr>
          <w:top w:val="single" w:sz="12" w:space="1" w:color="999999"/>
        </w:pBdr>
      </w:pPr>
      <w:r w:rsidRPr="00B93070">
        <w:rPr>
          <w:lang w:val="de-DE"/>
        </w:rPr>
        <w:t>[21</w:t>
      </w:r>
      <w:r w:rsidR="003E1625" w:rsidRPr="00B93070">
        <w:rPr>
          <w:lang w:val="de-DE"/>
        </w:rPr>
        <w:t>]</w:t>
      </w:r>
      <w:r w:rsidR="003E1625" w:rsidRPr="00B93070">
        <w:rPr>
          <w:lang w:val="de-DE"/>
        </w:rPr>
        <w:tab/>
        <w:t xml:space="preserve">a) Y. Chen, Y. Lun, J. Ju, E. W. Pienkowski, S. R. Rajski, B. Shen; </w:t>
      </w:r>
      <w:r w:rsidR="003E1625" w:rsidRPr="00B93070">
        <w:rPr>
          <w:i/>
          <w:lang w:val="de-DE"/>
        </w:rPr>
        <w:t>J. Nat. Prod.</w:t>
      </w:r>
      <w:r w:rsidR="003E1625" w:rsidRPr="00B93070">
        <w:rPr>
          <w:lang w:val="de-DE"/>
        </w:rPr>
        <w:t xml:space="preserve"> </w:t>
      </w:r>
      <w:r w:rsidR="003E1625" w:rsidRPr="00B93070">
        <w:rPr>
          <w:b/>
          <w:lang w:val="de-DE"/>
        </w:rPr>
        <w:t>2008</w:t>
      </w:r>
      <w:r w:rsidR="003E1625" w:rsidRPr="00B93070">
        <w:rPr>
          <w:lang w:val="de-DE"/>
        </w:rPr>
        <w:t xml:space="preserve">, </w:t>
      </w:r>
      <w:r w:rsidR="003E1625" w:rsidRPr="00B93070">
        <w:rPr>
          <w:i/>
          <w:lang w:val="de-DE"/>
        </w:rPr>
        <w:t>71</w:t>
      </w:r>
      <w:r w:rsidR="003E1625" w:rsidRPr="00B93070">
        <w:rPr>
          <w:lang w:val="de-DE"/>
        </w:rPr>
        <w:t xml:space="preserve">, 431-437; b) D. L. Boger, O. Heuter, K. Mbiya, M. Zhang, </w:t>
      </w:r>
      <w:r w:rsidR="003E1625" w:rsidRPr="00B93070">
        <w:rPr>
          <w:i/>
          <w:lang w:val="de-DE"/>
        </w:rPr>
        <w:t xml:space="preserve">J. Am. </w:t>
      </w:r>
      <w:r w:rsidR="003E1625" w:rsidRPr="00B93070">
        <w:rPr>
          <w:i/>
        </w:rPr>
        <w:t>Chem. Soc.</w:t>
      </w:r>
      <w:r w:rsidR="003E1625" w:rsidRPr="00B93070">
        <w:t xml:space="preserve"> </w:t>
      </w:r>
      <w:r w:rsidR="003E1625" w:rsidRPr="00B93070">
        <w:rPr>
          <w:b/>
        </w:rPr>
        <w:t>1995</w:t>
      </w:r>
      <w:r w:rsidR="003E1625" w:rsidRPr="00B93070">
        <w:t xml:space="preserve">, </w:t>
      </w:r>
      <w:r w:rsidR="003E1625" w:rsidRPr="00B93070">
        <w:rPr>
          <w:i/>
        </w:rPr>
        <w:t>117</w:t>
      </w:r>
      <w:r w:rsidR="003E1625" w:rsidRPr="00B93070">
        <w:t xml:space="preserve">, 11839-11849. </w:t>
      </w:r>
    </w:p>
    <w:p w:rsidR="003E1625" w:rsidRPr="00B93070" w:rsidRDefault="00D84C72" w:rsidP="003E1625">
      <w:pPr>
        <w:pStyle w:val="References"/>
        <w:pBdr>
          <w:top w:val="single" w:sz="12" w:space="1" w:color="999999"/>
        </w:pBdr>
        <w:rPr>
          <w:lang w:val="en-US"/>
        </w:rPr>
      </w:pPr>
      <w:r w:rsidRPr="00B93070">
        <w:t>[22</w:t>
      </w:r>
      <w:r w:rsidR="003E1625" w:rsidRPr="00B93070">
        <w:t xml:space="preserve">] </w:t>
      </w:r>
      <w:r w:rsidR="003E1625" w:rsidRPr="00B93070">
        <w:tab/>
        <w:t>For examples of our previous works in organocatalysis: (</w:t>
      </w:r>
      <w:r w:rsidR="003E1625" w:rsidRPr="00B93070">
        <w:rPr>
          <w:lang w:val="en-US"/>
        </w:rPr>
        <w:t xml:space="preserve">a) X. Companyo, A. Moyano, A. Mazzanti, A. Janecka,  R. Rios, </w:t>
      </w:r>
      <w:r w:rsidR="003E1625" w:rsidRPr="00B93070">
        <w:rPr>
          <w:i/>
          <w:lang w:val="en-US"/>
        </w:rPr>
        <w:t>Chem. Commun</w:t>
      </w:r>
      <w:r w:rsidR="003E1625" w:rsidRPr="00B93070">
        <w:rPr>
          <w:lang w:val="en-US"/>
        </w:rPr>
        <w:t xml:space="preserve">. </w:t>
      </w:r>
      <w:r w:rsidR="003E1625" w:rsidRPr="00B93070">
        <w:rPr>
          <w:b/>
          <w:lang w:val="en-US"/>
        </w:rPr>
        <w:t>2013</w:t>
      </w:r>
      <w:r w:rsidR="003E1625" w:rsidRPr="00B93070">
        <w:rPr>
          <w:lang w:val="en-US"/>
        </w:rPr>
        <w:t xml:space="preserve">, </w:t>
      </w:r>
      <w:r w:rsidR="003E1625" w:rsidRPr="00B93070">
        <w:rPr>
          <w:i/>
          <w:lang w:val="en-US"/>
        </w:rPr>
        <w:t>49</w:t>
      </w:r>
      <w:r w:rsidR="003E1625" w:rsidRPr="00B93070">
        <w:rPr>
          <w:lang w:val="en-US"/>
        </w:rPr>
        <w:t>, 1184-1186.</w:t>
      </w:r>
    </w:p>
    <w:p w:rsidR="003E1625" w:rsidRPr="00B93070" w:rsidRDefault="00D84C72" w:rsidP="003E1625">
      <w:pPr>
        <w:pStyle w:val="References"/>
        <w:pBdr>
          <w:top w:val="single" w:sz="12" w:space="1" w:color="999999"/>
        </w:pBdr>
        <w:rPr>
          <w:lang w:val="en-US"/>
        </w:rPr>
      </w:pPr>
      <w:r w:rsidRPr="00B93070">
        <w:rPr>
          <w:lang w:val="en-US"/>
        </w:rPr>
        <w:t>[23</w:t>
      </w:r>
      <w:r w:rsidR="003E1625" w:rsidRPr="00B93070">
        <w:rPr>
          <w:lang w:val="en-US"/>
        </w:rPr>
        <w:t>]</w:t>
      </w:r>
      <w:r w:rsidR="003E1625" w:rsidRPr="00B93070">
        <w:rPr>
          <w:lang w:val="en-US"/>
        </w:rPr>
        <w:tab/>
        <w:t xml:space="preserve">For example: R. Rios, </w:t>
      </w:r>
      <w:r w:rsidR="003E1625" w:rsidRPr="00B93070">
        <w:rPr>
          <w:lang w:eastAsia="zh-CN"/>
        </w:rPr>
        <w:t>H. Sunden, J. Vesely, G.-L. Zhao, P. Dziedzic,</w:t>
      </w:r>
      <w:r w:rsidR="003E1625" w:rsidRPr="00B93070">
        <w:rPr>
          <w:lang w:val="en-US"/>
        </w:rPr>
        <w:t xml:space="preserve"> </w:t>
      </w:r>
      <w:r w:rsidR="003E1625" w:rsidRPr="00B93070">
        <w:rPr>
          <w:lang w:eastAsia="zh-CN"/>
        </w:rPr>
        <w:t xml:space="preserve">A.Córdova, </w:t>
      </w:r>
      <w:r w:rsidR="003E1625" w:rsidRPr="00B93070">
        <w:rPr>
          <w:i/>
          <w:iCs/>
          <w:lang w:eastAsia="zh-CN"/>
        </w:rPr>
        <w:t xml:space="preserve">Adv. Synth. Catal. </w:t>
      </w:r>
      <w:r w:rsidR="003E1625" w:rsidRPr="00B93070">
        <w:rPr>
          <w:b/>
          <w:bCs/>
          <w:lang w:eastAsia="zh-CN"/>
        </w:rPr>
        <w:t>2007</w:t>
      </w:r>
      <w:r w:rsidR="003E1625" w:rsidRPr="00B93070">
        <w:rPr>
          <w:lang w:eastAsia="zh-CN"/>
        </w:rPr>
        <w:t xml:space="preserve">, </w:t>
      </w:r>
      <w:r w:rsidR="003E1625" w:rsidRPr="00B93070">
        <w:rPr>
          <w:i/>
          <w:iCs/>
          <w:lang w:eastAsia="zh-CN"/>
        </w:rPr>
        <w:t>349</w:t>
      </w:r>
      <w:r w:rsidR="003E1625" w:rsidRPr="00B93070">
        <w:rPr>
          <w:lang w:eastAsia="zh-CN"/>
        </w:rPr>
        <w:t>, 1028-1032</w:t>
      </w:r>
      <w:r w:rsidR="003E1625" w:rsidRPr="00B93070">
        <w:rPr>
          <w:lang w:val="en-US"/>
        </w:rPr>
        <w:t>.</w:t>
      </w:r>
    </w:p>
    <w:p w:rsidR="00C2354F" w:rsidRPr="00B93070" w:rsidRDefault="00D84C72" w:rsidP="003E1625">
      <w:pPr>
        <w:pStyle w:val="References"/>
        <w:pBdr>
          <w:top w:val="single" w:sz="12" w:space="1" w:color="999999"/>
        </w:pBdr>
        <w:rPr>
          <w:lang w:val="en-US"/>
        </w:rPr>
      </w:pPr>
      <w:r w:rsidRPr="00B93070">
        <w:rPr>
          <w:lang w:val="en-US"/>
        </w:rPr>
        <w:t>[24</w:t>
      </w:r>
      <w:r w:rsidR="00C2354F" w:rsidRPr="00B93070">
        <w:rPr>
          <w:lang w:val="en-US"/>
        </w:rPr>
        <w:t>]</w:t>
      </w:r>
      <w:r w:rsidR="00C2354F" w:rsidRPr="00B93070">
        <w:rPr>
          <w:lang w:val="en-US"/>
        </w:rPr>
        <w:tab/>
        <w:t xml:space="preserve">S. C. Wang, D. M. Troast, M. Conda-Sheridan, G. Zuo, D. LaGarde, J. Louie, D. J. Tantillo, </w:t>
      </w:r>
      <w:r w:rsidR="00C2354F" w:rsidRPr="00B93070">
        <w:rPr>
          <w:i/>
          <w:lang w:val="en-US"/>
        </w:rPr>
        <w:t>J. Org. Chem</w:t>
      </w:r>
      <w:r w:rsidR="00C2354F" w:rsidRPr="00B93070">
        <w:rPr>
          <w:lang w:val="en-US"/>
        </w:rPr>
        <w:t xml:space="preserve">. </w:t>
      </w:r>
      <w:r w:rsidR="00C2354F" w:rsidRPr="00B93070">
        <w:rPr>
          <w:b/>
          <w:lang w:val="en-US"/>
        </w:rPr>
        <w:t>2009</w:t>
      </w:r>
      <w:r w:rsidR="00C2354F" w:rsidRPr="00B93070">
        <w:rPr>
          <w:lang w:val="en-US"/>
        </w:rPr>
        <w:t xml:space="preserve">, </w:t>
      </w:r>
      <w:r w:rsidR="00C2354F" w:rsidRPr="00B93070">
        <w:rPr>
          <w:i/>
          <w:lang w:val="en-US"/>
        </w:rPr>
        <w:t>74</w:t>
      </w:r>
      <w:r w:rsidR="00C2354F" w:rsidRPr="00B93070">
        <w:rPr>
          <w:lang w:val="en-US"/>
        </w:rPr>
        <w:t>, 7822-7833.</w:t>
      </w:r>
    </w:p>
    <w:p w:rsidR="003E1625" w:rsidRPr="00B93070" w:rsidRDefault="00D84C72" w:rsidP="003E1625">
      <w:pPr>
        <w:pStyle w:val="References"/>
        <w:pBdr>
          <w:top w:val="single" w:sz="12" w:space="1" w:color="999999"/>
        </w:pBdr>
      </w:pPr>
      <w:r w:rsidRPr="00B93070">
        <w:rPr>
          <w:lang w:val="en-US"/>
        </w:rPr>
        <w:t>[25</w:t>
      </w:r>
      <w:r w:rsidR="003E1625" w:rsidRPr="00B93070">
        <w:rPr>
          <w:lang w:val="en-US"/>
        </w:rPr>
        <w:t>]</w:t>
      </w:r>
      <w:r w:rsidR="003E1625" w:rsidRPr="00B93070">
        <w:rPr>
          <w:lang w:val="en-US"/>
        </w:rPr>
        <w:tab/>
      </w:r>
      <w:r w:rsidR="003E1625" w:rsidRPr="00B93070">
        <w:t xml:space="preserve">A suitable crystal was selected and mounted on a </w:t>
      </w:r>
      <w:r w:rsidR="003E1625" w:rsidRPr="00B93070">
        <w:rPr>
          <w:rFonts w:eastAsia="Times New Roman"/>
          <w:bCs/>
        </w:rPr>
        <w:t>dtrek-CrysAlisPro-abstract goniometer imported rigaku-d*trek images</w:t>
      </w:r>
      <w:r w:rsidR="003E1625" w:rsidRPr="00B93070">
        <w:rPr>
          <w:rFonts w:eastAsia="Times New Roman"/>
        </w:rPr>
        <w:t xml:space="preserve"> diffractometer</w:t>
      </w:r>
      <w:r w:rsidR="003E1625" w:rsidRPr="00B93070">
        <w:t xml:space="preserve">. The crystal was kept at T = 100(2) K during data collection. Using Olex2 (O. V. Dolomanov, L. J. Bourhis, R. J. Gildea, J. A. K Howard, H. Puschmann, </w:t>
      </w:r>
      <w:r w:rsidR="003E1625" w:rsidRPr="00B93070">
        <w:rPr>
          <w:i/>
        </w:rPr>
        <w:t>J. Appl. Cryst.</w:t>
      </w:r>
      <w:r w:rsidR="003E1625" w:rsidRPr="00B93070">
        <w:t xml:space="preserve"> </w:t>
      </w:r>
      <w:r w:rsidR="003E1625" w:rsidRPr="00B93070">
        <w:rPr>
          <w:b/>
        </w:rPr>
        <w:t>2009</w:t>
      </w:r>
      <w:r w:rsidR="003E1625" w:rsidRPr="00B93070">
        <w:t xml:space="preserve">, </w:t>
      </w:r>
      <w:r w:rsidR="003E1625" w:rsidRPr="00B93070">
        <w:rPr>
          <w:i/>
        </w:rPr>
        <w:t>42</w:t>
      </w:r>
      <w:r w:rsidR="003E1625" w:rsidRPr="00B93070">
        <w:t xml:space="preserve">, 339-341.), the structure was solved with the ShelXT (G.M. Sheldrick,  </w:t>
      </w:r>
      <w:r w:rsidR="003E1625" w:rsidRPr="00B93070">
        <w:rPr>
          <w:i/>
        </w:rPr>
        <w:t>Acta Cryst.</w:t>
      </w:r>
      <w:r w:rsidR="003E1625" w:rsidRPr="00B93070">
        <w:t xml:space="preserve"> </w:t>
      </w:r>
      <w:r w:rsidR="003E1625" w:rsidRPr="00B93070">
        <w:rPr>
          <w:b/>
        </w:rPr>
        <w:t>2015</w:t>
      </w:r>
      <w:r w:rsidR="003E1625" w:rsidRPr="00B93070">
        <w:t xml:space="preserve">, </w:t>
      </w:r>
      <w:r w:rsidR="003E1625" w:rsidRPr="00B93070">
        <w:rPr>
          <w:i/>
        </w:rPr>
        <w:t>A71</w:t>
      </w:r>
      <w:r w:rsidR="003E1625" w:rsidRPr="00B93070">
        <w:t xml:space="preserve">, 3-8.) structure solution program, using the Direct Methods solution method and refined with the ShelXL (G.M. Sheldrick,  </w:t>
      </w:r>
      <w:r w:rsidR="003E1625" w:rsidRPr="00B93070">
        <w:rPr>
          <w:i/>
        </w:rPr>
        <w:t>Acta Cryst.</w:t>
      </w:r>
      <w:r w:rsidR="003E1625" w:rsidRPr="00B93070">
        <w:t xml:space="preserve"> 2015, </w:t>
      </w:r>
      <w:r w:rsidR="003E1625" w:rsidRPr="00B93070">
        <w:rPr>
          <w:i/>
        </w:rPr>
        <w:t>C71</w:t>
      </w:r>
      <w:r w:rsidR="003E1625" w:rsidRPr="00B93070">
        <w:t xml:space="preserve">, 3-8) refinement package using Least Squares minimisation. Crystal Data for C22H17FO3 (M =348.35 g/mol): monoclinic, space group P21 (no. 4), a = 12.28394(19) Å, b = 9.25225(14) Å, c = 15.6776(2) Å, β = 90.6893(12)°, V = 1781.69(4) Å3, Z = 4, T = 100(2) K, μ(CuKα) = 0.763 mm-1, Dcalc = 1.299 g/cm3, 35672 reflections measured (5.638° ≤ 2Θ ≤ 140.746°), 6464 unique (Rint = 0.0272, Rsigma = 0.0149) which were used in all calculations. The final R1 was 0.0403 (I &gt; 2σ(I)) and wR2 was 0.1112 (all data). Crystallographic data (excluding structure factors) for the structure </w:t>
      </w:r>
      <w:r w:rsidR="003E1625" w:rsidRPr="00B93070">
        <w:rPr>
          <w:b/>
        </w:rPr>
        <w:t>7e</w:t>
      </w:r>
      <w:r w:rsidR="003E1625" w:rsidRPr="00B93070">
        <w:t xml:space="preserve"> have been deposited with the Cambridge Crystallographic Data Centre with CCDC number 1442949. Copies of the data can be obtained, free of charge, on application to Cambridge Crystallographic Data Centre, 12 Union Road, Cambridge CB2 1EZ, UK, (fax: +44-(0)1223-336033 or e-mail: </w:t>
      </w:r>
      <w:hyperlink r:id="rId32" w:history="1">
        <w:r w:rsidR="003E1625" w:rsidRPr="00B93070">
          <w:rPr>
            <w:rStyle w:val="Hyperlink"/>
            <w:szCs w:val="16"/>
          </w:rPr>
          <w:t>deposit@ccdc.cam.ac.uk</w:t>
        </w:r>
      </w:hyperlink>
      <w:r w:rsidR="003E1625" w:rsidRPr="00B93070">
        <w:t>)</w:t>
      </w:r>
    </w:p>
    <w:p w:rsidR="00BE3B0B" w:rsidRPr="00B93070" w:rsidRDefault="00D84C72" w:rsidP="00BE3B0B">
      <w:pPr>
        <w:pStyle w:val="References"/>
        <w:pBdr>
          <w:top w:val="single" w:sz="12" w:space="1" w:color="999999"/>
        </w:pBdr>
      </w:pPr>
      <w:r w:rsidRPr="00B93070">
        <w:t>[26</w:t>
      </w:r>
      <w:r w:rsidR="00BE3B0B" w:rsidRPr="00B93070">
        <w:t>]</w:t>
      </w:r>
      <w:r w:rsidR="00BE3B0B" w:rsidRPr="00B93070">
        <w:tab/>
        <w:t>After the initial submission of this work, two groups independently reported similar vinylcyclopropan</w:t>
      </w:r>
      <w:r w:rsidR="00AB7BB3" w:rsidRPr="00B93070">
        <w:t>e</w:t>
      </w:r>
      <w:r w:rsidR="00BE3B0B" w:rsidRPr="00B93070">
        <w:t xml:space="preserve"> cycloadditions with enals: a) M. Laugeois, S. Ponra, V. Ratovelomanana-Vidal, V. Michelet, M. R. Vitale, </w:t>
      </w:r>
      <w:r w:rsidR="00BE3B0B" w:rsidRPr="00B93070">
        <w:rPr>
          <w:i/>
        </w:rPr>
        <w:t>Chem. Commun</w:t>
      </w:r>
      <w:r w:rsidR="00BE3B0B" w:rsidRPr="00B93070">
        <w:t xml:space="preserve">. </w:t>
      </w:r>
      <w:r w:rsidR="00DF31E4" w:rsidRPr="00B93070">
        <w:rPr>
          <w:b/>
        </w:rPr>
        <w:t>2016</w:t>
      </w:r>
      <w:r w:rsidR="00DF31E4" w:rsidRPr="00B93070">
        <w:t xml:space="preserve">, </w:t>
      </w:r>
      <w:r w:rsidR="00DF31E4" w:rsidRPr="00B93070">
        <w:rPr>
          <w:i/>
        </w:rPr>
        <w:t>52</w:t>
      </w:r>
      <w:r w:rsidR="007B317C" w:rsidRPr="00B93070">
        <w:t>, 5332-5335; b) K. S. Halskov,</w:t>
      </w:r>
      <w:r w:rsidR="00DF31E4" w:rsidRPr="00B93070">
        <w:t xml:space="preserve"> L. Na</w:t>
      </w:r>
      <w:r w:rsidR="007B317C" w:rsidRPr="00B93070">
        <w:t>e</w:t>
      </w:r>
      <w:r w:rsidR="00DF31E4" w:rsidRPr="00B93070">
        <w:t xml:space="preserve">sborg, F. Tur, K. A. Jorgensen, </w:t>
      </w:r>
      <w:r w:rsidR="00DF31E4" w:rsidRPr="00B93070">
        <w:rPr>
          <w:i/>
        </w:rPr>
        <w:t xml:space="preserve">Org. Lett. </w:t>
      </w:r>
      <w:r w:rsidR="00DF31E4" w:rsidRPr="00B93070">
        <w:rPr>
          <w:b/>
        </w:rPr>
        <w:t>2016</w:t>
      </w:r>
      <w:r w:rsidR="00DF31E4" w:rsidRPr="00B93070">
        <w:t xml:space="preserve">, </w:t>
      </w:r>
      <w:r w:rsidR="00DF31E4" w:rsidRPr="00B93070">
        <w:rPr>
          <w:i/>
        </w:rPr>
        <w:t>16</w:t>
      </w:r>
      <w:r w:rsidR="00DF31E4" w:rsidRPr="00B93070">
        <w:t>, 2220-2223.</w:t>
      </w:r>
    </w:p>
    <w:p w:rsidR="001F4EE4" w:rsidRPr="00B93070" w:rsidRDefault="001F4EE4" w:rsidP="001F4EE4">
      <w:pPr>
        <w:pStyle w:val="History"/>
        <w:rPr>
          <w:lang w:val="en-GB"/>
        </w:rPr>
      </w:pPr>
      <w:r w:rsidRPr="00B93070">
        <w:rPr>
          <w:lang w:val="en-GB"/>
        </w:rPr>
        <w:t>Received: ((</w:t>
      </w:r>
      <w:r w:rsidRPr="00B93070">
        <w:rPr>
          <w:color w:val="FF0000"/>
          <w:lang w:val="en-GB"/>
        </w:rPr>
        <w:t>will be filled in by the editorial staff</w:t>
      </w:r>
      <w:r w:rsidRPr="00B93070">
        <w:rPr>
          <w:lang w:val="en-GB"/>
        </w:rPr>
        <w:t>))</w:t>
      </w:r>
      <w:r w:rsidRPr="00B93070">
        <w:rPr>
          <w:lang w:val="en-GB"/>
        </w:rPr>
        <w:br/>
        <w:t>Revised: ((</w:t>
      </w:r>
      <w:r w:rsidRPr="00B93070">
        <w:rPr>
          <w:color w:val="FF0000"/>
          <w:lang w:val="en-GB"/>
        </w:rPr>
        <w:t>will be filled in by the edito</w:t>
      </w:r>
      <w:r w:rsidR="00B03934" w:rsidRPr="00B93070">
        <w:rPr>
          <w:color w:val="FF0000"/>
          <w:lang w:val="en-GB"/>
        </w:rPr>
        <w:t>rial staff</w:t>
      </w:r>
      <w:r w:rsidR="00B03934" w:rsidRPr="00B93070">
        <w:rPr>
          <w:lang w:val="en-GB"/>
        </w:rPr>
        <w:t>))</w:t>
      </w:r>
      <w:r w:rsidR="00B03934" w:rsidRPr="00B93070">
        <w:rPr>
          <w:lang w:val="en-GB"/>
        </w:rPr>
        <w:br/>
        <w:t>Published online:</w:t>
      </w:r>
      <w:r w:rsidRPr="00B93070">
        <w:rPr>
          <w:lang w:val="en-GB"/>
        </w:rPr>
        <w:t xml:space="preserve"> ((</w:t>
      </w:r>
      <w:r w:rsidRPr="00B93070">
        <w:rPr>
          <w:color w:val="FF0000"/>
          <w:lang w:val="en-GB"/>
        </w:rPr>
        <w:t>will be filled in by the editorial staff</w:t>
      </w:r>
      <w:r w:rsidRPr="00B93070">
        <w:rPr>
          <w:lang w:val="en-GB"/>
        </w:rPr>
        <w:t>))</w:t>
      </w:r>
    </w:p>
    <w:p w:rsidR="00764F01" w:rsidRPr="00B93070" w:rsidRDefault="00764F01" w:rsidP="00EF26EB">
      <w:pPr>
        <w:rPr>
          <w:lang w:val="en-GB"/>
        </w:rPr>
      </w:pPr>
    </w:p>
    <w:p w:rsidR="00F7230C" w:rsidRPr="00B93070" w:rsidRDefault="00F7230C" w:rsidP="00EF26EB">
      <w:pPr>
        <w:rPr>
          <w:lang w:val="en-GB"/>
        </w:rPr>
        <w:sectPr w:rsidR="00F7230C" w:rsidRPr="00B93070" w:rsidSect="0090579F">
          <w:type w:val="continuous"/>
          <w:pgSz w:w="11906" w:h="16838" w:code="9"/>
          <w:pgMar w:top="1134" w:right="851" w:bottom="1225" w:left="1077" w:header="709" w:footer="709" w:gutter="0"/>
          <w:cols w:num="2" w:space="397"/>
          <w:docGrid w:linePitch="360"/>
        </w:sectPr>
      </w:pPr>
    </w:p>
    <w:p w:rsidR="005A5B2D" w:rsidRPr="00B93070" w:rsidRDefault="004F5C0B" w:rsidP="00E76CD4">
      <w:pPr>
        <w:rPr>
          <w:lang w:val="en-GB"/>
        </w:rPr>
        <w:sectPr w:rsidR="005A5B2D" w:rsidRPr="00B93070" w:rsidSect="0090579F">
          <w:type w:val="continuous"/>
          <w:pgSz w:w="11906" w:h="16838" w:code="9"/>
          <w:pgMar w:top="1191" w:right="851" w:bottom="1225" w:left="1077" w:header="709" w:footer="709" w:gutter="0"/>
          <w:cols w:space="720"/>
          <w:docGrid w:linePitch="360"/>
        </w:sectPr>
      </w:pPr>
      <w:r w:rsidRPr="00B93070">
        <w:rPr>
          <w:noProof/>
          <w:lang w:val="en-GB" w:eastAsia="en-GB"/>
        </w:rPr>
        <mc:AlternateContent>
          <mc:Choice Requires="wps">
            <w:drawing>
              <wp:anchor distT="0" distB="0" distL="114300" distR="114300" simplePos="0" relativeHeight="251651584" behindDoc="0" locked="0" layoutInCell="1" allowOverlap="1">
                <wp:simplePos x="0" y="0"/>
                <wp:positionH relativeFrom="column">
                  <wp:posOffset>2753360</wp:posOffset>
                </wp:positionH>
                <wp:positionV relativeFrom="paragraph">
                  <wp:posOffset>13970</wp:posOffset>
                </wp:positionV>
                <wp:extent cx="972185" cy="0"/>
                <wp:effectExtent l="8255" t="7620" r="10160" b="1143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8DEC2" id="Line 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8pt,1.1pt" to="293.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" strokeweight="1pt"/>
            </w:pict>
          </mc:Fallback>
        </mc:AlternateContent>
      </w:r>
    </w:p>
    <w:p w:rsidR="00E76CD4" w:rsidRPr="00B93070" w:rsidRDefault="00E76CD4" w:rsidP="00E76CD4">
      <w:pPr>
        <w:rPr>
          <w:lang w:val="en-GB"/>
        </w:rPr>
      </w:pPr>
    </w:p>
    <w:p w:rsidR="008408A1" w:rsidRPr="00B93070" w:rsidRDefault="008408A1" w:rsidP="008408A1">
      <w:pPr>
        <w:rPr>
          <w:b/>
          <w:lang w:val="en-GB"/>
        </w:rPr>
      </w:pPr>
      <w:r w:rsidRPr="00B93070">
        <w:rPr>
          <w:b/>
          <w:lang w:val="en-GB"/>
        </w:rPr>
        <w:t>Entry for the Table of Contents</w:t>
      </w:r>
      <w:r w:rsidRPr="00B93070">
        <w:rPr>
          <w:lang w:val="en-GB"/>
        </w:rPr>
        <w:t xml:space="preserve"> (Please choose one layout</w:t>
      </w:r>
      <w:r w:rsidR="00830DDE" w:rsidRPr="00B93070">
        <w:rPr>
          <w:lang w:val="en-GB"/>
        </w:rPr>
        <w:t xml:space="preserve"> only</w:t>
      </w:r>
      <w:r w:rsidRPr="00B93070">
        <w:rPr>
          <w:lang w:val="en-GB"/>
        </w:rPr>
        <w:t>)</w:t>
      </w:r>
    </w:p>
    <w:p w:rsidR="008408A1" w:rsidRPr="00B93070" w:rsidRDefault="008408A1" w:rsidP="008408A1">
      <w:pPr>
        <w:rPr>
          <w:b/>
          <w:lang w:val="en-GB"/>
        </w:rPr>
      </w:pPr>
    </w:p>
    <w:p w:rsidR="008408A1" w:rsidRPr="00B93070" w:rsidRDefault="008408A1" w:rsidP="008408A1">
      <w:pPr>
        <w:spacing w:after="240"/>
        <w:rPr>
          <w:lang w:val="en-GB"/>
        </w:rPr>
      </w:pPr>
      <w:r w:rsidRPr="00B93070">
        <w:rPr>
          <w:lang w:val="en-GB"/>
        </w:rPr>
        <w:t>Layout 1:</w:t>
      </w:r>
    </w:p>
    <w:tbl>
      <w:tblPr>
        <w:tblW w:w="10036" w:type="dxa"/>
        <w:tblLayout w:type="fixed"/>
        <w:tblLook w:val="01E0" w:firstRow="1" w:lastRow="1" w:firstColumn="1" w:lastColumn="1" w:noHBand="0" w:noVBand="0"/>
      </w:tblPr>
      <w:tblGrid>
        <w:gridCol w:w="3157"/>
        <w:gridCol w:w="283"/>
        <w:gridCol w:w="3024"/>
        <w:gridCol w:w="289"/>
        <w:gridCol w:w="3283"/>
      </w:tblGrid>
      <w:tr w:rsidR="00862B2D" w:rsidRPr="00B93070">
        <w:tc>
          <w:tcPr>
            <w:tcW w:w="3119" w:type="dxa"/>
            <w:tcBorders>
              <w:top w:val="single" w:sz="8" w:space="0" w:color="FF0000"/>
              <w:bottom w:val="single" w:sz="8" w:space="0" w:color="FF0000"/>
            </w:tcBorders>
            <w:shd w:val="clear" w:color="auto" w:fill="auto"/>
            <w:tcMar>
              <w:right w:w="0" w:type="dxa"/>
            </w:tcMar>
          </w:tcPr>
          <w:p w:rsidR="00862B2D" w:rsidRPr="00B93070" w:rsidRDefault="003E1625" w:rsidP="002A2A33">
            <w:pPr>
              <w:pStyle w:val="ColumnTitleTOC"/>
              <w:spacing w:before="60" w:after="60"/>
              <w:jc w:val="left"/>
              <w:rPr>
                <w:rFonts w:ascii="Times New Roman" w:hAnsi="Times New Roman" w:cs="Times New Roman"/>
                <w:sz w:val="20"/>
                <w:szCs w:val="20"/>
              </w:rPr>
            </w:pPr>
            <w:r w:rsidRPr="00B93070">
              <w:rPr>
                <w:rFonts w:ascii="Times New Roman" w:hAnsi="Times New Roman" w:cs="Times New Roman"/>
                <w:sz w:val="20"/>
                <w:szCs w:val="20"/>
              </w:rPr>
              <w:t>Synergistic Catalysis</w:t>
            </w:r>
            <w:r w:rsidR="00862B2D" w:rsidRPr="00B93070">
              <w:rPr>
                <w:rFonts w:ascii="Times New Roman" w:hAnsi="Times New Roman" w:cs="Times New Roman"/>
                <w:sz w:val="20"/>
                <w:szCs w:val="20"/>
              </w:rPr>
              <w:t xml:space="preserve">  </w:t>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r w:rsidR="00862B2D" w:rsidRPr="00B93070">
              <w:rPr>
                <w:rFonts w:ascii="Times New Roman" w:hAnsi="Times New Roman" w:cs="Times New Roman"/>
                <w:color w:val="FF0000"/>
                <w:sz w:val="20"/>
                <w:szCs w:val="20"/>
              </w:rPr>
              <w:sym w:font="Symbol" w:char="F02D"/>
            </w:r>
          </w:p>
        </w:tc>
        <w:tc>
          <w:tcPr>
            <w:tcW w:w="280" w:type="dxa"/>
            <w:vMerge w:val="restart"/>
            <w:shd w:val="clear" w:color="auto" w:fill="auto"/>
            <w:vAlign w:val="center"/>
          </w:tcPr>
          <w:p w:rsidR="00862B2D" w:rsidRPr="00B93070" w:rsidRDefault="00862B2D" w:rsidP="00A60E0C">
            <w:pPr>
              <w:jc w:val="center"/>
              <w:rPr>
                <w:color w:val="000000"/>
                <w:sz w:val="18"/>
                <w:szCs w:val="18"/>
                <w:lang w:val="en-GB"/>
              </w:rPr>
            </w:pPr>
          </w:p>
        </w:tc>
        <w:tc>
          <w:tcPr>
            <w:tcW w:w="2987" w:type="dxa"/>
            <w:vMerge w:val="restart"/>
            <w:shd w:val="clear" w:color="auto" w:fill="F3F3F3"/>
            <w:vAlign w:val="center"/>
          </w:tcPr>
          <w:p w:rsidR="00862B2D" w:rsidRPr="00B93070" w:rsidRDefault="003E1625" w:rsidP="00A60E0C">
            <w:pPr>
              <w:jc w:val="center"/>
              <w:rPr>
                <w:color w:val="000000"/>
                <w:sz w:val="18"/>
                <w:szCs w:val="18"/>
                <w:lang w:val="en-GB"/>
              </w:rPr>
            </w:pPr>
            <w:r w:rsidRPr="00B93070">
              <w:object w:dxaOrig="10336" w:dyaOrig="10271">
                <v:shape id="_x0000_i1025" type="#_x0000_t75" style="width:141.95pt;height:142.45pt" o:ole="">
                  <v:imagedata r:id="rId33" o:title=""/>
                </v:shape>
                <o:OLEObject Type="Embed" ProgID="ChemDraw.Document.6.0" ShapeID="_x0000_i1025" DrawAspect="Content" ObjectID="_1525078361" r:id="rId34"/>
              </w:object>
            </w:r>
          </w:p>
        </w:tc>
        <w:tc>
          <w:tcPr>
            <w:tcW w:w="285" w:type="dxa"/>
            <w:vMerge w:val="restart"/>
            <w:shd w:val="clear" w:color="auto" w:fill="auto"/>
            <w:vAlign w:val="center"/>
          </w:tcPr>
          <w:p w:rsidR="00862B2D" w:rsidRPr="00B93070" w:rsidRDefault="00862B2D" w:rsidP="00A60E0C">
            <w:pPr>
              <w:jc w:val="center"/>
              <w:rPr>
                <w:color w:val="000000"/>
                <w:sz w:val="18"/>
                <w:szCs w:val="18"/>
                <w:lang w:val="en-GB"/>
              </w:rPr>
            </w:pPr>
          </w:p>
        </w:tc>
        <w:tc>
          <w:tcPr>
            <w:tcW w:w="3243" w:type="dxa"/>
            <w:vMerge w:val="restart"/>
          </w:tcPr>
          <w:p w:rsidR="00862B2D" w:rsidRPr="00B93070" w:rsidRDefault="003E1625" w:rsidP="00BE4A2B">
            <w:pPr>
              <w:pStyle w:val="TableOfContentText"/>
            </w:pPr>
            <w:r w:rsidRPr="00B93070">
              <w:rPr>
                <w:b/>
              </w:rPr>
              <w:t>Double make it easy</w:t>
            </w:r>
            <w:r w:rsidRPr="00B93070">
              <w:t>: For first time a double synergistic cascade reaction is reported merging transition metal and amine catalysis. The reaction between vinyl cyclopropanes and enals render the final cyclopentane derivatives in excellent yields and stereoselectivities</w:t>
            </w:r>
          </w:p>
        </w:tc>
      </w:tr>
      <w:tr w:rsidR="002F33FA" w:rsidRPr="00A70B86">
        <w:trPr>
          <w:trHeight w:val="2779"/>
        </w:trPr>
        <w:tc>
          <w:tcPr>
            <w:tcW w:w="3119" w:type="dxa"/>
            <w:tcBorders>
              <w:top w:val="single" w:sz="8" w:space="0" w:color="FF0000"/>
            </w:tcBorders>
            <w:shd w:val="clear" w:color="auto" w:fill="auto"/>
          </w:tcPr>
          <w:p w:rsidR="002F33FA" w:rsidRPr="00B93070" w:rsidRDefault="003E1625" w:rsidP="00A60E0C">
            <w:pPr>
              <w:pStyle w:val="AuthorsTOC"/>
              <w:rPr>
                <w:lang w:val="es-ES"/>
              </w:rPr>
            </w:pPr>
            <w:r w:rsidRPr="00B93070">
              <w:rPr>
                <w:lang w:val="es-ES"/>
              </w:rPr>
              <w:t>M. Meazza, R. Rios</w:t>
            </w:r>
            <w:r w:rsidR="002F33FA" w:rsidRPr="00B93070">
              <w:rPr>
                <w:lang w:val="es-ES"/>
              </w:rPr>
              <w:t>*))</w:t>
            </w:r>
            <w:r w:rsidR="002F33FA" w:rsidRPr="00B93070">
              <w:rPr>
                <w:i w:val="0"/>
                <w:lang w:val="es-ES"/>
              </w:rPr>
              <w:t xml:space="preserve"> ………… Page – Page</w:t>
            </w:r>
          </w:p>
          <w:p w:rsidR="002F33FA" w:rsidRPr="00954442" w:rsidRDefault="003E1625" w:rsidP="003E1625">
            <w:pPr>
              <w:pStyle w:val="TitleTOC"/>
            </w:pPr>
            <w:r w:rsidRPr="00B93070">
              <w:t>Synergistic Catalysis: Enantioselective Ring Expansion of Vinyl Cyclopropanes Combining Four Catalytic Cycles. Synthesis of Highly Substituted Cyclopentanes Bearing up to Four Stereocenters</w:t>
            </w:r>
          </w:p>
        </w:tc>
        <w:tc>
          <w:tcPr>
            <w:tcW w:w="280" w:type="dxa"/>
            <w:vMerge/>
            <w:shd w:val="clear" w:color="auto" w:fill="auto"/>
          </w:tcPr>
          <w:p w:rsidR="002F33FA" w:rsidRPr="00A70B86" w:rsidRDefault="002F33FA" w:rsidP="00A60E0C">
            <w:pPr>
              <w:rPr>
                <w:lang w:val="en-GB"/>
              </w:rPr>
            </w:pPr>
          </w:p>
        </w:tc>
        <w:tc>
          <w:tcPr>
            <w:tcW w:w="2987" w:type="dxa"/>
            <w:vMerge/>
            <w:shd w:val="clear" w:color="auto" w:fill="F3F3F3"/>
          </w:tcPr>
          <w:p w:rsidR="002F33FA" w:rsidRPr="00A70B86" w:rsidRDefault="002F33FA" w:rsidP="00A60E0C">
            <w:pPr>
              <w:rPr>
                <w:lang w:val="en-GB"/>
              </w:rPr>
            </w:pPr>
          </w:p>
        </w:tc>
        <w:tc>
          <w:tcPr>
            <w:tcW w:w="285" w:type="dxa"/>
            <w:vMerge/>
            <w:shd w:val="clear" w:color="auto" w:fill="auto"/>
          </w:tcPr>
          <w:p w:rsidR="002F33FA" w:rsidRPr="00A70B86" w:rsidRDefault="002F33FA" w:rsidP="00A60E0C">
            <w:pPr>
              <w:rPr>
                <w:lang w:val="en-GB"/>
              </w:rPr>
            </w:pPr>
          </w:p>
        </w:tc>
        <w:tc>
          <w:tcPr>
            <w:tcW w:w="3243" w:type="dxa"/>
            <w:vMerge/>
          </w:tcPr>
          <w:p w:rsidR="002F33FA" w:rsidRPr="00A70B86" w:rsidRDefault="002F33FA" w:rsidP="00A60E0C">
            <w:pPr>
              <w:rPr>
                <w:lang w:val="en-GB"/>
              </w:rPr>
            </w:pPr>
          </w:p>
        </w:tc>
      </w:tr>
    </w:tbl>
    <w:p w:rsidR="008408A1" w:rsidRPr="00B31134" w:rsidRDefault="008408A1" w:rsidP="008408A1">
      <w:pPr>
        <w:rPr>
          <w:lang w:val="en-GB"/>
        </w:rPr>
      </w:pPr>
    </w:p>
    <w:p w:rsidR="008408A1" w:rsidRPr="00B31134" w:rsidRDefault="008408A1" w:rsidP="008408A1">
      <w:pPr>
        <w:rPr>
          <w:lang w:val="en-GB"/>
        </w:rPr>
      </w:pPr>
    </w:p>
    <w:p w:rsidR="008408A1" w:rsidRPr="00B31134" w:rsidRDefault="008408A1" w:rsidP="008408A1">
      <w:pPr>
        <w:rPr>
          <w:lang w:val="en-GB"/>
        </w:rPr>
      </w:pPr>
    </w:p>
    <w:p w:rsidR="008408A1" w:rsidRPr="00DF7867" w:rsidRDefault="008408A1" w:rsidP="008408A1">
      <w:pPr>
        <w:rPr>
          <w:lang w:val="en-GB"/>
        </w:rPr>
      </w:pPr>
    </w:p>
    <w:p w:rsidR="008408A1" w:rsidRPr="00DF7867" w:rsidRDefault="008408A1" w:rsidP="008408A1">
      <w:pPr>
        <w:rPr>
          <w:lang w:val="en-GB"/>
        </w:rPr>
      </w:pPr>
    </w:p>
    <w:p w:rsidR="008408A1" w:rsidRDefault="008408A1" w:rsidP="00E76CD4">
      <w:pPr>
        <w:rPr>
          <w:lang w:val="en-GB"/>
        </w:rPr>
      </w:pPr>
    </w:p>
    <w:sectPr w:rsidR="008408A1" w:rsidSect="0090579F">
      <w:pgSz w:w="11906" w:h="16838" w:code="9"/>
      <w:pgMar w:top="1191" w:right="851" w:bottom="1225" w:left="107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424" w:rsidRDefault="003B2424">
      <w:r>
        <w:separator/>
      </w:r>
    </w:p>
  </w:endnote>
  <w:endnote w:type="continuationSeparator" w:id="0">
    <w:p w:rsidR="003B2424" w:rsidRDefault="003B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FA4" w:rsidRDefault="00915FA4" w:rsidP="005472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5FA4" w:rsidRDefault="00915FA4" w:rsidP="005472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FA4" w:rsidRDefault="00915FA4" w:rsidP="005472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3070">
      <w:rPr>
        <w:rStyle w:val="PageNumber"/>
        <w:noProof/>
      </w:rPr>
      <w:t>1</w:t>
    </w:r>
    <w:r>
      <w:rPr>
        <w:rStyle w:val="PageNumber"/>
      </w:rPr>
      <w:fldChar w:fldCharType="end"/>
    </w:r>
  </w:p>
  <w:p w:rsidR="00915FA4" w:rsidRDefault="00915FA4" w:rsidP="005472E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25" w:rsidRDefault="003E1625" w:rsidP="00B542A1">
    <w:pPr>
      <w:framePr w:wrap="around" w:vAnchor="text" w:hAnchor="margin" w:xAlign="right" w:y="1"/>
    </w:pPr>
    <w:r>
      <w:fldChar w:fldCharType="begin"/>
    </w:r>
    <w:r>
      <w:instrText xml:space="preserve">PAGE  </w:instrText>
    </w:r>
    <w:r>
      <w:fldChar w:fldCharType="end"/>
    </w:r>
  </w:p>
  <w:p w:rsidR="003E1625" w:rsidRDefault="003E1625" w:rsidP="00F8778F">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25" w:rsidRDefault="003E1625" w:rsidP="00B542A1">
    <w:pPr>
      <w:framePr w:wrap="around" w:vAnchor="text" w:hAnchor="margin" w:xAlign="right" w:y="1"/>
    </w:pPr>
    <w:r>
      <w:fldChar w:fldCharType="begin"/>
    </w:r>
    <w:r>
      <w:instrText xml:space="preserve">PAGE  </w:instrText>
    </w:r>
    <w:r>
      <w:fldChar w:fldCharType="separate"/>
    </w:r>
    <w:r>
      <w:rPr>
        <w:noProof/>
      </w:rPr>
      <w:t>6</w:t>
    </w:r>
    <w:r>
      <w:fldChar w:fldCharType="end"/>
    </w:r>
  </w:p>
  <w:p w:rsidR="003E1625" w:rsidRDefault="003E1625" w:rsidP="00F8778F">
    <w:pP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425" w:rsidRDefault="00972425" w:rsidP="00A04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425" w:rsidRDefault="00972425" w:rsidP="0097242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425" w:rsidRDefault="00972425" w:rsidP="00A04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3070">
      <w:rPr>
        <w:rStyle w:val="PageNumber"/>
        <w:noProof/>
      </w:rPr>
      <w:t>6</w:t>
    </w:r>
    <w:r>
      <w:rPr>
        <w:rStyle w:val="PageNumber"/>
      </w:rPr>
      <w:fldChar w:fldCharType="end"/>
    </w:r>
  </w:p>
  <w:p w:rsidR="00972425" w:rsidRDefault="00972425" w:rsidP="009724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424" w:rsidRDefault="003B2424">
      <w:r>
        <w:separator/>
      </w:r>
    </w:p>
  </w:footnote>
  <w:footnote w:type="continuationSeparator" w:id="0">
    <w:p w:rsidR="003B2424" w:rsidRDefault="003B2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255"/>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25"/>
    <w:rsid w:val="0000214A"/>
    <w:rsid w:val="0000457A"/>
    <w:rsid w:val="00010410"/>
    <w:rsid w:val="00011D51"/>
    <w:rsid w:val="00012F4A"/>
    <w:rsid w:val="00022228"/>
    <w:rsid w:val="00022DB4"/>
    <w:rsid w:val="00033C26"/>
    <w:rsid w:val="00033D1A"/>
    <w:rsid w:val="00033F43"/>
    <w:rsid w:val="00036490"/>
    <w:rsid w:val="0004091A"/>
    <w:rsid w:val="00042BF0"/>
    <w:rsid w:val="00045AB9"/>
    <w:rsid w:val="0005096E"/>
    <w:rsid w:val="0005140E"/>
    <w:rsid w:val="00055485"/>
    <w:rsid w:val="00061D24"/>
    <w:rsid w:val="0006281D"/>
    <w:rsid w:val="00063E0F"/>
    <w:rsid w:val="0006489B"/>
    <w:rsid w:val="0006694D"/>
    <w:rsid w:val="000669E3"/>
    <w:rsid w:val="00066B8E"/>
    <w:rsid w:val="00070B55"/>
    <w:rsid w:val="00070E0D"/>
    <w:rsid w:val="0007197D"/>
    <w:rsid w:val="00077560"/>
    <w:rsid w:val="0008077D"/>
    <w:rsid w:val="0009539C"/>
    <w:rsid w:val="00095C2F"/>
    <w:rsid w:val="000A37F3"/>
    <w:rsid w:val="000A77DC"/>
    <w:rsid w:val="000B6DF3"/>
    <w:rsid w:val="000C1DBD"/>
    <w:rsid w:val="000C53F1"/>
    <w:rsid w:val="000C7CB0"/>
    <w:rsid w:val="000D2FE5"/>
    <w:rsid w:val="000D4DA1"/>
    <w:rsid w:val="000D70F8"/>
    <w:rsid w:val="000D75B7"/>
    <w:rsid w:val="000D7701"/>
    <w:rsid w:val="000E0CEA"/>
    <w:rsid w:val="000E0EC4"/>
    <w:rsid w:val="000E1C81"/>
    <w:rsid w:val="000E5FDC"/>
    <w:rsid w:val="000F29A4"/>
    <w:rsid w:val="000F2EA1"/>
    <w:rsid w:val="000F5BD1"/>
    <w:rsid w:val="000F7847"/>
    <w:rsid w:val="00102F17"/>
    <w:rsid w:val="001037A1"/>
    <w:rsid w:val="00103EF7"/>
    <w:rsid w:val="00104119"/>
    <w:rsid w:val="00105F97"/>
    <w:rsid w:val="001158DE"/>
    <w:rsid w:val="00120F2E"/>
    <w:rsid w:val="001237B3"/>
    <w:rsid w:val="0012381E"/>
    <w:rsid w:val="001322FF"/>
    <w:rsid w:val="0013316F"/>
    <w:rsid w:val="001348CD"/>
    <w:rsid w:val="0014043E"/>
    <w:rsid w:val="00141356"/>
    <w:rsid w:val="00143551"/>
    <w:rsid w:val="00143B89"/>
    <w:rsid w:val="001475BF"/>
    <w:rsid w:val="00152E6D"/>
    <w:rsid w:val="00155FB7"/>
    <w:rsid w:val="00157C67"/>
    <w:rsid w:val="0016203E"/>
    <w:rsid w:val="001639AE"/>
    <w:rsid w:val="00166BEB"/>
    <w:rsid w:val="00166D41"/>
    <w:rsid w:val="001678B6"/>
    <w:rsid w:val="001732A4"/>
    <w:rsid w:val="001800AA"/>
    <w:rsid w:val="0018165B"/>
    <w:rsid w:val="00184380"/>
    <w:rsid w:val="00186601"/>
    <w:rsid w:val="0019014F"/>
    <w:rsid w:val="00194818"/>
    <w:rsid w:val="00194A21"/>
    <w:rsid w:val="00196DEB"/>
    <w:rsid w:val="00197F42"/>
    <w:rsid w:val="001A0D55"/>
    <w:rsid w:val="001A3120"/>
    <w:rsid w:val="001A39AE"/>
    <w:rsid w:val="001A438D"/>
    <w:rsid w:val="001C21E3"/>
    <w:rsid w:val="001C26A7"/>
    <w:rsid w:val="001D1155"/>
    <w:rsid w:val="001D13EA"/>
    <w:rsid w:val="001D216B"/>
    <w:rsid w:val="001D29CA"/>
    <w:rsid w:val="001D54CA"/>
    <w:rsid w:val="001D6F97"/>
    <w:rsid w:val="001E164A"/>
    <w:rsid w:val="001F16EF"/>
    <w:rsid w:val="001F1A2D"/>
    <w:rsid w:val="001F4235"/>
    <w:rsid w:val="001F4EE4"/>
    <w:rsid w:val="002022B0"/>
    <w:rsid w:val="00213D0E"/>
    <w:rsid w:val="00220527"/>
    <w:rsid w:val="00222D97"/>
    <w:rsid w:val="0022537E"/>
    <w:rsid w:val="0022582C"/>
    <w:rsid w:val="002276A1"/>
    <w:rsid w:val="00232A3C"/>
    <w:rsid w:val="00232C14"/>
    <w:rsid w:val="002362C7"/>
    <w:rsid w:val="00241D85"/>
    <w:rsid w:val="00242E54"/>
    <w:rsid w:val="002433F0"/>
    <w:rsid w:val="00260EDA"/>
    <w:rsid w:val="00261387"/>
    <w:rsid w:val="00261882"/>
    <w:rsid w:val="00265DCA"/>
    <w:rsid w:val="002702BC"/>
    <w:rsid w:val="0027068B"/>
    <w:rsid w:val="00287256"/>
    <w:rsid w:val="00287B32"/>
    <w:rsid w:val="002A2A33"/>
    <w:rsid w:val="002A36FA"/>
    <w:rsid w:val="002A561E"/>
    <w:rsid w:val="002A60E4"/>
    <w:rsid w:val="002A69D1"/>
    <w:rsid w:val="002B22BA"/>
    <w:rsid w:val="002B25E2"/>
    <w:rsid w:val="002B395C"/>
    <w:rsid w:val="002B7CA9"/>
    <w:rsid w:val="002D0B17"/>
    <w:rsid w:val="002D24CB"/>
    <w:rsid w:val="002D5148"/>
    <w:rsid w:val="002E066F"/>
    <w:rsid w:val="002E2CA8"/>
    <w:rsid w:val="002F0269"/>
    <w:rsid w:val="002F119C"/>
    <w:rsid w:val="002F17FB"/>
    <w:rsid w:val="002F33FA"/>
    <w:rsid w:val="002F6A4C"/>
    <w:rsid w:val="002F73A5"/>
    <w:rsid w:val="003006A7"/>
    <w:rsid w:val="00301167"/>
    <w:rsid w:val="00301D1E"/>
    <w:rsid w:val="00303FBE"/>
    <w:rsid w:val="003079D2"/>
    <w:rsid w:val="003116F4"/>
    <w:rsid w:val="00312ED2"/>
    <w:rsid w:val="003137FF"/>
    <w:rsid w:val="00320343"/>
    <w:rsid w:val="0032048F"/>
    <w:rsid w:val="003219A5"/>
    <w:rsid w:val="00322D02"/>
    <w:rsid w:val="00322E1F"/>
    <w:rsid w:val="00323FC3"/>
    <w:rsid w:val="00325147"/>
    <w:rsid w:val="003254D1"/>
    <w:rsid w:val="00325516"/>
    <w:rsid w:val="003275FF"/>
    <w:rsid w:val="0033054D"/>
    <w:rsid w:val="00331B5E"/>
    <w:rsid w:val="00333FAD"/>
    <w:rsid w:val="0033586B"/>
    <w:rsid w:val="00336A5A"/>
    <w:rsid w:val="00337A27"/>
    <w:rsid w:val="003403BB"/>
    <w:rsid w:val="00340A08"/>
    <w:rsid w:val="003447D7"/>
    <w:rsid w:val="00354B57"/>
    <w:rsid w:val="00364753"/>
    <w:rsid w:val="00364A2A"/>
    <w:rsid w:val="003657B6"/>
    <w:rsid w:val="00366676"/>
    <w:rsid w:val="00375415"/>
    <w:rsid w:val="00376F37"/>
    <w:rsid w:val="0038506F"/>
    <w:rsid w:val="00390DD7"/>
    <w:rsid w:val="00396BE2"/>
    <w:rsid w:val="003B04BA"/>
    <w:rsid w:val="003B0FC4"/>
    <w:rsid w:val="003B2424"/>
    <w:rsid w:val="003B6321"/>
    <w:rsid w:val="003B70C8"/>
    <w:rsid w:val="003C134A"/>
    <w:rsid w:val="003C1CCA"/>
    <w:rsid w:val="003C2972"/>
    <w:rsid w:val="003C2C9C"/>
    <w:rsid w:val="003D0F51"/>
    <w:rsid w:val="003D2E7B"/>
    <w:rsid w:val="003E1625"/>
    <w:rsid w:val="003E54CD"/>
    <w:rsid w:val="003E7319"/>
    <w:rsid w:val="003F2556"/>
    <w:rsid w:val="003F50D4"/>
    <w:rsid w:val="0040080D"/>
    <w:rsid w:val="0040270E"/>
    <w:rsid w:val="00403876"/>
    <w:rsid w:val="004046C5"/>
    <w:rsid w:val="004062B1"/>
    <w:rsid w:val="004070B6"/>
    <w:rsid w:val="004072DD"/>
    <w:rsid w:val="00412559"/>
    <w:rsid w:val="00414412"/>
    <w:rsid w:val="00415971"/>
    <w:rsid w:val="00416B05"/>
    <w:rsid w:val="00422AFE"/>
    <w:rsid w:val="00423593"/>
    <w:rsid w:val="00424978"/>
    <w:rsid w:val="0042545B"/>
    <w:rsid w:val="00427CBD"/>
    <w:rsid w:val="00431151"/>
    <w:rsid w:val="00432307"/>
    <w:rsid w:val="00436338"/>
    <w:rsid w:val="00437B5A"/>
    <w:rsid w:val="00444E3C"/>
    <w:rsid w:val="00445D5C"/>
    <w:rsid w:val="004465F9"/>
    <w:rsid w:val="004466B0"/>
    <w:rsid w:val="00454A2D"/>
    <w:rsid w:val="00455E11"/>
    <w:rsid w:val="004609E1"/>
    <w:rsid w:val="00460C28"/>
    <w:rsid w:val="00461B31"/>
    <w:rsid w:val="00461BD2"/>
    <w:rsid w:val="00462A09"/>
    <w:rsid w:val="004657E8"/>
    <w:rsid w:val="00467E99"/>
    <w:rsid w:val="00470790"/>
    <w:rsid w:val="00473029"/>
    <w:rsid w:val="00473EE4"/>
    <w:rsid w:val="00477B4C"/>
    <w:rsid w:val="00477B99"/>
    <w:rsid w:val="00485C84"/>
    <w:rsid w:val="00486215"/>
    <w:rsid w:val="0048630D"/>
    <w:rsid w:val="004921CF"/>
    <w:rsid w:val="004A0BA8"/>
    <w:rsid w:val="004A4165"/>
    <w:rsid w:val="004A489D"/>
    <w:rsid w:val="004A4A2E"/>
    <w:rsid w:val="004A4CD0"/>
    <w:rsid w:val="004A73A8"/>
    <w:rsid w:val="004A75D5"/>
    <w:rsid w:val="004A771F"/>
    <w:rsid w:val="004B004E"/>
    <w:rsid w:val="004B0589"/>
    <w:rsid w:val="004B1783"/>
    <w:rsid w:val="004B365A"/>
    <w:rsid w:val="004B65AE"/>
    <w:rsid w:val="004B7661"/>
    <w:rsid w:val="004C1836"/>
    <w:rsid w:val="004C2834"/>
    <w:rsid w:val="004C2FAC"/>
    <w:rsid w:val="004C2FF5"/>
    <w:rsid w:val="004C3CC9"/>
    <w:rsid w:val="004C471F"/>
    <w:rsid w:val="004C5F41"/>
    <w:rsid w:val="004C6D04"/>
    <w:rsid w:val="004D090A"/>
    <w:rsid w:val="004D31C6"/>
    <w:rsid w:val="004D4293"/>
    <w:rsid w:val="004D5ABB"/>
    <w:rsid w:val="004E3F83"/>
    <w:rsid w:val="004E4A53"/>
    <w:rsid w:val="004E4DFF"/>
    <w:rsid w:val="004E74F4"/>
    <w:rsid w:val="004F0129"/>
    <w:rsid w:val="004F257F"/>
    <w:rsid w:val="004F5C0B"/>
    <w:rsid w:val="00501639"/>
    <w:rsid w:val="00501EFF"/>
    <w:rsid w:val="0050277D"/>
    <w:rsid w:val="0050689B"/>
    <w:rsid w:val="005068AA"/>
    <w:rsid w:val="00506EDB"/>
    <w:rsid w:val="00511093"/>
    <w:rsid w:val="00512A8E"/>
    <w:rsid w:val="00520422"/>
    <w:rsid w:val="0052085F"/>
    <w:rsid w:val="0052404D"/>
    <w:rsid w:val="00530284"/>
    <w:rsid w:val="005318E4"/>
    <w:rsid w:val="0053418A"/>
    <w:rsid w:val="00537F36"/>
    <w:rsid w:val="00541205"/>
    <w:rsid w:val="005433DE"/>
    <w:rsid w:val="0054420E"/>
    <w:rsid w:val="005472E5"/>
    <w:rsid w:val="0055057E"/>
    <w:rsid w:val="00550B0C"/>
    <w:rsid w:val="00550D17"/>
    <w:rsid w:val="0055113D"/>
    <w:rsid w:val="00551DE4"/>
    <w:rsid w:val="005551F3"/>
    <w:rsid w:val="00556A65"/>
    <w:rsid w:val="00561C0E"/>
    <w:rsid w:val="00567C18"/>
    <w:rsid w:val="005735B3"/>
    <w:rsid w:val="005801F0"/>
    <w:rsid w:val="005826CC"/>
    <w:rsid w:val="005839B9"/>
    <w:rsid w:val="00586DF8"/>
    <w:rsid w:val="00591AB8"/>
    <w:rsid w:val="00597954"/>
    <w:rsid w:val="005A5B2D"/>
    <w:rsid w:val="005B10C2"/>
    <w:rsid w:val="005B3509"/>
    <w:rsid w:val="005B430B"/>
    <w:rsid w:val="005B5D4F"/>
    <w:rsid w:val="005B6716"/>
    <w:rsid w:val="005B6C80"/>
    <w:rsid w:val="005C4F38"/>
    <w:rsid w:val="005C5196"/>
    <w:rsid w:val="005D43FD"/>
    <w:rsid w:val="005D65E6"/>
    <w:rsid w:val="005F19CB"/>
    <w:rsid w:val="006011C8"/>
    <w:rsid w:val="006024FD"/>
    <w:rsid w:val="0060310C"/>
    <w:rsid w:val="00605FAC"/>
    <w:rsid w:val="00607BC2"/>
    <w:rsid w:val="00617AC8"/>
    <w:rsid w:val="006200AB"/>
    <w:rsid w:val="00620450"/>
    <w:rsid w:val="00620911"/>
    <w:rsid w:val="00620C61"/>
    <w:rsid w:val="00627F57"/>
    <w:rsid w:val="0063133D"/>
    <w:rsid w:val="00647525"/>
    <w:rsid w:val="006479FE"/>
    <w:rsid w:val="00654E17"/>
    <w:rsid w:val="006555A8"/>
    <w:rsid w:val="0066216C"/>
    <w:rsid w:val="006675EA"/>
    <w:rsid w:val="00671E1E"/>
    <w:rsid w:val="006722A0"/>
    <w:rsid w:val="006724B9"/>
    <w:rsid w:val="00672587"/>
    <w:rsid w:val="0067512C"/>
    <w:rsid w:val="00677AB5"/>
    <w:rsid w:val="006812E2"/>
    <w:rsid w:val="00681A96"/>
    <w:rsid w:val="00685DA5"/>
    <w:rsid w:val="00694EC1"/>
    <w:rsid w:val="006956E5"/>
    <w:rsid w:val="0069644B"/>
    <w:rsid w:val="006976AD"/>
    <w:rsid w:val="00697E3B"/>
    <w:rsid w:val="006A6116"/>
    <w:rsid w:val="006A7E4F"/>
    <w:rsid w:val="006B1CFB"/>
    <w:rsid w:val="006B369F"/>
    <w:rsid w:val="006B4DC6"/>
    <w:rsid w:val="006B4E8D"/>
    <w:rsid w:val="006B5DE9"/>
    <w:rsid w:val="006B6806"/>
    <w:rsid w:val="006B72C2"/>
    <w:rsid w:val="006C2DBE"/>
    <w:rsid w:val="006C5C46"/>
    <w:rsid w:val="006C5F03"/>
    <w:rsid w:val="006C6BFE"/>
    <w:rsid w:val="006C6D39"/>
    <w:rsid w:val="006C7F18"/>
    <w:rsid w:val="006D02C0"/>
    <w:rsid w:val="006D184F"/>
    <w:rsid w:val="006D2D7B"/>
    <w:rsid w:val="006D3595"/>
    <w:rsid w:val="006D6793"/>
    <w:rsid w:val="006E5BEA"/>
    <w:rsid w:val="006F0EB7"/>
    <w:rsid w:val="00700F72"/>
    <w:rsid w:val="00701830"/>
    <w:rsid w:val="00702F63"/>
    <w:rsid w:val="007109EE"/>
    <w:rsid w:val="00711E9D"/>
    <w:rsid w:val="007130CE"/>
    <w:rsid w:val="00714DB9"/>
    <w:rsid w:val="00714DC9"/>
    <w:rsid w:val="007164DD"/>
    <w:rsid w:val="0071700B"/>
    <w:rsid w:val="00717BD5"/>
    <w:rsid w:val="00720FED"/>
    <w:rsid w:val="007226E8"/>
    <w:rsid w:val="007249D7"/>
    <w:rsid w:val="007252DA"/>
    <w:rsid w:val="00732798"/>
    <w:rsid w:val="00733CDD"/>
    <w:rsid w:val="00737264"/>
    <w:rsid w:val="00740CE1"/>
    <w:rsid w:val="00741B47"/>
    <w:rsid w:val="00746C0D"/>
    <w:rsid w:val="00750326"/>
    <w:rsid w:val="007540C9"/>
    <w:rsid w:val="00757401"/>
    <w:rsid w:val="00757673"/>
    <w:rsid w:val="007576FA"/>
    <w:rsid w:val="00757C71"/>
    <w:rsid w:val="00763D77"/>
    <w:rsid w:val="00763EDE"/>
    <w:rsid w:val="00764F01"/>
    <w:rsid w:val="00765C4D"/>
    <w:rsid w:val="00773D16"/>
    <w:rsid w:val="007740A8"/>
    <w:rsid w:val="00775C8A"/>
    <w:rsid w:val="00775F73"/>
    <w:rsid w:val="007815C4"/>
    <w:rsid w:val="00783FBE"/>
    <w:rsid w:val="0078628B"/>
    <w:rsid w:val="0078784C"/>
    <w:rsid w:val="007958BF"/>
    <w:rsid w:val="007A7E01"/>
    <w:rsid w:val="007B317C"/>
    <w:rsid w:val="007B6A97"/>
    <w:rsid w:val="007C3D60"/>
    <w:rsid w:val="007C439D"/>
    <w:rsid w:val="007C672F"/>
    <w:rsid w:val="007D0701"/>
    <w:rsid w:val="007E2CB8"/>
    <w:rsid w:val="007E52D5"/>
    <w:rsid w:val="007E6725"/>
    <w:rsid w:val="007E7187"/>
    <w:rsid w:val="007F00BA"/>
    <w:rsid w:val="007F46F6"/>
    <w:rsid w:val="007F66E6"/>
    <w:rsid w:val="007F68CC"/>
    <w:rsid w:val="00804822"/>
    <w:rsid w:val="00813005"/>
    <w:rsid w:val="00813FEF"/>
    <w:rsid w:val="008249B7"/>
    <w:rsid w:val="00826879"/>
    <w:rsid w:val="008272FD"/>
    <w:rsid w:val="00827A4E"/>
    <w:rsid w:val="00830DDE"/>
    <w:rsid w:val="00832891"/>
    <w:rsid w:val="008339A8"/>
    <w:rsid w:val="00836959"/>
    <w:rsid w:val="008408A1"/>
    <w:rsid w:val="00847D4E"/>
    <w:rsid w:val="00851D03"/>
    <w:rsid w:val="008536CE"/>
    <w:rsid w:val="00855988"/>
    <w:rsid w:val="00860C40"/>
    <w:rsid w:val="00862A5B"/>
    <w:rsid w:val="00862B2D"/>
    <w:rsid w:val="00862D4C"/>
    <w:rsid w:val="00865C7C"/>
    <w:rsid w:val="00870558"/>
    <w:rsid w:val="0087130D"/>
    <w:rsid w:val="00873E64"/>
    <w:rsid w:val="00875FFC"/>
    <w:rsid w:val="008773A8"/>
    <w:rsid w:val="00886901"/>
    <w:rsid w:val="008935DC"/>
    <w:rsid w:val="00896608"/>
    <w:rsid w:val="008A75A2"/>
    <w:rsid w:val="008C0905"/>
    <w:rsid w:val="008C26A3"/>
    <w:rsid w:val="008C4A56"/>
    <w:rsid w:val="008D05CC"/>
    <w:rsid w:val="008D306F"/>
    <w:rsid w:val="008D3912"/>
    <w:rsid w:val="008E4C32"/>
    <w:rsid w:val="008F3789"/>
    <w:rsid w:val="008F5663"/>
    <w:rsid w:val="008F6D3F"/>
    <w:rsid w:val="008F71A1"/>
    <w:rsid w:val="008F7FE1"/>
    <w:rsid w:val="00900B9E"/>
    <w:rsid w:val="00901A45"/>
    <w:rsid w:val="00902AF3"/>
    <w:rsid w:val="00903D94"/>
    <w:rsid w:val="0090579F"/>
    <w:rsid w:val="0090736F"/>
    <w:rsid w:val="00914627"/>
    <w:rsid w:val="00915FA4"/>
    <w:rsid w:val="009179FB"/>
    <w:rsid w:val="009203FD"/>
    <w:rsid w:val="009264DF"/>
    <w:rsid w:val="00935885"/>
    <w:rsid w:val="00941003"/>
    <w:rsid w:val="009425B3"/>
    <w:rsid w:val="0094582D"/>
    <w:rsid w:val="00945BF2"/>
    <w:rsid w:val="009465A0"/>
    <w:rsid w:val="0094711E"/>
    <w:rsid w:val="00952951"/>
    <w:rsid w:val="00953A07"/>
    <w:rsid w:val="00954442"/>
    <w:rsid w:val="00957398"/>
    <w:rsid w:val="0096219B"/>
    <w:rsid w:val="00963289"/>
    <w:rsid w:val="009648DE"/>
    <w:rsid w:val="009658DA"/>
    <w:rsid w:val="0096675F"/>
    <w:rsid w:val="00966884"/>
    <w:rsid w:val="00971D8C"/>
    <w:rsid w:val="00972425"/>
    <w:rsid w:val="009733F5"/>
    <w:rsid w:val="0098683C"/>
    <w:rsid w:val="009923A9"/>
    <w:rsid w:val="009964CD"/>
    <w:rsid w:val="00997637"/>
    <w:rsid w:val="009A27D2"/>
    <w:rsid w:val="009B5513"/>
    <w:rsid w:val="009B626F"/>
    <w:rsid w:val="009B7251"/>
    <w:rsid w:val="009C0ABF"/>
    <w:rsid w:val="009D14CA"/>
    <w:rsid w:val="009D5757"/>
    <w:rsid w:val="009D7F90"/>
    <w:rsid w:val="009E1D78"/>
    <w:rsid w:val="009E5B17"/>
    <w:rsid w:val="009E78B5"/>
    <w:rsid w:val="009E798E"/>
    <w:rsid w:val="009F1127"/>
    <w:rsid w:val="009F6FBF"/>
    <w:rsid w:val="009F70DC"/>
    <w:rsid w:val="00A02C15"/>
    <w:rsid w:val="00A0349A"/>
    <w:rsid w:val="00A04427"/>
    <w:rsid w:val="00A04B91"/>
    <w:rsid w:val="00A069E1"/>
    <w:rsid w:val="00A1019C"/>
    <w:rsid w:val="00A11648"/>
    <w:rsid w:val="00A2029A"/>
    <w:rsid w:val="00A20B68"/>
    <w:rsid w:val="00A24878"/>
    <w:rsid w:val="00A26E89"/>
    <w:rsid w:val="00A30DC0"/>
    <w:rsid w:val="00A32D0C"/>
    <w:rsid w:val="00A3587B"/>
    <w:rsid w:val="00A41956"/>
    <w:rsid w:val="00A43EB3"/>
    <w:rsid w:val="00A47DD9"/>
    <w:rsid w:val="00A50FB9"/>
    <w:rsid w:val="00A51C0C"/>
    <w:rsid w:val="00A51F4E"/>
    <w:rsid w:val="00A5397B"/>
    <w:rsid w:val="00A54DA6"/>
    <w:rsid w:val="00A60E0C"/>
    <w:rsid w:val="00A6116D"/>
    <w:rsid w:val="00A66AA2"/>
    <w:rsid w:val="00A72188"/>
    <w:rsid w:val="00A734EF"/>
    <w:rsid w:val="00A737D3"/>
    <w:rsid w:val="00A73873"/>
    <w:rsid w:val="00A8041F"/>
    <w:rsid w:val="00A8062A"/>
    <w:rsid w:val="00A807A5"/>
    <w:rsid w:val="00A842F8"/>
    <w:rsid w:val="00A85F7C"/>
    <w:rsid w:val="00A87B0A"/>
    <w:rsid w:val="00A93198"/>
    <w:rsid w:val="00A94565"/>
    <w:rsid w:val="00A95F3A"/>
    <w:rsid w:val="00A9668D"/>
    <w:rsid w:val="00A97137"/>
    <w:rsid w:val="00AA1BF0"/>
    <w:rsid w:val="00AA4441"/>
    <w:rsid w:val="00AA5045"/>
    <w:rsid w:val="00AA73FE"/>
    <w:rsid w:val="00AB0CB4"/>
    <w:rsid w:val="00AB14AF"/>
    <w:rsid w:val="00AB7BB3"/>
    <w:rsid w:val="00AC390C"/>
    <w:rsid w:val="00AC51F3"/>
    <w:rsid w:val="00AC532F"/>
    <w:rsid w:val="00AC710B"/>
    <w:rsid w:val="00AD0B89"/>
    <w:rsid w:val="00AD35EE"/>
    <w:rsid w:val="00AD47D4"/>
    <w:rsid w:val="00AD62D8"/>
    <w:rsid w:val="00AE1546"/>
    <w:rsid w:val="00AE33D9"/>
    <w:rsid w:val="00AE7A63"/>
    <w:rsid w:val="00AF267E"/>
    <w:rsid w:val="00AF7CE1"/>
    <w:rsid w:val="00B00E7C"/>
    <w:rsid w:val="00B011E3"/>
    <w:rsid w:val="00B03934"/>
    <w:rsid w:val="00B048B1"/>
    <w:rsid w:val="00B12602"/>
    <w:rsid w:val="00B12C6B"/>
    <w:rsid w:val="00B13276"/>
    <w:rsid w:val="00B139D9"/>
    <w:rsid w:val="00B13D9A"/>
    <w:rsid w:val="00B22DD8"/>
    <w:rsid w:val="00B2344B"/>
    <w:rsid w:val="00B26826"/>
    <w:rsid w:val="00B31D15"/>
    <w:rsid w:val="00B31D8E"/>
    <w:rsid w:val="00B351C5"/>
    <w:rsid w:val="00B41F41"/>
    <w:rsid w:val="00B437D7"/>
    <w:rsid w:val="00B43C10"/>
    <w:rsid w:val="00B46744"/>
    <w:rsid w:val="00B477DB"/>
    <w:rsid w:val="00B5050B"/>
    <w:rsid w:val="00B50EBF"/>
    <w:rsid w:val="00B53ED3"/>
    <w:rsid w:val="00B54E3D"/>
    <w:rsid w:val="00B55214"/>
    <w:rsid w:val="00B64AEB"/>
    <w:rsid w:val="00B64D08"/>
    <w:rsid w:val="00B70A39"/>
    <w:rsid w:val="00B72EEE"/>
    <w:rsid w:val="00B76F72"/>
    <w:rsid w:val="00B7755F"/>
    <w:rsid w:val="00B809B1"/>
    <w:rsid w:val="00B824F1"/>
    <w:rsid w:val="00B87183"/>
    <w:rsid w:val="00B92AD4"/>
    <w:rsid w:val="00B93070"/>
    <w:rsid w:val="00BB1819"/>
    <w:rsid w:val="00BB4EBA"/>
    <w:rsid w:val="00BB5AE0"/>
    <w:rsid w:val="00BB5B83"/>
    <w:rsid w:val="00BB5DA9"/>
    <w:rsid w:val="00BC014F"/>
    <w:rsid w:val="00BC4C0E"/>
    <w:rsid w:val="00BD1CD1"/>
    <w:rsid w:val="00BD61A7"/>
    <w:rsid w:val="00BE114C"/>
    <w:rsid w:val="00BE3B0B"/>
    <w:rsid w:val="00BE4A2B"/>
    <w:rsid w:val="00BF03A9"/>
    <w:rsid w:val="00BF0F57"/>
    <w:rsid w:val="00BF1A2E"/>
    <w:rsid w:val="00BF7D81"/>
    <w:rsid w:val="00C00948"/>
    <w:rsid w:val="00C06CDB"/>
    <w:rsid w:val="00C06D0F"/>
    <w:rsid w:val="00C070FB"/>
    <w:rsid w:val="00C13799"/>
    <w:rsid w:val="00C2354F"/>
    <w:rsid w:val="00C2460C"/>
    <w:rsid w:val="00C2552A"/>
    <w:rsid w:val="00C308BE"/>
    <w:rsid w:val="00C31F5F"/>
    <w:rsid w:val="00C40FD8"/>
    <w:rsid w:val="00C413BC"/>
    <w:rsid w:val="00C41733"/>
    <w:rsid w:val="00C462C4"/>
    <w:rsid w:val="00C55A65"/>
    <w:rsid w:val="00C60C71"/>
    <w:rsid w:val="00C632B3"/>
    <w:rsid w:val="00C63B7C"/>
    <w:rsid w:val="00C70D48"/>
    <w:rsid w:val="00C77158"/>
    <w:rsid w:val="00C77DFE"/>
    <w:rsid w:val="00C8558C"/>
    <w:rsid w:val="00C85EE3"/>
    <w:rsid w:val="00C90A57"/>
    <w:rsid w:val="00C92120"/>
    <w:rsid w:val="00C966DA"/>
    <w:rsid w:val="00C976B2"/>
    <w:rsid w:val="00CA1213"/>
    <w:rsid w:val="00CA3607"/>
    <w:rsid w:val="00CA72F1"/>
    <w:rsid w:val="00CB2DCB"/>
    <w:rsid w:val="00CB4591"/>
    <w:rsid w:val="00CB6539"/>
    <w:rsid w:val="00CC0473"/>
    <w:rsid w:val="00CC3ED1"/>
    <w:rsid w:val="00CC4988"/>
    <w:rsid w:val="00CC782C"/>
    <w:rsid w:val="00CD66D5"/>
    <w:rsid w:val="00CE0A40"/>
    <w:rsid w:val="00CE1852"/>
    <w:rsid w:val="00CE2946"/>
    <w:rsid w:val="00CE4329"/>
    <w:rsid w:val="00CF7619"/>
    <w:rsid w:val="00D00EA0"/>
    <w:rsid w:val="00D01A50"/>
    <w:rsid w:val="00D05D33"/>
    <w:rsid w:val="00D160F3"/>
    <w:rsid w:val="00D177F4"/>
    <w:rsid w:val="00D17B72"/>
    <w:rsid w:val="00D201E6"/>
    <w:rsid w:val="00D20FFB"/>
    <w:rsid w:val="00D23118"/>
    <w:rsid w:val="00D2574C"/>
    <w:rsid w:val="00D272DF"/>
    <w:rsid w:val="00D27E2E"/>
    <w:rsid w:val="00D3261D"/>
    <w:rsid w:val="00D33A08"/>
    <w:rsid w:val="00D35F06"/>
    <w:rsid w:val="00D36226"/>
    <w:rsid w:val="00D455D4"/>
    <w:rsid w:val="00D46DC4"/>
    <w:rsid w:val="00D5062B"/>
    <w:rsid w:val="00D5307B"/>
    <w:rsid w:val="00D60633"/>
    <w:rsid w:val="00D620FF"/>
    <w:rsid w:val="00D62DA7"/>
    <w:rsid w:val="00D63E1C"/>
    <w:rsid w:val="00D65A90"/>
    <w:rsid w:val="00D65BF3"/>
    <w:rsid w:val="00D73D35"/>
    <w:rsid w:val="00D74C34"/>
    <w:rsid w:val="00D7679A"/>
    <w:rsid w:val="00D76A3B"/>
    <w:rsid w:val="00D83505"/>
    <w:rsid w:val="00D84C72"/>
    <w:rsid w:val="00D91D07"/>
    <w:rsid w:val="00DC273F"/>
    <w:rsid w:val="00DC38B8"/>
    <w:rsid w:val="00DC4475"/>
    <w:rsid w:val="00DC58C0"/>
    <w:rsid w:val="00DE11A5"/>
    <w:rsid w:val="00DE25A0"/>
    <w:rsid w:val="00DE3145"/>
    <w:rsid w:val="00DE4E91"/>
    <w:rsid w:val="00DF31E4"/>
    <w:rsid w:val="00DF39D2"/>
    <w:rsid w:val="00DF56A7"/>
    <w:rsid w:val="00E011D0"/>
    <w:rsid w:val="00E01912"/>
    <w:rsid w:val="00E04749"/>
    <w:rsid w:val="00E07A22"/>
    <w:rsid w:val="00E21911"/>
    <w:rsid w:val="00E2417A"/>
    <w:rsid w:val="00E24565"/>
    <w:rsid w:val="00E25B4B"/>
    <w:rsid w:val="00E26437"/>
    <w:rsid w:val="00E37F4B"/>
    <w:rsid w:val="00E411A9"/>
    <w:rsid w:val="00E4387D"/>
    <w:rsid w:val="00E43A22"/>
    <w:rsid w:val="00E52433"/>
    <w:rsid w:val="00E5325E"/>
    <w:rsid w:val="00E54CEB"/>
    <w:rsid w:val="00E557D7"/>
    <w:rsid w:val="00E55E85"/>
    <w:rsid w:val="00E560EA"/>
    <w:rsid w:val="00E62588"/>
    <w:rsid w:val="00E6313E"/>
    <w:rsid w:val="00E7396A"/>
    <w:rsid w:val="00E73FD6"/>
    <w:rsid w:val="00E74EFA"/>
    <w:rsid w:val="00E76CD4"/>
    <w:rsid w:val="00E86CF4"/>
    <w:rsid w:val="00E91C1D"/>
    <w:rsid w:val="00E940D2"/>
    <w:rsid w:val="00E94476"/>
    <w:rsid w:val="00EA067A"/>
    <w:rsid w:val="00EA1A26"/>
    <w:rsid w:val="00EA2F92"/>
    <w:rsid w:val="00EA3B95"/>
    <w:rsid w:val="00EA5A23"/>
    <w:rsid w:val="00EA600F"/>
    <w:rsid w:val="00EA7141"/>
    <w:rsid w:val="00EB5774"/>
    <w:rsid w:val="00EB6169"/>
    <w:rsid w:val="00EB64CF"/>
    <w:rsid w:val="00EB74A3"/>
    <w:rsid w:val="00EC1F3E"/>
    <w:rsid w:val="00EC65CA"/>
    <w:rsid w:val="00ED2C01"/>
    <w:rsid w:val="00ED7B9C"/>
    <w:rsid w:val="00EE3131"/>
    <w:rsid w:val="00EF0F49"/>
    <w:rsid w:val="00EF26EB"/>
    <w:rsid w:val="00EF291C"/>
    <w:rsid w:val="00EF584E"/>
    <w:rsid w:val="00F02583"/>
    <w:rsid w:val="00F14A3D"/>
    <w:rsid w:val="00F1565A"/>
    <w:rsid w:val="00F156C3"/>
    <w:rsid w:val="00F25E14"/>
    <w:rsid w:val="00F444F7"/>
    <w:rsid w:val="00F44B67"/>
    <w:rsid w:val="00F462EB"/>
    <w:rsid w:val="00F50082"/>
    <w:rsid w:val="00F504C5"/>
    <w:rsid w:val="00F519C6"/>
    <w:rsid w:val="00F51DBD"/>
    <w:rsid w:val="00F55497"/>
    <w:rsid w:val="00F56075"/>
    <w:rsid w:val="00F57A5E"/>
    <w:rsid w:val="00F62599"/>
    <w:rsid w:val="00F62C3C"/>
    <w:rsid w:val="00F63B47"/>
    <w:rsid w:val="00F64602"/>
    <w:rsid w:val="00F65701"/>
    <w:rsid w:val="00F7230C"/>
    <w:rsid w:val="00F74C22"/>
    <w:rsid w:val="00F80B2F"/>
    <w:rsid w:val="00F81D1A"/>
    <w:rsid w:val="00F84389"/>
    <w:rsid w:val="00F851EC"/>
    <w:rsid w:val="00F86B1F"/>
    <w:rsid w:val="00F87AF0"/>
    <w:rsid w:val="00F96F1F"/>
    <w:rsid w:val="00FA0025"/>
    <w:rsid w:val="00FA0E7F"/>
    <w:rsid w:val="00FA24B0"/>
    <w:rsid w:val="00FA4314"/>
    <w:rsid w:val="00FA45BB"/>
    <w:rsid w:val="00FA5099"/>
    <w:rsid w:val="00FA72FD"/>
    <w:rsid w:val="00FB04B7"/>
    <w:rsid w:val="00FB698B"/>
    <w:rsid w:val="00FC2F44"/>
    <w:rsid w:val="00FC63D2"/>
    <w:rsid w:val="00FC69B7"/>
    <w:rsid w:val="00FD30D6"/>
    <w:rsid w:val="00FD6378"/>
    <w:rsid w:val="00FE2612"/>
    <w:rsid w:val="00FE2DE8"/>
    <w:rsid w:val="00FE639E"/>
    <w:rsid w:val="00FF018B"/>
    <w:rsid w:val="00FF0708"/>
    <w:rsid w:val="00FF0CF2"/>
    <w:rsid w:val="00FF170B"/>
    <w:rsid w:val="00FF3038"/>
    <w:rsid w:val="00FF432E"/>
    <w:rsid w:val="00FF47AC"/>
    <w:rsid w:val="00FF7048"/>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colormru v:ext="edit" colors="#eaeaea"/>
    </o:shapedefaults>
    <o:shapelayout v:ext="edit">
      <o:idmap v:ext="edit" data="1"/>
    </o:shapelayout>
  </w:shapeDefaults>
  <w:decimalSymbol w:val=","/>
  <w:listSeparator w:val=";"/>
  <w15:docId w15:val="{734CBF12-2B58-4D58-81FF-AE51DC0A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autoRedefine/>
    <w:rsid w:val="007576FA"/>
    <w:pPr>
      <w:spacing w:before="230" w:after="230" w:line="300" w:lineRule="exact"/>
    </w:pPr>
    <w:rPr>
      <w:b/>
      <w:sz w:val="28"/>
      <w:szCs w:val="28"/>
    </w:rPr>
  </w:style>
  <w:style w:type="paragraph" w:customStyle="1" w:styleId="Authors">
    <w:name w:val="Authors"/>
    <w:basedOn w:val="Normal"/>
    <w:autoRedefine/>
    <w:rsid w:val="006479FE"/>
    <w:pPr>
      <w:spacing w:before="360" w:after="460" w:line="260" w:lineRule="exact"/>
    </w:pPr>
    <w:rPr>
      <w:b/>
      <w:lang w:val="en-GB"/>
    </w:rPr>
  </w:style>
  <w:style w:type="paragraph" w:customStyle="1" w:styleId="Dedication">
    <w:name w:val="Dedication"/>
    <w:basedOn w:val="Normal"/>
    <w:rsid w:val="009D14CA"/>
    <w:pPr>
      <w:spacing w:before="230" w:after="460" w:line="230" w:lineRule="exact"/>
      <w:contextualSpacing/>
    </w:pPr>
    <w:rPr>
      <w:i/>
      <w:sz w:val="18"/>
    </w:rPr>
  </w:style>
  <w:style w:type="paragraph" w:customStyle="1" w:styleId="P1withoutIndendation">
    <w:name w:val="P1_without_Indendation"/>
    <w:basedOn w:val="Normal"/>
    <w:rsid w:val="009D14CA"/>
    <w:pPr>
      <w:spacing w:line="230" w:lineRule="exact"/>
      <w:jc w:val="both"/>
    </w:pPr>
    <w:rPr>
      <w:sz w:val="18"/>
    </w:rPr>
  </w:style>
  <w:style w:type="paragraph" w:customStyle="1" w:styleId="History">
    <w:name w:val="History"/>
    <w:basedOn w:val="Normal"/>
    <w:autoRedefine/>
    <w:rsid w:val="006011C8"/>
    <w:pPr>
      <w:spacing w:before="230" w:after="460" w:line="180" w:lineRule="exact"/>
      <w:jc w:val="right"/>
    </w:pPr>
    <w:rPr>
      <w:sz w:val="16"/>
      <w:szCs w:val="16"/>
    </w:rPr>
  </w:style>
  <w:style w:type="paragraph" w:styleId="FootnoteText">
    <w:name w:val="footnote text"/>
    <w:basedOn w:val="Normal"/>
    <w:semiHidden/>
    <w:rsid w:val="00F62599"/>
    <w:rPr>
      <w:sz w:val="20"/>
      <w:szCs w:val="20"/>
    </w:rPr>
  </w:style>
  <w:style w:type="character" w:styleId="FootnoteReference">
    <w:name w:val="footnote reference"/>
    <w:basedOn w:val="DefaultParagraphFont"/>
    <w:semiHidden/>
    <w:rsid w:val="00F62599"/>
    <w:rPr>
      <w:vertAlign w:val="superscript"/>
    </w:rPr>
  </w:style>
  <w:style w:type="paragraph" w:customStyle="1" w:styleId="Adress">
    <w:name w:val="Adress"/>
    <w:basedOn w:val="FootnoteText"/>
    <w:autoRedefine/>
    <w:rsid w:val="00F81D1A"/>
    <w:pPr>
      <w:spacing w:before="230" w:line="200" w:lineRule="exact"/>
      <w:ind w:left="425" w:hanging="425"/>
    </w:pPr>
    <w:rPr>
      <w:rFonts w:ascii="Arial" w:hAnsi="Arial"/>
      <w:sz w:val="16"/>
    </w:rPr>
  </w:style>
  <w:style w:type="paragraph" w:customStyle="1" w:styleId="Footnote">
    <w:name w:val="Footnote"/>
    <w:basedOn w:val="Adress"/>
    <w:autoRedefine/>
    <w:rsid w:val="00FF7048"/>
    <w:pPr>
      <w:spacing w:before="120" w:line="180" w:lineRule="exact"/>
    </w:pPr>
    <w:rPr>
      <w:rFonts w:ascii="Times New Roman" w:hAnsi="Times New Roman"/>
      <w:sz w:val="14"/>
      <w:szCs w:val="14"/>
      <w:lang w:val="en-GB"/>
    </w:rPr>
  </w:style>
  <w:style w:type="paragraph" w:customStyle="1" w:styleId="References">
    <w:name w:val="References"/>
    <w:basedOn w:val="Normal"/>
    <w:autoRedefine/>
    <w:rsid w:val="00390DD7"/>
    <w:pPr>
      <w:pBdr>
        <w:top w:val="single" w:sz="4" w:space="1" w:color="000000"/>
      </w:pBdr>
      <w:spacing w:after="120" w:line="180" w:lineRule="exact"/>
      <w:ind w:left="425" w:hanging="425"/>
      <w:jc w:val="both"/>
    </w:pPr>
    <w:rPr>
      <w:sz w:val="14"/>
      <w:szCs w:val="14"/>
      <w:lang w:val="en-GB"/>
    </w:rPr>
  </w:style>
  <w:style w:type="paragraph" w:customStyle="1" w:styleId="ColumnTitle">
    <w:name w:val="ColumnTitle"/>
    <w:basedOn w:val="Normal"/>
    <w:autoRedefine/>
    <w:rsid w:val="001A39AE"/>
    <w:pPr>
      <w:spacing w:after="240"/>
      <w:jc w:val="right"/>
    </w:pPr>
    <w:rPr>
      <w:rFonts w:ascii="Arial" w:hAnsi="Arial" w:cs="Arial"/>
      <w:b/>
      <w:color w:val="000000"/>
      <w:sz w:val="34"/>
      <w:szCs w:val="34"/>
      <w:lang w:val="en-GB"/>
    </w:rPr>
  </w:style>
  <w:style w:type="paragraph" w:customStyle="1" w:styleId="ExperimentalSection">
    <w:name w:val="ExperimentalSection"/>
    <w:basedOn w:val="Normal"/>
    <w:autoRedefine/>
    <w:rsid w:val="00390DD7"/>
    <w:pPr>
      <w:spacing w:after="240" w:line="180" w:lineRule="exact"/>
      <w:jc w:val="both"/>
    </w:pPr>
    <w:rPr>
      <w:sz w:val="14"/>
      <w:szCs w:val="14"/>
      <w:lang w:val="en-GB"/>
    </w:rPr>
  </w:style>
  <w:style w:type="paragraph" w:customStyle="1" w:styleId="HExperimentalSection">
    <w:name w:val="HExperimental_Section"/>
    <w:basedOn w:val="Normal"/>
    <w:autoRedefine/>
    <w:rsid w:val="001F4EE4"/>
    <w:pPr>
      <w:spacing w:before="460" w:after="230" w:line="230" w:lineRule="atLeast"/>
      <w:jc w:val="center"/>
    </w:pPr>
    <w:rPr>
      <w:b/>
      <w:sz w:val="20"/>
      <w:szCs w:val="20"/>
    </w:rPr>
  </w:style>
  <w:style w:type="paragraph" w:customStyle="1" w:styleId="SchemeCaption">
    <w:name w:val="SchemeCaption"/>
    <w:basedOn w:val="Normal"/>
    <w:autoRedefine/>
    <w:rsid w:val="00C2552A"/>
    <w:pPr>
      <w:spacing w:before="230" w:after="460" w:line="180" w:lineRule="exact"/>
      <w:jc w:val="both"/>
    </w:pPr>
    <w:rPr>
      <w:sz w:val="14"/>
      <w:szCs w:val="14"/>
      <w:lang w:val="en-GB"/>
    </w:rPr>
  </w:style>
  <w:style w:type="paragraph" w:customStyle="1" w:styleId="FigureCaption">
    <w:name w:val="FigureCaption"/>
    <w:basedOn w:val="Normal"/>
    <w:autoRedefine/>
    <w:rsid w:val="00C2552A"/>
    <w:pPr>
      <w:spacing w:before="230" w:after="460" w:line="180" w:lineRule="exact"/>
      <w:jc w:val="both"/>
    </w:pPr>
    <w:rPr>
      <w:sz w:val="14"/>
      <w:szCs w:val="14"/>
      <w:lang w:val="en-GB"/>
    </w:rPr>
  </w:style>
  <w:style w:type="paragraph" w:customStyle="1" w:styleId="TableCaption">
    <w:name w:val="TableCaption"/>
    <w:basedOn w:val="Normal"/>
    <w:autoRedefine/>
    <w:rsid w:val="00C2552A"/>
    <w:pPr>
      <w:spacing w:before="230" w:after="120" w:line="200" w:lineRule="exact"/>
      <w:jc w:val="both"/>
    </w:pPr>
    <w:rPr>
      <w:sz w:val="14"/>
      <w:szCs w:val="14"/>
      <w:lang w:val="en-GB"/>
    </w:rPr>
  </w:style>
  <w:style w:type="paragraph" w:customStyle="1" w:styleId="TableHead">
    <w:name w:val="TableHead"/>
    <w:basedOn w:val="TableCaption"/>
    <w:autoRedefine/>
    <w:rsid w:val="00A734EF"/>
    <w:pPr>
      <w:spacing w:before="120"/>
    </w:pPr>
  </w:style>
  <w:style w:type="paragraph" w:customStyle="1" w:styleId="TableBody">
    <w:name w:val="TableBody"/>
    <w:basedOn w:val="Normal"/>
    <w:autoRedefine/>
    <w:rsid w:val="006C2DBE"/>
    <w:pPr>
      <w:spacing w:before="120" w:after="120" w:line="230" w:lineRule="exact"/>
    </w:pPr>
    <w:rPr>
      <w:rFonts w:ascii="Arial" w:hAnsi="Arial"/>
      <w:sz w:val="16"/>
    </w:rPr>
  </w:style>
  <w:style w:type="paragraph" w:customStyle="1" w:styleId="TableFoot">
    <w:name w:val="TableFoot"/>
    <w:basedOn w:val="Normal"/>
    <w:autoRedefine/>
    <w:rsid w:val="00C2552A"/>
    <w:pPr>
      <w:spacing w:after="460" w:line="230" w:lineRule="exact"/>
      <w:jc w:val="both"/>
    </w:pPr>
    <w:rPr>
      <w:sz w:val="14"/>
      <w:szCs w:val="14"/>
      <w:lang w:val="en-GB"/>
    </w:rPr>
  </w:style>
  <w:style w:type="table" w:styleId="TableGrid">
    <w:name w:val="Table Grid"/>
    <w:basedOn w:val="TableNormal"/>
    <w:rsid w:val="00EA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rsid w:val="00E24565"/>
    <w:pPr>
      <w:shd w:val="clear" w:color="auto" w:fill="C0C0C0"/>
      <w:spacing w:before="240" w:after="360" w:line="220" w:lineRule="exact"/>
    </w:pPr>
    <w:rPr>
      <w:sz w:val="20"/>
      <w:szCs w:val="20"/>
      <w:lang w:val="en-GB"/>
    </w:rPr>
  </w:style>
  <w:style w:type="paragraph" w:customStyle="1" w:styleId="ManuscriptID">
    <w:name w:val="ManuscriptID"/>
    <w:basedOn w:val="Normal"/>
    <w:autoRedefine/>
    <w:rsid w:val="00232C14"/>
    <w:pPr>
      <w:spacing w:before="230" w:after="1440" w:line="230" w:lineRule="exact"/>
      <w:jc w:val="right"/>
    </w:pPr>
    <w:rPr>
      <w:b/>
      <w:sz w:val="15"/>
      <w:szCs w:val="15"/>
      <w:lang w:val="en-GB"/>
    </w:rPr>
  </w:style>
  <w:style w:type="paragraph" w:customStyle="1" w:styleId="AuthorsTOC">
    <w:name w:val="Authors_TOC"/>
    <w:basedOn w:val="Authors"/>
    <w:autoRedefine/>
    <w:rsid w:val="00537F36"/>
    <w:pPr>
      <w:spacing w:before="230" w:after="0" w:line="230" w:lineRule="exact"/>
    </w:pPr>
    <w:rPr>
      <w:b w:val="0"/>
      <w:i/>
      <w:sz w:val="20"/>
      <w:szCs w:val="20"/>
    </w:rPr>
  </w:style>
  <w:style w:type="paragraph" w:customStyle="1" w:styleId="TitleTOC">
    <w:name w:val="Title_TOC"/>
    <w:basedOn w:val="AuthorsTOC"/>
    <w:autoRedefine/>
    <w:rsid w:val="00537F36"/>
    <w:rPr>
      <w:b/>
      <w:i w:val="0"/>
    </w:rPr>
  </w:style>
  <w:style w:type="paragraph" w:customStyle="1" w:styleId="TableOfContentText">
    <w:name w:val="TableOfContentText"/>
    <w:basedOn w:val="AuthorsTOC"/>
    <w:autoRedefine/>
    <w:rsid w:val="00BE4A2B"/>
    <w:pPr>
      <w:spacing w:before="120"/>
    </w:pPr>
    <w:rPr>
      <w:i w:val="0"/>
      <w:color w:val="000000"/>
    </w:rPr>
  </w:style>
  <w:style w:type="character" w:styleId="Hyperlink">
    <w:name w:val="Hyperlink"/>
    <w:basedOn w:val="DefaultParagraphFont"/>
    <w:rsid w:val="00740CE1"/>
    <w:rPr>
      <w:color w:val="0000FF"/>
      <w:u w:val="single"/>
    </w:rPr>
  </w:style>
  <w:style w:type="paragraph" w:customStyle="1" w:styleId="P1withIndendation">
    <w:name w:val="P1_with_Indendation"/>
    <w:basedOn w:val="TableCaption"/>
    <w:rsid w:val="004A489D"/>
    <w:pPr>
      <w:spacing w:line="230" w:lineRule="exact"/>
      <w:ind w:firstLine="284"/>
    </w:pPr>
    <w:rPr>
      <w:sz w:val="18"/>
    </w:rPr>
  </w:style>
  <w:style w:type="paragraph" w:customStyle="1" w:styleId="LeadIn">
    <w:name w:val="LeadIn"/>
    <w:basedOn w:val="Normal"/>
    <w:rsid w:val="009B7251"/>
    <w:pPr>
      <w:spacing w:after="460" w:line="280" w:lineRule="exact"/>
    </w:pPr>
    <w:rPr>
      <w:i/>
      <w:sz w:val="22"/>
      <w:szCs w:val="22"/>
      <w:lang w:val="en-GB"/>
    </w:rPr>
  </w:style>
  <w:style w:type="paragraph" w:customStyle="1" w:styleId="H1">
    <w:name w:val="H1"/>
    <w:basedOn w:val="Normal"/>
    <w:autoRedefine/>
    <w:rsid w:val="006011C8"/>
    <w:pPr>
      <w:spacing w:before="360" w:after="230" w:line="220" w:lineRule="exact"/>
      <w:jc w:val="center"/>
    </w:pPr>
    <w:rPr>
      <w:b/>
      <w:sz w:val="20"/>
      <w:lang w:val="en-GB"/>
    </w:rPr>
  </w:style>
  <w:style w:type="paragraph" w:customStyle="1" w:styleId="H2">
    <w:name w:val="H2"/>
    <w:basedOn w:val="H1"/>
    <w:rsid w:val="00C966DA"/>
    <w:rPr>
      <w:sz w:val="18"/>
    </w:rPr>
  </w:style>
  <w:style w:type="paragraph" w:customStyle="1" w:styleId="H3">
    <w:name w:val="H3"/>
    <w:basedOn w:val="H2"/>
    <w:rsid w:val="00077560"/>
    <w:pPr>
      <w:spacing w:before="230"/>
    </w:pPr>
    <w:rPr>
      <w:b w:val="0"/>
    </w:rPr>
  </w:style>
  <w:style w:type="paragraph" w:customStyle="1" w:styleId="H4">
    <w:name w:val="H4"/>
    <w:basedOn w:val="H3"/>
    <w:rsid w:val="00EA5A23"/>
  </w:style>
  <w:style w:type="paragraph" w:customStyle="1" w:styleId="H5">
    <w:name w:val="H5"/>
    <w:basedOn w:val="H4"/>
    <w:rsid w:val="00B64D08"/>
  </w:style>
  <w:style w:type="paragraph" w:customStyle="1" w:styleId="Biography">
    <w:name w:val="Biography"/>
    <w:basedOn w:val="TableFoot"/>
    <w:rsid w:val="004A75D5"/>
    <w:pPr>
      <w:shd w:val="clear" w:color="auto" w:fill="C0C0C0"/>
      <w:spacing w:before="200" w:after="200" w:line="200" w:lineRule="exact"/>
    </w:pPr>
    <w:rPr>
      <w:i/>
    </w:rPr>
  </w:style>
  <w:style w:type="paragraph" w:styleId="Caption">
    <w:name w:val="caption"/>
    <w:basedOn w:val="Normal"/>
    <w:next w:val="Normal"/>
    <w:qFormat/>
    <w:rsid w:val="004D31C6"/>
    <w:pPr>
      <w:spacing w:before="120" w:after="120"/>
    </w:pPr>
    <w:rPr>
      <w:b/>
      <w:bCs/>
      <w:sz w:val="20"/>
      <w:szCs w:val="20"/>
    </w:rPr>
  </w:style>
  <w:style w:type="paragraph" w:styleId="Footer">
    <w:name w:val="footer"/>
    <w:basedOn w:val="Normal"/>
    <w:rsid w:val="00972425"/>
    <w:pPr>
      <w:tabs>
        <w:tab w:val="center" w:pos="4536"/>
        <w:tab w:val="right" w:pos="9072"/>
      </w:tabs>
    </w:pPr>
  </w:style>
  <w:style w:type="character" w:styleId="PageNumber">
    <w:name w:val="page number"/>
    <w:basedOn w:val="DefaultParagraphFont"/>
    <w:rsid w:val="00972425"/>
  </w:style>
  <w:style w:type="paragraph" w:customStyle="1" w:styleId="Abstract">
    <w:name w:val="Abstract"/>
    <w:basedOn w:val="Normal"/>
    <w:autoRedefine/>
    <w:rsid w:val="0018165B"/>
    <w:pPr>
      <w:spacing w:before="240" w:line="220" w:lineRule="exact"/>
      <w:jc w:val="both"/>
    </w:pPr>
    <w:rPr>
      <w:sz w:val="20"/>
      <w:szCs w:val="20"/>
      <w:lang w:val="en-GB"/>
    </w:rPr>
  </w:style>
  <w:style w:type="paragraph" w:customStyle="1" w:styleId="HAcknowledgements">
    <w:name w:val="HAcknowledgements"/>
    <w:basedOn w:val="H1"/>
    <w:autoRedefine/>
    <w:rsid w:val="00184380"/>
  </w:style>
  <w:style w:type="paragraph" w:customStyle="1" w:styleId="Acknowledgements">
    <w:name w:val="Acknowledgements"/>
    <w:basedOn w:val="ExperimentalSection"/>
    <w:autoRedefine/>
    <w:rsid w:val="00184380"/>
  </w:style>
  <w:style w:type="paragraph" w:customStyle="1" w:styleId="ColumnTitleTOC">
    <w:name w:val="ColumnTitle_TOC"/>
    <w:basedOn w:val="ColumnTitle"/>
    <w:rsid w:val="001A39AE"/>
  </w:style>
  <w:style w:type="paragraph" w:customStyle="1" w:styleId="SubjectHeadingTOC">
    <w:name w:val="SubjectHeading_TOC"/>
    <w:basedOn w:val="Normal"/>
    <w:rsid w:val="008408A1"/>
    <w:pPr>
      <w:spacing w:before="60" w:after="60" w:line="230" w:lineRule="exact"/>
    </w:pPr>
    <w:rPr>
      <w:rFonts w:ascii="Arial" w:hAnsi="Arial"/>
      <w:b/>
      <w:i/>
      <w:color w:val="FFFFFF"/>
      <w:sz w:val="21"/>
      <w:szCs w:val="18"/>
      <w:lang w:val="en-GB"/>
    </w:rPr>
  </w:style>
  <w:style w:type="paragraph" w:customStyle="1" w:styleId="GAAuthors">
    <w:name w:val="GAAuthors"/>
    <w:basedOn w:val="Normal"/>
    <w:rsid w:val="00862B2D"/>
    <w:pPr>
      <w:spacing w:before="360" w:after="60" w:line="220" w:lineRule="exact"/>
    </w:pPr>
    <w:rPr>
      <w:b/>
      <w:sz w:val="18"/>
      <w:szCs w:val="20"/>
      <w:lang w:val="en-GB"/>
    </w:rPr>
  </w:style>
  <w:style w:type="paragraph" w:customStyle="1" w:styleId="GACatchPhrase">
    <w:name w:val="GACatchPhrase"/>
    <w:basedOn w:val="Normal"/>
    <w:rsid w:val="00862B2D"/>
    <w:pPr>
      <w:spacing w:before="40"/>
      <w:jc w:val="right"/>
    </w:pPr>
    <w:rPr>
      <w:rFonts w:cs="Arial"/>
      <w:b/>
      <w:color w:val="008080"/>
      <w:sz w:val="18"/>
      <w:szCs w:val="16"/>
      <w:lang w:val="en-GB"/>
    </w:rPr>
  </w:style>
  <w:style w:type="paragraph" w:customStyle="1" w:styleId="GAText">
    <w:name w:val="GAText"/>
    <w:basedOn w:val="Normal"/>
    <w:rsid w:val="00862B2D"/>
    <w:pPr>
      <w:spacing w:before="120" w:line="220" w:lineRule="exact"/>
    </w:pPr>
    <w:rPr>
      <w:color w:val="000000"/>
      <w:sz w:val="18"/>
    </w:rPr>
  </w:style>
  <w:style w:type="paragraph" w:customStyle="1" w:styleId="GATitel">
    <w:name w:val="GATitel"/>
    <w:basedOn w:val="GAAuthors"/>
    <w:rsid w:val="00862B2D"/>
    <w:pPr>
      <w:spacing w:before="240"/>
    </w:pPr>
    <w:rPr>
      <w:b w:val="0"/>
    </w:rPr>
  </w:style>
  <w:style w:type="paragraph" w:customStyle="1" w:styleId="GAKeywords">
    <w:name w:val="GAKeywords"/>
    <w:basedOn w:val="Keywords"/>
    <w:rsid w:val="00862B2D"/>
    <w:pPr>
      <w:framePr w:hSpace="141" w:wrap="around" w:hAnchor="text" w:y="673"/>
      <w:shd w:val="clear" w:color="auto" w:fill="auto"/>
      <w:spacing w:before="200" w:after="0"/>
    </w:pPr>
    <w:rPr>
      <w:b/>
      <w:sz w:val="18"/>
      <w:szCs w:val="24"/>
    </w:rPr>
  </w:style>
  <w:style w:type="paragraph" w:styleId="BalloonText">
    <w:name w:val="Balloon Text"/>
    <w:basedOn w:val="Normal"/>
    <w:link w:val="BalloonTextChar"/>
    <w:uiPriority w:val="99"/>
    <w:semiHidden/>
    <w:unhideWhenUsed/>
    <w:rsid w:val="00946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5A0"/>
    <w:rPr>
      <w:rFonts w:ascii="Segoe UI" w:hAnsi="Segoe UI" w:cs="Segoe UI"/>
      <w:sz w:val="18"/>
      <w:szCs w:val="1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webSettings" Target="webSettings.xml"/><Relationship Id="rId21" Type="http://schemas.openxmlformats.org/officeDocument/2006/relationships/image" Target="media/image5.emf"/><Relationship Id="rId34" Type="http://schemas.openxmlformats.org/officeDocument/2006/relationships/oleObject" Target="embeddings/oleObject9.bin"/><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2" Type="http://schemas.openxmlformats.org/officeDocument/2006/relationships/settings" Target="setting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24" Type="http://schemas.openxmlformats.org/officeDocument/2006/relationships/oleObject" Target="embeddings/oleObject5.bin"/><Relationship Id="rId32" Type="http://schemas.openxmlformats.org/officeDocument/2006/relationships/hyperlink" Target="mailto:deposit@ccdc.cam.ac.uk" TargetMode="External"/><Relationship Id="rId5" Type="http://schemas.openxmlformats.org/officeDocument/2006/relationships/endnotes" Target="end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7.bin"/><Relationship Id="rId36" Type="http://schemas.openxmlformats.org/officeDocument/2006/relationships/theme" Target="theme/theme1.xml"/><Relationship Id="rId10" Type="http://schemas.openxmlformats.org/officeDocument/2006/relationships/hyperlink" Target="http://www.riosresearchgroup.com" TargetMode="External"/><Relationship Id="rId19" Type="http://schemas.openxmlformats.org/officeDocument/2006/relationships/image" Target="media/image4.emf"/><Relationship Id="rId31"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hyperlink" Target="http://www.riosresearchgroup.com" TargetMode="External"/><Relationship Id="rId14" Type="http://schemas.openxmlformats.org/officeDocument/2006/relationships/footer" Target="footer6.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on%20Office\Dropbox%20(Rios%20Research%20Group)\Templates\Chemistry\2111_commun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2111_communication.dot</Template>
  <TotalTime>191</TotalTime>
  <Pages>6</Pages>
  <Words>3666</Words>
  <Characters>20897</Characters>
  <Application>Microsoft Office Word</Application>
  <DocSecurity>0</DocSecurity>
  <Lines>174</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WILEY-VCH Verlag GmbH &amp; Co. KGaA</Company>
  <LinksUpToDate>false</LinksUpToDate>
  <CharactersWithSpaces>24514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Ramon Office</dc:creator>
  <cp:keywords/>
  <dc:description/>
  <cp:lastModifiedBy>Ramon Office</cp:lastModifiedBy>
  <cp:revision>34</cp:revision>
  <dcterms:created xsi:type="dcterms:W3CDTF">2016-04-20T13:48:00Z</dcterms:created>
  <dcterms:modified xsi:type="dcterms:W3CDTF">2016-05-18T11:05:00Z</dcterms:modified>
</cp:coreProperties>
</file>