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B0F" w:rsidRPr="00C172C1" w:rsidRDefault="009A18A7" w:rsidP="00C172C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172C1">
        <w:rPr>
          <w:rFonts w:ascii="Times New Roman" w:hAnsi="Times New Roman" w:cs="Times New Roman"/>
          <w:b/>
          <w:sz w:val="24"/>
          <w:szCs w:val="24"/>
        </w:rPr>
        <w:t>A randomised controlled trial of the effects of Vitamin D supplementation on knee osteoarthritis: the VIDEO study</w:t>
      </w:r>
    </w:p>
    <w:p w:rsidR="009A18A7" w:rsidRPr="00C172C1" w:rsidRDefault="009A18A7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t>Supplementary file</w:t>
      </w:r>
    </w:p>
    <w:p w:rsidR="00B0769C" w:rsidRPr="00C172C1" w:rsidRDefault="00B20B47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t xml:space="preserve">eTable </w:t>
      </w:r>
      <w:r w:rsidR="00B0769C" w:rsidRPr="00C172C1">
        <w:rPr>
          <w:rFonts w:ascii="Times New Roman" w:hAnsi="Times New Roman" w:cs="Times New Roman"/>
          <w:b/>
          <w:sz w:val="20"/>
          <w:szCs w:val="20"/>
        </w:rPr>
        <w:t xml:space="preserve">1: </w:t>
      </w:r>
      <w:r w:rsidR="00B0769C" w:rsidRPr="00C172C1">
        <w:rPr>
          <w:rFonts w:ascii="Times New Roman" w:hAnsi="Times New Roman" w:cs="Times New Roman"/>
          <w:sz w:val="20"/>
          <w:szCs w:val="20"/>
        </w:rPr>
        <w:t>Additional baseline characteristics</w:t>
      </w:r>
    </w:p>
    <w:p w:rsidR="00B0769C" w:rsidRPr="00C172C1" w:rsidRDefault="00B20B47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t>e</w:t>
      </w:r>
      <w:r w:rsidR="00B0769C" w:rsidRPr="00C172C1">
        <w:rPr>
          <w:rFonts w:ascii="Times New Roman" w:hAnsi="Times New Roman" w:cs="Times New Roman"/>
          <w:b/>
          <w:sz w:val="20"/>
          <w:szCs w:val="20"/>
        </w:rPr>
        <w:t xml:space="preserve">Table 2: </w:t>
      </w:r>
      <w:r w:rsidR="00B0769C" w:rsidRPr="00C172C1">
        <w:rPr>
          <w:rFonts w:ascii="Times New Roman" w:hAnsi="Times New Roman" w:cs="Times New Roman"/>
          <w:sz w:val="20"/>
          <w:szCs w:val="20"/>
        </w:rPr>
        <w:t>Multiple Imputation and Complete Case sensitivity analysis of the primary outcome</w:t>
      </w:r>
    </w:p>
    <w:p w:rsidR="00B0769C" w:rsidRPr="00C172C1" w:rsidRDefault="00B20B47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t xml:space="preserve">eFigure </w:t>
      </w:r>
      <w:r w:rsidR="00B0769C" w:rsidRPr="00C172C1">
        <w:rPr>
          <w:rFonts w:ascii="Times New Roman" w:hAnsi="Times New Roman" w:cs="Times New Roman"/>
          <w:b/>
          <w:sz w:val="20"/>
          <w:szCs w:val="20"/>
        </w:rPr>
        <w:t xml:space="preserve">1: </w:t>
      </w:r>
      <w:r w:rsidR="00B0769C" w:rsidRPr="00C172C1">
        <w:rPr>
          <w:rFonts w:ascii="Times New Roman" w:hAnsi="Times New Roman" w:cs="Times New Roman"/>
          <w:sz w:val="20"/>
          <w:szCs w:val="20"/>
        </w:rPr>
        <w:t>Treatment effects from sensitivity analysis</w:t>
      </w:r>
      <w:r w:rsidR="00B0769C" w:rsidRPr="00C172C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0769C" w:rsidRDefault="00B20B47" w:rsidP="00C172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t xml:space="preserve">eTable </w:t>
      </w:r>
      <w:r w:rsidR="00B0769C" w:rsidRPr="00C172C1">
        <w:rPr>
          <w:rFonts w:ascii="Times New Roman" w:hAnsi="Times New Roman" w:cs="Times New Roman"/>
          <w:b/>
          <w:sz w:val="20"/>
          <w:szCs w:val="20"/>
        </w:rPr>
        <w:t xml:space="preserve">3: </w:t>
      </w:r>
      <w:r w:rsidR="00B0769C" w:rsidRPr="00C172C1">
        <w:rPr>
          <w:rFonts w:ascii="Times New Roman" w:hAnsi="Times New Roman" w:cs="Times New Roman"/>
          <w:sz w:val="20"/>
          <w:szCs w:val="20"/>
        </w:rPr>
        <w:t>Treatment effect estimates for additional continuous secondary outcomes</w:t>
      </w:r>
    </w:p>
    <w:p w:rsidR="00434359" w:rsidRPr="00C172C1" w:rsidRDefault="00434359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34359">
        <w:rPr>
          <w:rFonts w:ascii="Times New Roman" w:hAnsi="Times New Roman" w:cs="Times New Roman"/>
          <w:b/>
          <w:sz w:val="20"/>
          <w:szCs w:val="20"/>
        </w:rPr>
        <w:t>eFigure 2: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34359">
        <w:rPr>
          <w:rFonts w:ascii="Times New Roman" w:hAnsi="Times New Roman" w:cs="Times New Roman"/>
          <w:sz w:val="20"/>
          <w:szCs w:val="20"/>
        </w:rPr>
        <w:t xml:space="preserve">Mean WOMAC Pain Scores </w:t>
      </w:r>
    </w:p>
    <w:p w:rsidR="00B0769C" w:rsidRPr="00C172C1" w:rsidRDefault="00B20B47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t xml:space="preserve">eTable </w:t>
      </w:r>
      <w:r w:rsidR="00B0769C" w:rsidRPr="00C172C1">
        <w:rPr>
          <w:rFonts w:ascii="Times New Roman" w:hAnsi="Times New Roman" w:cs="Times New Roman"/>
          <w:b/>
          <w:sz w:val="20"/>
          <w:szCs w:val="20"/>
        </w:rPr>
        <w:t xml:space="preserve">4: </w:t>
      </w:r>
      <w:r w:rsidR="00B0769C" w:rsidRPr="00C172C1">
        <w:rPr>
          <w:rFonts w:ascii="Times New Roman" w:hAnsi="Times New Roman" w:cs="Times New Roman"/>
          <w:sz w:val="20"/>
          <w:szCs w:val="20"/>
        </w:rPr>
        <w:t>Treatment effect estimates for ordinal and binary secondary outcomes</w:t>
      </w:r>
    </w:p>
    <w:p w:rsidR="00B0769C" w:rsidRPr="00C172C1" w:rsidRDefault="00B20B47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t xml:space="preserve">eTable </w:t>
      </w:r>
      <w:r w:rsidR="00B0769C" w:rsidRPr="00C172C1">
        <w:rPr>
          <w:rFonts w:ascii="Times New Roman" w:hAnsi="Times New Roman" w:cs="Times New Roman"/>
          <w:b/>
          <w:sz w:val="20"/>
          <w:szCs w:val="20"/>
        </w:rPr>
        <w:t xml:space="preserve">5: </w:t>
      </w:r>
      <w:r w:rsidR="00B0769C" w:rsidRPr="00C172C1">
        <w:rPr>
          <w:rFonts w:ascii="Times New Roman" w:hAnsi="Times New Roman" w:cs="Times New Roman"/>
          <w:sz w:val="20"/>
          <w:szCs w:val="20"/>
        </w:rPr>
        <w:t>Primary and Secondary Outcomes at 3 years</w:t>
      </w:r>
      <w:r w:rsidR="00B0769C" w:rsidRPr="00C172C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D2D0B" w:rsidRPr="00C172C1" w:rsidRDefault="007F208C" w:rsidP="00C172C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eTable </w:t>
      </w:r>
      <w:r w:rsidR="00ED2D0B" w:rsidRPr="00C172C1">
        <w:rPr>
          <w:rFonts w:ascii="Arial" w:hAnsi="Arial" w:cs="Arial"/>
          <w:b/>
          <w:sz w:val="24"/>
          <w:szCs w:val="24"/>
        </w:rPr>
        <w:t>1: Additional baseline</w:t>
      </w:r>
      <w:r w:rsidR="008C3F6A" w:rsidRPr="00C172C1">
        <w:rPr>
          <w:rFonts w:ascii="Arial" w:hAnsi="Arial" w:cs="Arial"/>
          <w:b/>
          <w:sz w:val="24"/>
          <w:szCs w:val="24"/>
        </w:rPr>
        <w:t xml:space="preserve"> characteristics. Summary measures are mean(sd), median (</w:t>
      </w:r>
      <w:r w:rsidR="00007873" w:rsidRPr="00C172C1">
        <w:rPr>
          <w:rFonts w:ascii="Arial" w:hAnsi="Arial" w:cs="Arial"/>
          <w:b/>
          <w:sz w:val="24"/>
          <w:szCs w:val="24"/>
        </w:rPr>
        <w:t>range</w:t>
      </w:r>
      <w:r w:rsidR="008C3F6A" w:rsidRPr="00C172C1">
        <w:rPr>
          <w:rFonts w:ascii="Arial" w:hAnsi="Arial" w:cs="Arial"/>
          <w:b/>
          <w:sz w:val="24"/>
          <w:szCs w:val="24"/>
        </w:rPr>
        <w:t>) or number (%).</w:t>
      </w:r>
    </w:p>
    <w:tbl>
      <w:tblPr>
        <w:tblW w:w="8698" w:type="dxa"/>
        <w:tblInd w:w="-176" w:type="dxa"/>
        <w:tblLook w:val="01E0" w:firstRow="1" w:lastRow="1" w:firstColumn="1" w:lastColumn="1" w:noHBand="0" w:noVBand="0"/>
      </w:tblPr>
      <w:tblGrid>
        <w:gridCol w:w="3828"/>
        <w:gridCol w:w="1701"/>
        <w:gridCol w:w="1468"/>
        <w:gridCol w:w="91"/>
        <w:gridCol w:w="1560"/>
        <w:gridCol w:w="50"/>
      </w:tblGrid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>N vitamin D /</w:t>
            </w:r>
          </w:p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 Placebo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>Vitamin D</w:t>
            </w:r>
          </w:p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Placebo 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Age (yrs)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64 (8)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64 (8)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Sex: Female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144 (61%)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145 (61%)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Index knee: Right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136 (57%)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146 (62%)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Standing height (m)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236/237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1.7 (0.1)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1.7 (0.1)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Sitting height (m)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145/146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0.85 (0.09)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0.84 (0.09)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Weight (kg)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236/237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83 (14)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82 (16)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Birth weight (kg)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67/69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3.3 (0.8)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3.4 (0.9)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BMI</w:t>
            </w:r>
            <w:r w:rsidRPr="00C172C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</w:t>
            </w: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(kg/m</w:t>
            </w:r>
            <w:r w:rsidRPr="00C172C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236/237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30 (5)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29 (5)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Temperature (</w:t>
            </w:r>
            <w:r w:rsidRPr="00C172C1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o</w:t>
            </w: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C)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234/237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36 (0.4)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36 (0.4)</w:t>
            </w:r>
          </w:p>
        </w:tc>
      </w:tr>
      <w:tr w:rsidR="00ED2D0B" w:rsidRPr="00C172C1" w:rsidTr="008976E1">
        <w:trPr>
          <w:gridAfter w:val="1"/>
          <w:wAfter w:w="50" w:type="dxa"/>
          <w:trHeight w:val="189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Systolic blood pressure (mm/Hg)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234/236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135 (19)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138 (20)</w:t>
            </w:r>
          </w:p>
        </w:tc>
      </w:tr>
      <w:tr w:rsidR="00ED2D0B" w:rsidRPr="00C172C1" w:rsidTr="008976E1">
        <w:trPr>
          <w:gridAfter w:val="1"/>
          <w:wAfter w:w="50" w:type="dxa"/>
          <w:trHeight w:val="285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Diastolic blood pressure (mm/Hg)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234/236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79 (12)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78 (12)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Pulse (bpm)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235/237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69 (12)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69 (11)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Waist (cm)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231/229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96 (12)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95 (14)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E0E0E0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shd w:val="clear" w:color="auto" w:fill="E0E0E0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gridSpan w:val="2"/>
            <w:shd w:val="clear" w:color="auto" w:fill="E0E0E0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560" w:type="dxa"/>
            <w:shd w:val="clear" w:color="auto" w:fill="E0E0E0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Age at first period if female (yrs)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142/145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13 (2)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13 (2)</w:t>
            </w:r>
          </w:p>
        </w:tc>
      </w:tr>
      <w:tr w:rsidR="00ED2D0B" w:rsidRPr="00C172C1" w:rsidTr="008976E1">
        <w:trPr>
          <w:gridAfter w:val="1"/>
          <w:wAfter w:w="50" w:type="dxa"/>
          <w:trHeight w:val="209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Age at menopause if female (yrs)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136/136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48 (7)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49 (6)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Hysterectomy if female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137/141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57 (42%)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41 (29%)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Any ovaries removed if female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136/138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25 (18%)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22 (16%)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Taking HRT if female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142/145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12 (8%)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12 (8%)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Oral contraceptive if female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143/145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84 (59%)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89 (61%)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Number of children if female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143/145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 (0 to 6)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 (0 to 5)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D9D9D9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shd w:val="clear" w:color="auto" w:fill="D9D9D9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gridSpan w:val="2"/>
            <w:shd w:val="clear" w:color="auto" w:fill="D9D9D9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560" w:type="dxa"/>
            <w:shd w:val="clear" w:color="auto" w:fill="D9D9D9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Family history of knee or hip OA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236/235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113 (48%)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109 (46%)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Alcohol consumption (units/wk)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195/200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7 (2 to 14)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6 (2 to 12)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Smoking status:     Current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16 (7%)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9 (4%)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Ex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112 (47%)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102 (43%)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Never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109 (46%)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126 (53%)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Heberdens nodes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145 (61%)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165 (70%)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Bouchards nodes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71 (30%)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83 (35%)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CMC joint OA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105 (44%)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101 (43%)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Bilateral knee OA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169 (71%)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166 (70%)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Taking analgesics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104 (44%)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98 (41%)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Taking glucosamine or chondrotin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237/237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109 (46%)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104 (44%)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Taking cod liver oil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236/236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73 (31%)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78 (33%)</w:t>
            </w:r>
          </w:p>
        </w:tc>
      </w:tr>
      <w:tr w:rsidR="00ED2D0B" w:rsidRPr="00C172C1" w:rsidTr="008976E1">
        <w:trPr>
          <w:gridAfter w:val="1"/>
          <w:wAfter w:w="50" w:type="dxa"/>
        </w:trPr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red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Total visits to any practitioner in last 6 months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235/237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 (0 to 6)</w:t>
            </w:r>
          </w:p>
        </w:tc>
        <w:tc>
          <w:tcPr>
            <w:tcW w:w="1560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 (0 to 7)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WOMAC pain score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236/232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33 (18)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31 (19)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WOMAC function score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236/232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36 (21)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35 (20)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WOMAC stiffness score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236/231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47 (24)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43 (24)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WOMAC total score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red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236/232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36 (19)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35 (19)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WHOQOL-Bref physical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237/231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64 (18)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64 (15)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 xml:space="preserve">WHOQOL-Bref </w:t>
            </w:r>
            <w:r w:rsidRPr="00C172C1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psychological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237/231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72 (15)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70 (14)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WHOQOL-Bref social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237/231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73 (19)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71 (19)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 xml:space="preserve">WHOQOL-Bref </w:t>
            </w:r>
            <w:r w:rsidRPr="00C172C1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environment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237/231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78 (13)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77 (13)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D0B" w:rsidRPr="00C172C1" w:rsidTr="008976E1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D0B" w:rsidRPr="00C172C1" w:rsidRDefault="00ED2D0B" w:rsidP="00C172C1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N vitamin D /</w:t>
            </w:r>
          </w:p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 xml:space="preserve"> N Placebo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Vitamin D</w:t>
            </w:r>
          </w:p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D0B" w:rsidRPr="0084608E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 xml:space="preserve">Placebo 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Becks Depression Inventory</w:t>
            </w:r>
            <w:r w:rsidR="001B3D84" w:rsidRPr="00C172C1">
              <w:rPr>
                <w:rFonts w:ascii="Arial" w:hAnsi="Arial" w:cs="Arial"/>
                <w:sz w:val="20"/>
                <w:szCs w:val="20"/>
              </w:rPr>
              <w:t xml:space="preserve"> (BDI)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236/237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007873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</w:t>
            </w:r>
            <w:r w:rsidR="00ED2D0B" w:rsidRPr="00C172C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172C1">
              <w:rPr>
                <w:rFonts w:ascii="Arial" w:hAnsi="Arial" w:cs="Arial"/>
                <w:sz w:val="20"/>
                <w:szCs w:val="20"/>
              </w:rPr>
              <w:t>3</w:t>
            </w:r>
            <w:r w:rsidR="00ED2D0B" w:rsidRPr="00C17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007873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</w:t>
            </w:r>
            <w:r w:rsidR="00ED2D0B" w:rsidRPr="00C172C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172C1">
              <w:rPr>
                <w:rFonts w:ascii="Arial" w:hAnsi="Arial" w:cs="Arial"/>
                <w:sz w:val="20"/>
                <w:szCs w:val="20"/>
              </w:rPr>
              <w:t>2</w:t>
            </w:r>
            <w:r w:rsidR="00ED2D0B" w:rsidRPr="00C17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None (</w:t>
            </w:r>
            <w:r w:rsidR="001B3D84" w:rsidRPr="00C172C1">
              <w:rPr>
                <w:rFonts w:ascii="Arial" w:hAnsi="Arial" w:cs="Arial"/>
                <w:sz w:val="20"/>
                <w:szCs w:val="20"/>
              </w:rPr>
              <w:t xml:space="preserve">BDI </w:t>
            </w:r>
            <w:r w:rsidRPr="00C172C1">
              <w:rPr>
                <w:rFonts w:ascii="Arial" w:hAnsi="Arial" w:cs="Arial"/>
                <w:sz w:val="20"/>
                <w:szCs w:val="20"/>
              </w:rPr>
              <w:t>&lt;4)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191 (81%)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180 (76%)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Mild (</w:t>
            </w:r>
            <w:r w:rsidR="001B3D84" w:rsidRPr="00C172C1">
              <w:rPr>
                <w:rFonts w:ascii="Arial" w:hAnsi="Arial" w:cs="Arial"/>
                <w:sz w:val="20"/>
                <w:szCs w:val="20"/>
              </w:rPr>
              <w:t xml:space="preserve">BDI </w:t>
            </w:r>
            <w:r w:rsidRPr="00C172C1">
              <w:rPr>
                <w:rFonts w:ascii="Arial" w:hAnsi="Arial" w:cs="Arial"/>
                <w:sz w:val="20"/>
                <w:szCs w:val="20"/>
              </w:rPr>
              <w:t>4-6)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35 (15%)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39 (17%)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Moderate (</w:t>
            </w:r>
            <w:r w:rsidR="001B3D84" w:rsidRPr="00C172C1">
              <w:rPr>
                <w:rFonts w:ascii="Arial" w:hAnsi="Arial" w:cs="Arial"/>
                <w:sz w:val="20"/>
                <w:szCs w:val="20"/>
              </w:rPr>
              <w:t xml:space="preserve">BDI </w:t>
            </w:r>
            <w:r w:rsidRPr="00C172C1">
              <w:rPr>
                <w:rFonts w:ascii="Arial" w:hAnsi="Arial" w:cs="Arial"/>
                <w:sz w:val="20"/>
                <w:szCs w:val="20"/>
              </w:rPr>
              <w:t>7-9)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6 (2%)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15 (6%)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Severe (</w:t>
            </w:r>
            <w:r w:rsidR="001B3D84" w:rsidRPr="00C172C1">
              <w:rPr>
                <w:rFonts w:ascii="Arial" w:hAnsi="Arial" w:cs="Arial"/>
                <w:sz w:val="20"/>
                <w:szCs w:val="20"/>
              </w:rPr>
              <w:t xml:space="preserve">BDI </w:t>
            </w:r>
            <w:r w:rsidRPr="00C172C1">
              <w:rPr>
                <w:rFonts w:ascii="Arial" w:hAnsi="Arial" w:cs="Arial"/>
                <w:sz w:val="20"/>
                <w:szCs w:val="20"/>
              </w:rPr>
              <w:t>10-14)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4 (2%)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 (1%)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7D6C29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Mini Mental State Exam</w:t>
            </w:r>
            <w:r w:rsidR="00B20FBD"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core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236/237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29 (</w:t>
            </w:r>
            <w:r w:rsidR="00007873" w:rsidRPr="00C172C1">
              <w:rPr>
                <w:rFonts w:ascii="Arial" w:hAnsi="Arial" w:cs="Arial"/>
                <w:sz w:val="20"/>
                <w:szCs w:val="20"/>
              </w:rPr>
              <w:t>2</w:t>
            </w:r>
            <w:r w:rsidRPr="00C17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29 (</w:t>
            </w:r>
            <w:r w:rsidR="00007873" w:rsidRPr="00C172C1">
              <w:rPr>
                <w:rFonts w:ascii="Arial" w:hAnsi="Arial" w:cs="Arial"/>
                <w:sz w:val="20"/>
                <w:szCs w:val="20"/>
              </w:rPr>
              <w:t>2</w:t>
            </w:r>
            <w:r w:rsidRPr="00C17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 xml:space="preserve">Number of physical activities 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237/237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 (0 to 4)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 (0 to 5)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lastRenderedPageBreak/>
              <w:t>Index knee varus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227/229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62 (27%)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75 (33%)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Index knee valgus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228/223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54 (24%)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45 (20%)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Index knee fixed flexion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233/235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40 (17%)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48 (20%)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Warmth</w:t>
            </w:r>
            <w:r w:rsidR="003B315C" w:rsidRPr="00C172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172C1">
              <w:rPr>
                <w:rFonts w:ascii="Arial" w:hAnsi="Arial" w:cs="Arial"/>
                <w:sz w:val="20"/>
                <w:szCs w:val="20"/>
              </w:rPr>
              <w:t>index knee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236/236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14 (6%)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13 (6%)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Effusion (small to large) index knee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237/237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96 (41%)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90 (38%)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Crepitus (patellofemoral) index knee</w:t>
            </w:r>
            <w:r w:rsidR="001B3D84" w:rsidRPr="00C172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237/236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213 (90%)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211 (89%)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Crepitus (tibiofemoral) index knee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124/120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30 (24%)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23 (19%)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Quadriceps strength (kg, index knee)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173/166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10 (6)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11 (6)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Grip strength (kg, dominant hand)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201/201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28 (11)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28 (11)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Get up and Go Test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197/195</w:t>
            </w: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Grade 1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95 (48%)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109 (55%)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Grade 2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91 (46%)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75 (38%)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Grade 3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10 (5%)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9 (5%)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Grade 4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 (1%)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 (1%)</w:t>
            </w:r>
          </w:p>
        </w:tc>
      </w:tr>
      <w:tr w:rsidR="00ED2D0B" w:rsidRPr="00C172C1" w:rsidTr="008976E1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Grade 5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</w:tr>
      <w:tr w:rsidR="00ED2D0B" w:rsidRPr="00C172C1" w:rsidTr="003C2E04">
        <w:tc>
          <w:tcPr>
            <w:tcW w:w="382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Grade 6</w:t>
            </w:r>
          </w:p>
        </w:tc>
        <w:tc>
          <w:tcPr>
            <w:tcW w:w="1701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 (1%)</w:t>
            </w:r>
          </w:p>
        </w:tc>
      </w:tr>
      <w:tr w:rsidR="00ED2D0B" w:rsidRPr="00C172C1" w:rsidTr="003C2E04"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ED2D0B" w:rsidRPr="00C172C1" w:rsidRDefault="007D6C29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Timed Walk Test (time taken to walk 10m</w:t>
            </w:r>
            <w:r w:rsidR="004F48A1"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 in seconds</w:t>
            </w: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197/195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</w:tcPr>
          <w:p w:rsidR="00ED2D0B" w:rsidRPr="00C172C1" w:rsidRDefault="00ED2D0B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9 (</w:t>
            </w:r>
            <w:r w:rsidR="007F4821" w:rsidRPr="00C172C1">
              <w:rPr>
                <w:rFonts w:ascii="Arial" w:hAnsi="Arial" w:cs="Arial"/>
                <w:sz w:val="20"/>
                <w:szCs w:val="20"/>
              </w:rPr>
              <w:t>3</w:t>
            </w:r>
            <w:r w:rsidRPr="00C17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D2D0B" w:rsidRPr="00C172C1" w:rsidRDefault="007F4821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 xml:space="preserve">9 </w:t>
            </w:r>
            <w:r w:rsidR="00ED2D0B" w:rsidRPr="00C172C1">
              <w:rPr>
                <w:rFonts w:ascii="Arial" w:hAnsi="Arial" w:cs="Arial"/>
                <w:sz w:val="20"/>
                <w:szCs w:val="20"/>
              </w:rPr>
              <w:t>(</w:t>
            </w:r>
            <w:r w:rsidRPr="00C172C1">
              <w:rPr>
                <w:rFonts w:ascii="Arial" w:hAnsi="Arial" w:cs="Arial"/>
                <w:sz w:val="20"/>
                <w:szCs w:val="20"/>
              </w:rPr>
              <w:t>3</w:t>
            </w:r>
            <w:r w:rsidR="00ED2D0B" w:rsidRPr="00C17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ED2D0B" w:rsidRPr="00C172C1" w:rsidRDefault="00D42EA3" w:rsidP="00C172C1">
      <w:pPr>
        <w:spacing w:line="240" w:lineRule="auto"/>
        <w:rPr>
          <w:rFonts w:ascii="Arial" w:hAnsi="Arial" w:cs="Arial"/>
          <w:sz w:val="20"/>
          <w:szCs w:val="20"/>
        </w:rPr>
      </w:pPr>
      <w:r w:rsidRPr="00C172C1">
        <w:rPr>
          <w:rFonts w:ascii="Arial" w:hAnsi="Arial" w:cs="Arial"/>
          <w:sz w:val="20"/>
          <w:szCs w:val="20"/>
        </w:rPr>
        <w:t xml:space="preserve">WOMAC scores range from 0 to 100, 0 = no pain/disability, 100 = extreme pain/disability. </w:t>
      </w:r>
      <w:r w:rsidR="004F70DE" w:rsidRPr="00C172C1">
        <w:rPr>
          <w:rFonts w:ascii="Arial" w:hAnsi="Arial" w:cs="Arial"/>
          <w:sz w:val="20"/>
          <w:szCs w:val="20"/>
        </w:rPr>
        <w:t>WHOQOL-BREF domain scores range from 0 to 100, 0=worst, 100=best. BDI ranges from 0 to 63, 0 = minimal, 63=severe.</w:t>
      </w:r>
      <w:r w:rsidR="00BF2F93" w:rsidRPr="00C172C1">
        <w:rPr>
          <w:rFonts w:ascii="Arial" w:hAnsi="Arial" w:cs="Arial"/>
          <w:sz w:val="20"/>
          <w:szCs w:val="20"/>
        </w:rPr>
        <w:t xml:space="preserve"> Mini Mental State Exam score ranges from 0 to 30, scores &gt;27 are considered normal.</w:t>
      </w:r>
    </w:p>
    <w:p w:rsidR="003A7283" w:rsidRPr="00C172C1" w:rsidRDefault="003A7283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9A18A7" w:rsidRPr="00C172C1" w:rsidRDefault="007F208C" w:rsidP="00C172C1">
      <w:pPr>
        <w:spacing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lastRenderedPageBreak/>
        <w:t>e</w:t>
      </w:r>
      <w:r w:rsidR="009A18A7" w:rsidRPr="00C172C1">
        <w:rPr>
          <w:rFonts w:ascii="Arial" w:hAnsi="Arial" w:cs="Arial"/>
          <w:b/>
          <w:sz w:val="24"/>
          <w:szCs w:val="20"/>
        </w:rPr>
        <w:t xml:space="preserve">Table </w:t>
      </w:r>
      <w:r w:rsidR="00173438" w:rsidRPr="00C172C1">
        <w:rPr>
          <w:rFonts w:ascii="Arial" w:hAnsi="Arial" w:cs="Arial"/>
          <w:b/>
          <w:sz w:val="24"/>
          <w:szCs w:val="20"/>
        </w:rPr>
        <w:t>2</w:t>
      </w:r>
      <w:r w:rsidR="009A18A7" w:rsidRPr="00C172C1">
        <w:rPr>
          <w:rFonts w:ascii="Arial" w:hAnsi="Arial" w:cs="Arial"/>
          <w:b/>
          <w:sz w:val="24"/>
          <w:szCs w:val="20"/>
        </w:rPr>
        <w:t>: M</w:t>
      </w:r>
      <w:r w:rsidR="00C96A36" w:rsidRPr="00C172C1">
        <w:rPr>
          <w:rFonts w:ascii="Arial" w:hAnsi="Arial" w:cs="Arial"/>
          <w:b/>
          <w:sz w:val="24"/>
          <w:szCs w:val="20"/>
        </w:rPr>
        <w:t>ultiple Imputation</w:t>
      </w:r>
      <w:r w:rsidR="009A18A7" w:rsidRPr="00C172C1">
        <w:rPr>
          <w:rFonts w:ascii="Arial" w:hAnsi="Arial" w:cs="Arial"/>
          <w:b/>
          <w:sz w:val="24"/>
          <w:szCs w:val="20"/>
        </w:rPr>
        <w:t xml:space="preserve"> and Complete Case </w:t>
      </w:r>
      <w:r w:rsidR="00D42EA3" w:rsidRPr="00C172C1">
        <w:rPr>
          <w:rFonts w:ascii="Arial" w:hAnsi="Arial" w:cs="Arial"/>
          <w:b/>
          <w:sz w:val="24"/>
          <w:szCs w:val="20"/>
        </w:rPr>
        <w:t>s</w:t>
      </w:r>
      <w:r w:rsidR="009A18A7" w:rsidRPr="00C172C1">
        <w:rPr>
          <w:rFonts w:ascii="Arial" w:hAnsi="Arial" w:cs="Arial"/>
          <w:b/>
          <w:sz w:val="24"/>
          <w:szCs w:val="20"/>
        </w:rPr>
        <w:t xml:space="preserve">ensitivity </w:t>
      </w:r>
      <w:r w:rsidR="00D42EA3" w:rsidRPr="00C172C1">
        <w:rPr>
          <w:rFonts w:ascii="Arial" w:hAnsi="Arial" w:cs="Arial"/>
          <w:b/>
          <w:sz w:val="24"/>
          <w:szCs w:val="20"/>
        </w:rPr>
        <w:t>a</w:t>
      </w:r>
      <w:r w:rsidR="009A18A7" w:rsidRPr="00C172C1">
        <w:rPr>
          <w:rFonts w:ascii="Arial" w:hAnsi="Arial" w:cs="Arial"/>
          <w:b/>
          <w:sz w:val="24"/>
          <w:szCs w:val="20"/>
        </w:rPr>
        <w:t>nalysis</w:t>
      </w:r>
      <w:r w:rsidR="00C96A36" w:rsidRPr="00C172C1">
        <w:rPr>
          <w:rFonts w:ascii="Arial" w:hAnsi="Arial" w:cs="Arial"/>
          <w:b/>
          <w:sz w:val="24"/>
          <w:szCs w:val="20"/>
        </w:rPr>
        <w:t xml:space="preserve"> of </w:t>
      </w:r>
      <w:r w:rsidR="00964A6A" w:rsidRPr="00C172C1">
        <w:rPr>
          <w:rFonts w:ascii="Arial" w:hAnsi="Arial" w:cs="Arial"/>
          <w:b/>
          <w:sz w:val="24"/>
          <w:szCs w:val="20"/>
        </w:rPr>
        <w:t xml:space="preserve">the primary </w:t>
      </w:r>
      <w:r w:rsidR="00D42EA3" w:rsidRPr="00C172C1">
        <w:rPr>
          <w:rFonts w:ascii="Arial" w:hAnsi="Arial" w:cs="Arial"/>
          <w:b/>
          <w:sz w:val="24"/>
          <w:szCs w:val="20"/>
        </w:rPr>
        <w:t>outcome</w:t>
      </w:r>
    </w:p>
    <w:tbl>
      <w:tblPr>
        <w:tblW w:w="8631" w:type="dxa"/>
        <w:jc w:val="center"/>
        <w:tblInd w:w="-1532" w:type="dxa"/>
        <w:tblLook w:val="04A0" w:firstRow="1" w:lastRow="0" w:firstColumn="1" w:lastColumn="0" w:noHBand="0" w:noVBand="1"/>
      </w:tblPr>
      <w:tblGrid>
        <w:gridCol w:w="3077"/>
        <w:gridCol w:w="941"/>
        <w:gridCol w:w="1019"/>
        <w:gridCol w:w="2588"/>
        <w:gridCol w:w="1006"/>
      </w:tblGrid>
      <w:tr w:rsidR="009A18A7" w:rsidRPr="0084608E" w:rsidTr="00887A3C">
        <w:trPr>
          <w:trHeight w:val="260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8A7" w:rsidRPr="0084608E" w:rsidRDefault="00C96A36" w:rsidP="00C172C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JSN (mm/year)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8A7" w:rsidRPr="0084608E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173438" w:rsidRPr="0084608E">
              <w:rPr>
                <w:rFonts w:ascii="Arial" w:hAnsi="Arial" w:cs="Arial"/>
                <w:b/>
                <w:sz w:val="20"/>
                <w:szCs w:val="20"/>
              </w:rPr>
              <w:t>tamin D</w:t>
            </w:r>
          </w:p>
        </w:tc>
        <w:tc>
          <w:tcPr>
            <w:tcW w:w="1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8A7" w:rsidRPr="0084608E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Placebo</w:t>
            </w:r>
          </w:p>
        </w:tc>
        <w:tc>
          <w:tcPr>
            <w:tcW w:w="2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8A7" w:rsidRPr="0084608E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Difference</w:t>
            </w:r>
            <w:r w:rsidR="00C96A36" w:rsidRPr="0084608E">
              <w:rPr>
                <w:rFonts w:ascii="Arial" w:hAnsi="Arial" w:cs="Arial"/>
                <w:b/>
                <w:sz w:val="20"/>
                <w:szCs w:val="20"/>
              </w:rPr>
              <w:t xml:space="preserve"> [95% CI]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A18A7" w:rsidRPr="0084608E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P-value</w:t>
            </w:r>
          </w:p>
        </w:tc>
      </w:tr>
      <w:tr w:rsidR="009A18A7" w:rsidRPr="00C172C1" w:rsidTr="00887A3C">
        <w:trPr>
          <w:trHeight w:val="289"/>
          <w:jc w:val="center"/>
        </w:trPr>
        <w:tc>
          <w:tcPr>
            <w:tcW w:w="3077" w:type="dxa"/>
            <w:tcBorders>
              <w:top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 xml:space="preserve">Primary MI Analysis </w:t>
            </w:r>
          </w:p>
          <w:p w:rsidR="009A18A7" w:rsidRPr="00C172C1" w:rsidRDefault="009A18A7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(N = 474)</w:t>
            </w:r>
            <w:r w:rsidR="00A22B3E" w:rsidRPr="00C172C1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-0.01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0.08 [-0.14 to 0.29]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0.49</w:t>
            </w:r>
          </w:p>
        </w:tc>
      </w:tr>
      <w:tr w:rsidR="009A18A7" w:rsidRPr="00C172C1" w:rsidTr="00887A3C">
        <w:trPr>
          <w:trHeight w:val="539"/>
          <w:jc w:val="center"/>
        </w:trPr>
        <w:tc>
          <w:tcPr>
            <w:tcW w:w="3077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 xml:space="preserve">Primary MI analysis restricted </w:t>
            </w:r>
            <w:r w:rsidR="006906C2" w:rsidRPr="00C172C1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Pr="00C172C1">
              <w:rPr>
                <w:rFonts w:ascii="Arial" w:hAnsi="Arial" w:cs="Arial"/>
                <w:sz w:val="20"/>
                <w:szCs w:val="20"/>
              </w:rPr>
              <w:t>individuals with baseline and ≥ 1 follow-up (N=380)</w:t>
            </w:r>
            <w:r w:rsidR="00A22B3E" w:rsidRPr="00C172C1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941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-0.04</w:t>
            </w:r>
          </w:p>
        </w:tc>
        <w:tc>
          <w:tcPr>
            <w:tcW w:w="1019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2588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0.03 [-0.12 to 0.19]</w:t>
            </w:r>
          </w:p>
        </w:tc>
        <w:tc>
          <w:tcPr>
            <w:tcW w:w="1006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0.66</w:t>
            </w:r>
          </w:p>
        </w:tc>
      </w:tr>
      <w:tr w:rsidR="009A18A7" w:rsidRPr="00C172C1" w:rsidTr="00887A3C">
        <w:trPr>
          <w:trHeight w:val="539"/>
          <w:jc w:val="center"/>
        </w:trPr>
        <w:tc>
          <w:tcPr>
            <w:tcW w:w="3077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Secondary outcomes with &gt;25% missingness removed from MI model (N = 474)</w:t>
            </w:r>
            <w:r w:rsidR="00887A3C" w:rsidRPr="00C172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B3E" w:rsidRPr="00C172C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-0.03</w:t>
            </w:r>
          </w:p>
        </w:tc>
        <w:tc>
          <w:tcPr>
            <w:tcW w:w="1019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2588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0.05 [-0.08 to 0.18]</w:t>
            </w:r>
          </w:p>
        </w:tc>
        <w:tc>
          <w:tcPr>
            <w:tcW w:w="1006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</w:tr>
      <w:tr w:rsidR="009A18A7" w:rsidRPr="00C172C1" w:rsidTr="00173438">
        <w:trPr>
          <w:trHeight w:val="284"/>
          <w:jc w:val="center"/>
        </w:trPr>
        <w:tc>
          <w:tcPr>
            <w:tcW w:w="3077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Secondary outcomes with &gt;25% missingness removed from MI model</w:t>
            </w:r>
            <w:r w:rsidR="00887A3C" w:rsidRPr="00C172C1">
              <w:rPr>
                <w:rFonts w:ascii="Arial" w:hAnsi="Arial" w:cs="Arial"/>
                <w:sz w:val="20"/>
                <w:szCs w:val="20"/>
              </w:rPr>
              <w:t xml:space="preserve"> restricted to individuals with baseline and ≥ 1 follow-up</w:t>
            </w:r>
            <w:r w:rsidRPr="00C172C1">
              <w:rPr>
                <w:rFonts w:ascii="Arial" w:hAnsi="Arial" w:cs="Arial"/>
                <w:sz w:val="20"/>
                <w:szCs w:val="20"/>
              </w:rPr>
              <w:t xml:space="preserve"> (N =380)</w:t>
            </w:r>
            <w:r w:rsidR="00887A3C" w:rsidRPr="00C172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2B3E" w:rsidRPr="00C172C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41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-0.06</w:t>
            </w:r>
          </w:p>
        </w:tc>
        <w:tc>
          <w:tcPr>
            <w:tcW w:w="1019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2588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0.01 [-0.10 to 0.12]</w:t>
            </w:r>
          </w:p>
        </w:tc>
        <w:tc>
          <w:tcPr>
            <w:tcW w:w="1006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0.89</w:t>
            </w:r>
          </w:p>
        </w:tc>
      </w:tr>
      <w:tr w:rsidR="009A18A7" w:rsidRPr="00C172C1" w:rsidTr="00887A3C">
        <w:trPr>
          <w:trHeight w:val="539"/>
          <w:jc w:val="center"/>
        </w:trPr>
        <w:tc>
          <w:tcPr>
            <w:tcW w:w="3077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MI model same as analysis model</w:t>
            </w:r>
            <w:r w:rsidR="0024155C" w:rsidRPr="00C172C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24155C" w:rsidRPr="00C172C1" w:rsidDel="0024155C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C172C1">
              <w:rPr>
                <w:rFonts w:ascii="Arial" w:hAnsi="Arial" w:cs="Arial"/>
                <w:sz w:val="20"/>
                <w:szCs w:val="20"/>
              </w:rPr>
              <w:t>(N =474)</w:t>
            </w:r>
          </w:p>
        </w:tc>
        <w:tc>
          <w:tcPr>
            <w:tcW w:w="941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1019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2588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0.00 [-0.09 to 0.09]</w:t>
            </w:r>
          </w:p>
        </w:tc>
        <w:tc>
          <w:tcPr>
            <w:tcW w:w="1006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0.98</w:t>
            </w:r>
          </w:p>
        </w:tc>
      </w:tr>
      <w:tr w:rsidR="009A18A7" w:rsidRPr="00C172C1" w:rsidTr="00887A3C">
        <w:trPr>
          <w:trHeight w:val="539"/>
          <w:jc w:val="center"/>
        </w:trPr>
        <w:tc>
          <w:tcPr>
            <w:tcW w:w="3077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 xml:space="preserve">MI model same as analysis </w:t>
            </w:r>
            <w:r w:rsidR="006906C2" w:rsidRPr="00C172C1">
              <w:rPr>
                <w:rFonts w:ascii="Arial" w:hAnsi="Arial" w:cs="Arial"/>
                <w:sz w:val="20"/>
                <w:szCs w:val="20"/>
              </w:rPr>
              <w:t xml:space="preserve">model restricted to individuals with baseline and ≥ 1 follow-up </w:t>
            </w:r>
            <w:r w:rsidR="00A22B3E" w:rsidRPr="00C172C1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C172C1">
              <w:rPr>
                <w:rFonts w:ascii="Arial" w:hAnsi="Arial" w:cs="Arial"/>
                <w:sz w:val="20"/>
                <w:szCs w:val="20"/>
              </w:rPr>
              <w:t xml:space="preserve"> (N =380)</w:t>
            </w:r>
          </w:p>
        </w:tc>
        <w:tc>
          <w:tcPr>
            <w:tcW w:w="941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1019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-0.07</w:t>
            </w:r>
          </w:p>
        </w:tc>
        <w:tc>
          <w:tcPr>
            <w:tcW w:w="2588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0.00 [-0.09 to 0.08]</w:t>
            </w:r>
          </w:p>
        </w:tc>
        <w:tc>
          <w:tcPr>
            <w:tcW w:w="1006" w:type="dxa"/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0.93</w:t>
            </w:r>
          </w:p>
        </w:tc>
      </w:tr>
      <w:tr w:rsidR="009A18A7" w:rsidRPr="00C172C1" w:rsidTr="00887A3C">
        <w:trPr>
          <w:trHeight w:val="539"/>
          <w:jc w:val="center"/>
        </w:trPr>
        <w:tc>
          <w:tcPr>
            <w:tcW w:w="3077" w:type="dxa"/>
            <w:tcBorders>
              <w:bottom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Complete case analysis (N=242)</w:t>
            </w:r>
            <w:r w:rsidR="00896993" w:rsidRPr="00C172C1">
              <w:rPr>
                <w:rFonts w:ascii="Arial" w:hAnsi="Arial" w:cs="Arial"/>
                <w:sz w:val="20"/>
                <w:szCs w:val="20"/>
              </w:rPr>
              <w:t xml:space="preserve"> (baseline, 1 year and 3 years JSW)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-0.09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-0.08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-0.01 [-0.10 to 0.07]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9A18A7" w:rsidRPr="00C172C1" w:rsidRDefault="009A18A7" w:rsidP="00C172C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172C1"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</w:tr>
    </w:tbl>
    <w:p w:rsidR="00896993" w:rsidRPr="00C172C1" w:rsidRDefault="00A22B3E" w:rsidP="00C172C1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C172C1">
        <w:rPr>
          <w:rFonts w:ascii="Arial" w:hAnsi="Arial" w:cs="Arial"/>
          <w:sz w:val="20"/>
          <w:szCs w:val="20"/>
          <w:vertAlign w:val="superscript"/>
        </w:rPr>
        <w:t>1</w:t>
      </w:r>
      <w:r w:rsidR="006906C2" w:rsidRPr="00C172C1">
        <w:rPr>
          <w:rFonts w:ascii="Arial" w:hAnsi="Arial" w:cs="Arial"/>
          <w:sz w:val="20"/>
          <w:szCs w:val="20"/>
        </w:rPr>
        <w:t xml:space="preserve">The primary </w:t>
      </w:r>
      <w:r w:rsidR="0089776B" w:rsidRPr="00C172C1">
        <w:rPr>
          <w:rFonts w:ascii="Arial" w:hAnsi="Arial" w:cs="Arial"/>
          <w:sz w:val="20"/>
          <w:szCs w:val="20"/>
        </w:rPr>
        <w:t>imputation</w:t>
      </w:r>
      <w:r w:rsidR="006906C2" w:rsidRPr="00C172C1">
        <w:rPr>
          <w:rFonts w:ascii="Arial" w:hAnsi="Arial" w:cs="Arial"/>
          <w:sz w:val="20"/>
          <w:szCs w:val="20"/>
        </w:rPr>
        <w:t xml:space="preserve"> model included all primary and secondary outcomes, baseline covariates and predictors of missingness. Using all available information in the </w:t>
      </w:r>
      <w:r w:rsidR="0089776B" w:rsidRPr="00C172C1">
        <w:rPr>
          <w:rFonts w:ascii="Arial" w:hAnsi="Arial" w:cs="Arial"/>
          <w:sz w:val="20"/>
          <w:szCs w:val="20"/>
        </w:rPr>
        <w:t xml:space="preserve">imputation </w:t>
      </w:r>
      <w:r w:rsidR="006906C2" w:rsidRPr="00C172C1">
        <w:rPr>
          <w:rFonts w:ascii="Arial" w:hAnsi="Arial" w:cs="Arial"/>
          <w:sz w:val="20"/>
          <w:szCs w:val="20"/>
        </w:rPr>
        <w:t>model makes the MAR assumption more plausible and results in imputations with minimal bias.</w:t>
      </w:r>
      <w:r w:rsidR="00887A3C" w:rsidRPr="00C172C1">
        <w:rPr>
          <w:rFonts w:ascii="Arial" w:hAnsi="Arial" w:cs="Arial"/>
          <w:sz w:val="20"/>
          <w:szCs w:val="20"/>
        </w:rPr>
        <w:t xml:space="preserve"> </w:t>
      </w:r>
      <w:r w:rsidRPr="00C172C1">
        <w:rPr>
          <w:rFonts w:ascii="Arial" w:hAnsi="Arial" w:cs="Arial"/>
          <w:sz w:val="20"/>
          <w:szCs w:val="20"/>
          <w:vertAlign w:val="superscript"/>
        </w:rPr>
        <w:t>2</w:t>
      </w:r>
      <w:r w:rsidR="00511AE1" w:rsidRPr="00C172C1">
        <w:rPr>
          <w:rFonts w:ascii="Arial" w:hAnsi="Arial" w:cs="Arial"/>
          <w:sz w:val="20"/>
          <w:szCs w:val="20"/>
        </w:rPr>
        <w:t>S</w:t>
      </w:r>
      <w:r w:rsidR="00896993" w:rsidRPr="00C172C1">
        <w:rPr>
          <w:rFonts w:ascii="Arial" w:hAnsi="Arial" w:cs="Arial"/>
          <w:sz w:val="20"/>
          <w:szCs w:val="20"/>
        </w:rPr>
        <w:t>econdary outcomes with greater than 25% missingness and a low correlation (r&lt;0.20) with the primary outcome</w:t>
      </w:r>
      <w:r w:rsidR="00511AE1" w:rsidRPr="00C172C1">
        <w:rPr>
          <w:rFonts w:ascii="Arial" w:hAnsi="Arial" w:cs="Arial"/>
          <w:sz w:val="20"/>
          <w:szCs w:val="20"/>
        </w:rPr>
        <w:t xml:space="preserve"> </w:t>
      </w:r>
      <w:r w:rsidR="0089776B" w:rsidRPr="00C172C1">
        <w:rPr>
          <w:rFonts w:ascii="Arial" w:hAnsi="Arial" w:cs="Arial"/>
          <w:sz w:val="20"/>
          <w:szCs w:val="20"/>
        </w:rPr>
        <w:t>removed from</w:t>
      </w:r>
      <w:r w:rsidR="000A6C72" w:rsidRPr="00C172C1">
        <w:rPr>
          <w:rFonts w:ascii="Arial" w:hAnsi="Arial" w:cs="Arial"/>
          <w:sz w:val="20"/>
          <w:szCs w:val="20"/>
        </w:rPr>
        <w:t xml:space="preserve"> the imputation model</w:t>
      </w:r>
      <w:r w:rsidR="00887A3C" w:rsidRPr="00C172C1">
        <w:rPr>
          <w:rFonts w:ascii="Arial" w:hAnsi="Arial" w:cs="Arial"/>
          <w:sz w:val="20"/>
          <w:szCs w:val="20"/>
        </w:rPr>
        <w:t xml:space="preserve">. </w:t>
      </w:r>
      <w:r w:rsidRPr="00C172C1">
        <w:rPr>
          <w:rFonts w:ascii="Arial" w:hAnsi="Arial" w:cs="Arial"/>
          <w:sz w:val="20"/>
          <w:szCs w:val="20"/>
          <w:vertAlign w:val="superscript"/>
        </w:rPr>
        <w:t>3</w:t>
      </w:r>
      <w:r w:rsidR="0089776B" w:rsidRPr="00C172C1">
        <w:rPr>
          <w:rFonts w:ascii="Arial" w:hAnsi="Arial" w:cs="Arial"/>
          <w:sz w:val="20"/>
          <w:szCs w:val="20"/>
        </w:rPr>
        <w:t>Imputation</w:t>
      </w:r>
      <w:r w:rsidR="006906C2" w:rsidRPr="00C172C1">
        <w:rPr>
          <w:rFonts w:ascii="Arial" w:hAnsi="Arial" w:cs="Arial"/>
          <w:sz w:val="20"/>
          <w:szCs w:val="20"/>
        </w:rPr>
        <w:t xml:space="preserve"> model included primary outcome, centre, gender, glucosamine use, age and BMI.</w:t>
      </w:r>
      <w:r w:rsidR="00CD2144" w:rsidRPr="00CD2144">
        <w:t xml:space="preserve"> </w:t>
      </w:r>
      <w:r w:rsidR="00CD2144" w:rsidRPr="00CD2144">
        <w:rPr>
          <w:rFonts w:ascii="Arial" w:hAnsi="Arial" w:cs="Arial"/>
          <w:sz w:val="20"/>
          <w:szCs w:val="20"/>
        </w:rPr>
        <w:t xml:space="preserve">In each MI analysis </w:t>
      </w:r>
      <w:r w:rsidR="00897D85" w:rsidRPr="00CD2144">
        <w:rPr>
          <w:rFonts w:ascii="Arial" w:hAnsi="Arial" w:cs="Arial"/>
          <w:sz w:val="20"/>
          <w:szCs w:val="20"/>
        </w:rPr>
        <w:t>the</w:t>
      </w:r>
      <w:r w:rsidR="00897D85">
        <w:rPr>
          <w:rFonts w:ascii="Arial" w:hAnsi="Arial" w:cs="Arial"/>
          <w:sz w:val="20"/>
          <w:szCs w:val="20"/>
        </w:rPr>
        <w:t xml:space="preserve"> imputation model was fitted separately by treatment arm, the primary </w:t>
      </w:r>
      <w:r w:rsidR="00CD2144" w:rsidRPr="00CD2144">
        <w:rPr>
          <w:rFonts w:ascii="Arial" w:hAnsi="Arial" w:cs="Arial"/>
          <w:sz w:val="20"/>
          <w:szCs w:val="20"/>
        </w:rPr>
        <w:t>analysis model fitted to each of 50 imputed data sets and results were combined using Rubin’s rules.</w:t>
      </w:r>
    </w:p>
    <w:p w:rsidR="00F71100" w:rsidRPr="00C172C1" w:rsidRDefault="00F71100" w:rsidP="00C172C1">
      <w:pPr>
        <w:spacing w:line="240" w:lineRule="auto"/>
        <w:ind w:left="360"/>
        <w:rPr>
          <w:rFonts w:ascii="Times New Roman" w:hAnsi="Times New Roman" w:cs="Times New Roman"/>
          <w:i/>
          <w:sz w:val="20"/>
          <w:szCs w:val="20"/>
        </w:rPr>
      </w:pPr>
    </w:p>
    <w:p w:rsidR="003A7283" w:rsidRPr="00C172C1" w:rsidRDefault="003A7283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F208C" w:rsidRDefault="007F208C" w:rsidP="00C172C1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</w:t>
      </w:r>
      <w:r w:rsidR="00887A3C" w:rsidRPr="00C172C1">
        <w:rPr>
          <w:rFonts w:ascii="Arial" w:hAnsi="Arial" w:cs="Arial"/>
          <w:b/>
          <w:sz w:val="24"/>
          <w:szCs w:val="24"/>
        </w:rPr>
        <w:t>Figure 1</w:t>
      </w:r>
      <w:r w:rsidR="00F71100" w:rsidRPr="00C172C1">
        <w:rPr>
          <w:rFonts w:ascii="Arial" w:hAnsi="Arial" w:cs="Arial"/>
          <w:b/>
          <w:sz w:val="24"/>
          <w:szCs w:val="24"/>
        </w:rPr>
        <w:t xml:space="preserve">: Treatment </w:t>
      </w:r>
      <w:r w:rsidR="0089776B" w:rsidRPr="00C172C1">
        <w:rPr>
          <w:rFonts w:ascii="Arial" w:hAnsi="Arial" w:cs="Arial"/>
          <w:b/>
          <w:sz w:val="24"/>
          <w:szCs w:val="24"/>
        </w:rPr>
        <w:t xml:space="preserve">effects </w:t>
      </w:r>
      <w:r w:rsidR="00B0769C" w:rsidRPr="00C172C1">
        <w:rPr>
          <w:rFonts w:ascii="Arial" w:hAnsi="Arial" w:cs="Arial"/>
          <w:b/>
          <w:sz w:val="24"/>
          <w:szCs w:val="24"/>
        </w:rPr>
        <w:t>from</w:t>
      </w:r>
      <w:r w:rsidR="00F71100" w:rsidRPr="00C172C1">
        <w:rPr>
          <w:rFonts w:ascii="Arial" w:hAnsi="Arial" w:cs="Arial"/>
          <w:b/>
          <w:sz w:val="24"/>
          <w:szCs w:val="24"/>
        </w:rPr>
        <w:t xml:space="preserve"> </w:t>
      </w:r>
      <w:r w:rsidR="00964A6A" w:rsidRPr="00C172C1">
        <w:rPr>
          <w:rFonts w:ascii="Arial" w:hAnsi="Arial" w:cs="Arial"/>
          <w:b/>
          <w:sz w:val="24"/>
          <w:szCs w:val="24"/>
        </w:rPr>
        <w:t>sensitivity analy</w:t>
      </w:r>
      <w:r w:rsidR="005E4AA4" w:rsidRPr="00C172C1">
        <w:rPr>
          <w:rFonts w:ascii="Arial" w:hAnsi="Arial" w:cs="Arial"/>
          <w:b/>
          <w:sz w:val="24"/>
          <w:szCs w:val="24"/>
        </w:rPr>
        <w:t xml:space="preserve">sis </w:t>
      </w:r>
    </w:p>
    <w:p w:rsidR="00887A3C" w:rsidRPr="00C172C1" w:rsidRDefault="000A6C72" w:rsidP="00C172C1">
      <w:pPr>
        <w:spacing w:line="240" w:lineRule="auto"/>
        <w:ind w:left="360"/>
        <w:rPr>
          <w:rFonts w:ascii="Times New Roman" w:hAnsi="Times New Roman" w:cs="Times New Roman"/>
          <w:i/>
          <w:sz w:val="20"/>
          <w:szCs w:val="20"/>
        </w:rPr>
      </w:pPr>
      <w:r w:rsidRPr="00C172C1">
        <w:rPr>
          <w:rFonts w:ascii="Times New Roman" w:hAnsi="Times New Roman" w:cs="Times New Roman"/>
          <w:i/>
          <w:noProof/>
          <w:sz w:val="20"/>
          <w:szCs w:val="20"/>
          <w:lang w:eastAsia="en-GB"/>
        </w:rPr>
        <w:drawing>
          <wp:inline distT="0" distB="0" distL="0" distR="0" wp14:anchorId="3C2BAD00" wp14:editId="7298BC6D">
            <wp:extent cx="5113020" cy="37414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627" w:rsidRPr="00451D55" w:rsidRDefault="00451D55" w:rsidP="00C172C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451D55">
        <w:rPr>
          <w:rFonts w:ascii="Times New Roman" w:hAnsi="Times New Roman" w:cs="Times New Roman"/>
          <w:sz w:val="20"/>
          <w:szCs w:val="20"/>
        </w:rPr>
        <w:t xml:space="preserve">Treatment effects from sensitivity analysis that assumes the rate of joint space narrowing is on average 25% (δJSW= -0.02 mm/year) to 500% (δJSW=-0.41 mm/year) quicker than the mean for the observed cases for all cases with missing outcome data. Missing outcomes </w:t>
      </w:r>
      <w:r w:rsidR="00897D85">
        <w:rPr>
          <w:rFonts w:ascii="Times New Roman" w:hAnsi="Times New Roman" w:cs="Times New Roman"/>
          <w:sz w:val="20"/>
          <w:szCs w:val="20"/>
        </w:rPr>
        <w:t>we</w:t>
      </w:r>
      <w:r w:rsidR="00897D85" w:rsidRPr="00451D55">
        <w:rPr>
          <w:rFonts w:ascii="Times New Roman" w:hAnsi="Times New Roman" w:cs="Times New Roman"/>
          <w:sz w:val="20"/>
          <w:szCs w:val="20"/>
        </w:rPr>
        <w:t xml:space="preserve">re </w:t>
      </w:r>
      <w:r w:rsidRPr="00451D55">
        <w:rPr>
          <w:rFonts w:ascii="Times New Roman" w:hAnsi="Times New Roman" w:cs="Times New Roman"/>
          <w:sz w:val="20"/>
          <w:szCs w:val="20"/>
        </w:rPr>
        <w:t>imputed under the varying assumptions for both arms and each arm separately.</w:t>
      </w:r>
      <w:r w:rsidR="00897D8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A6C72" w:rsidRPr="00C172C1" w:rsidRDefault="000A6C72" w:rsidP="00C172C1">
      <w:pPr>
        <w:spacing w:line="240" w:lineRule="auto"/>
        <w:ind w:left="360"/>
        <w:rPr>
          <w:rFonts w:ascii="Times New Roman" w:hAnsi="Times New Roman" w:cs="Times New Roman"/>
          <w:i/>
          <w:sz w:val="20"/>
          <w:szCs w:val="20"/>
        </w:rPr>
      </w:pPr>
    </w:p>
    <w:p w:rsidR="003C21A0" w:rsidRPr="00C172C1" w:rsidRDefault="003C21A0" w:rsidP="00C172C1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172C1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0A6C72" w:rsidRPr="00C172C1" w:rsidRDefault="000A6C72" w:rsidP="00C172C1">
      <w:pPr>
        <w:spacing w:line="240" w:lineRule="auto"/>
        <w:ind w:left="360"/>
        <w:rPr>
          <w:rFonts w:ascii="Times New Roman" w:hAnsi="Times New Roman" w:cs="Times New Roman"/>
          <w:i/>
          <w:sz w:val="20"/>
          <w:szCs w:val="20"/>
        </w:rPr>
      </w:pPr>
    </w:p>
    <w:p w:rsidR="00F71100" w:rsidRPr="00C172C1" w:rsidRDefault="007F208C" w:rsidP="00C172C1">
      <w:pPr>
        <w:spacing w:line="240" w:lineRule="auto"/>
        <w:ind w:left="36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eTable </w:t>
      </w:r>
      <w:r w:rsidR="008C3F6A" w:rsidRPr="00C172C1">
        <w:rPr>
          <w:rFonts w:ascii="Arial" w:hAnsi="Arial" w:cs="Arial"/>
          <w:b/>
          <w:sz w:val="24"/>
          <w:szCs w:val="20"/>
        </w:rPr>
        <w:t>3</w:t>
      </w:r>
      <w:r w:rsidR="00F71100" w:rsidRPr="00C172C1">
        <w:rPr>
          <w:rFonts w:ascii="Arial" w:hAnsi="Arial" w:cs="Arial"/>
          <w:b/>
          <w:sz w:val="24"/>
          <w:szCs w:val="20"/>
        </w:rPr>
        <w:t xml:space="preserve">: </w:t>
      </w:r>
      <w:r w:rsidR="008C3F6A" w:rsidRPr="00C172C1">
        <w:rPr>
          <w:rFonts w:ascii="Arial" w:hAnsi="Arial" w:cs="Arial"/>
          <w:b/>
          <w:sz w:val="24"/>
          <w:szCs w:val="20"/>
        </w:rPr>
        <w:t>Treatment effect estimates</w:t>
      </w:r>
      <w:r w:rsidR="00F71100" w:rsidRPr="00C172C1">
        <w:rPr>
          <w:rFonts w:ascii="Arial" w:hAnsi="Arial" w:cs="Arial"/>
          <w:b/>
          <w:sz w:val="24"/>
          <w:szCs w:val="20"/>
        </w:rPr>
        <w:t xml:space="preserve"> for </w:t>
      </w:r>
      <w:r w:rsidR="00D241E4" w:rsidRPr="00C172C1">
        <w:rPr>
          <w:rFonts w:ascii="Arial" w:hAnsi="Arial" w:cs="Arial"/>
          <w:b/>
          <w:sz w:val="24"/>
          <w:szCs w:val="20"/>
        </w:rPr>
        <w:t xml:space="preserve">additional </w:t>
      </w:r>
      <w:r w:rsidR="00F71100" w:rsidRPr="00C172C1">
        <w:rPr>
          <w:rFonts w:ascii="Arial" w:hAnsi="Arial" w:cs="Arial"/>
          <w:b/>
          <w:sz w:val="24"/>
          <w:szCs w:val="20"/>
        </w:rPr>
        <w:t>continuous secondary outcomes</w:t>
      </w:r>
    </w:p>
    <w:tbl>
      <w:tblPr>
        <w:tblW w:w="9271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594"/>
        <w:gridCol w:w="1275"/>
        <w:gridCol w:w="993"/>
        <w:gridCol w:w="2409"/>
      </w:tblGrid>
      <w:tr w:rsidR="00F71100" w:rsidRPr="00C172C1" w:rsidTr="00887A3C">
        <w:tc>
          <w:tcPr>
            <w:tcW w:w="4594" w:type="dxa"/>
            <w:tcBorders>
              <w:top w:val="single" w:sz="4" w:space="0" w:color="auto"/>
              <w:bottom w:val="single" w:sz="4" w:space="0" w:color="auto"/>
            </w:tcBorders>
          </w:tcPr>
          <w:p w:rsidR="00F71100" w:rsidRPr="0084608E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>Rate of change per year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F71100" w:rsidRPr="0084608E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Vitamin D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71100" w:rsidRPr="0084608E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>Placebo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71100" w:rsidRPr="0084608E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>Difference [95% CI]</w:t>
            </w:r>
          </w:p>
        </w:tc>
      </w:tr>
      <w:tr w:rsidR="00F71100" w:rsidRPr="00C172C1" w:rsidTr="00887A3C"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WHOQOL-Bref physical 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-0.48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-0.79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0.31 [-1.01 to 1.61]</w:t>
            </w:r>
          </w:p>
        </w:tc>
      </w:tr>
      <w:tr w:rsidR="00F71100" w:rsidRPr="00C172C1" w:rsidTr="00887A3C"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WHOQOL-Bref </w:t>
            </w:r>
            <w:r w:rsidRPr="00C172C1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psychological 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-0.43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-0.86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0.43 [-0.66 to 1.52]</w:t>
            </w:r>
          </w:p>
        </w:tc>
      </w:tr>
      <w:tr w:rsidR="00F71100" w:rsidRPr="00C172C1" w:rsidTr="00887A3C"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WHOQOL-Bref social 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-0.29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-1.26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0.97 [-0.22 to 2.17]</w:t>
            </w:r>
          </w:p>
        </w:tc>
      </w:tr>
      <w:tr w:rsidR="00F71100" w:rsidRPr="00C172C1" w:rsidTr="00887A3C"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WHOQOL-Bref </w:t>
            </w:r>
            <w:r w:rsidRPr="00C172C1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environment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-0.42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-0.49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0.07 [-0.96 to 1.11]</w:t>
            </w:r>
          </w:p>
        </w:tc>
      </w:tr>
      <w:tr w:rsidR="00F71100" w:rsidRPr="00C172C1" w:rsidTr="00887A3C"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Quadriceps strength (</w:t>
            </w:r>
            <w:r w:rsidR="00680307"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kg, </w:t>
            </w:r>
            <w:r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index knee) 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-0.11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-0.95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0.84 [-0.11 to 1.79]</w:t>
            </w:r>
          </w:p>
        </w:tc>
      </w:tr>
      <w:tr w:rsidR="00F71100" w:rsidRPr="00C172C1" w:rsidTr="00887A3C"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Grip strength  (</w:t>
            </w:r>
            <w:r w:rsidR="00680307"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kg, </w:t>
            </w: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dominant hand)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-0.84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-1.07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0.23 [-0.61 to 1.07]</w:t>
            </w:r>
          </w:p>
        </w:tc>
      </w:tr>
      <w:tr w:rsidR="00F71100" w:rsidRPr="00C172C1" w:rsidTr="00887A3C"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Timed Walk Test (time taken to walk 10m</w:t>
            </w:r>
            <w:r w:rsidR="004F48A1"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 in seconds</w:t>
            </w: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0.43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0.21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0.21 [-0.21 to 0.63]</w:t>
            </w:r>
          </w:p>
        </w:tc>
      </w:tr>
      <w:tr w:rsidR="00F71100" w:rsidRPr="00C172C1" w:rsidTr="00887A3C">
        <w:trPr>
          <w:trHeight w:val="80"/>
        </w:trPr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Becks Depression Inventory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0.03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0.03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0.01 [-0.19 to 0.21]</w:t>
            </w:r>
          </w:p>
        </w:tc>
      </w:tr>
      <w:tr w:rsidR="00F71100" w:rsidRPr="00C172C1" w:rsidTr="00887A3C">
        <w:tc>
          <w:tcPr>
            <w:tcW w:w="4594" w:type="dxa"/>
          </w:tcPr>
          <w:p w:rsidR="00F71100" w:rsidRPr="00C172C1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Mini Mental State Exam</w:t>
            </w:r>
            <w:r w:rsidR="007D6C29" w:rsidRPr="00C172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85248" w:rsidRPr="00C172C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="007D6C29" w:rsidRPr="00C172C1">
              <w:rPr>
                <w:rFonts w:ascii="Arial" w:eastAsia="Times New Roman" w:hAnsi="Arial" w:cs="Arial"/>
                <w:sz w:val="20"/>
                <w:szCs w:val="20"/>
              </w:rPr>
              <w:t>core</w:t>
            </w:r>
          </w:p>
        </w:tc>
        <w:tc>
          <w:tcPr>
            <w:tcW w:w="1275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0.09</w:t>
            </w:r>
          </w:p>
        </w:tc>
        <w:tc>
          <w:tcPr>
            <w:tcW w:w="993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0.17</w:t>
            </w:r>
          </w:p>
        </w:tc>
        <w:tc>
          <w:tcPr>
            <w:tcW w:w="2409" w:type="dxa"/>
          </w:tcPr>
          <w:p w:rsidR="00F71100" w:rsidRPr="00C172C1" w:rsidRDefault="00F71100" w:rsidP="00C172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172C1">
              <w:rPr>
                <w:rFonts w:ascii="Arial" w:eastAsia="Times New Roman" w:hAnsi="Arial" w:cs="Arial"/>
                <w:sz w:val="20"/>
                <w:szCs w:val="20"/>
              </w:rPr>
              <w:t>-0.08 [-0.23 to 0.06]</w:t>
            </w:r>
          </w:p>
        </w:tc>
      </w:tr>
    </w:tbl>
    <w:p w:rsidR="004F70DE" w:rsidRPr="00C172C1" w:rsidRDefault="004F70DE" w:rsidP="00C172C1">
      <w:pPr>
        <w:spacing w:line="240" w:lineRule="auto"/>
        <w:rPr>
          <w:rFonts w:ascii="Arial" w:hAnsi="Arial" w:cs="Arial"/>
          <w:sz w:val="20"/>
          <w:szCs w:val="20"/>
        </w:rPr>
      </w:pPr>
      <w:r w:rsidRPr="00C172C1">
        <w:rPr>
          <w:rFonts w:ascii="Arial" w:hAnsi="Arial" w:cs="Arial"/>
          <w:sz w:val="20"/>
          <w:szCs w:val="20"/>
        </w:rPr>
        <w:t>Results g</w:t>
      </w:r>
      <w:r w:rsidR="00B20FBD" w:rsidRPr="00C172C1">
        <w:rPr>
          <w:rFonts w:ascii="Arial" w:hAnsi="Arial" w:cs="Arial"/>
          <w:sz w:val="20"/>
          <w:szCs w:val="20"/>
        </w:rPr>
        <w:t>enerated from mixed models on the primary</w:t>
      </w:r>
      <w:r w:rsidRPr="00C172C1">
        <w:rPr>
          <w:rFonts w:ascii="Arial" w:hAnsi="Arial" w:cs="Arial"/>
          <w:sz w:val="20"/>
          <w:szCs w:val="20"/>
        </w:rPr>
        <w:t xml:space="preserve"> imputed data set (N=474) </w:t>
      </w:r>
      <w:r w:rsidR="00B20FBD" w:rsidRPr="00C172C1">
        <w:rPr>
          <w:rFonts w:ascii="Arial" w:hAnsi="Arial" w:cs="Arial"/>
          <w:sz w:val="20"/>
          <w:szCs w:val="20"/>
        </w:rPr>
        <w:t>with adjustment</w:t>
      </w:r>
      <w:r w:rsidRPr="00C172C1">
        <w:rPr>
          <w:rFonts w:ascii="Arial" w:hAnsi="Arial" w:cs="Arial"/>
          <w:sz w:val="20"/>
          <w:szCs w:val="20"/>
        </w:rPr>
        <w:t xml:space="preserve"> for baseline value of the associated outcome, K&amp;L grade, centre, </w:t>
      </w:r>
      <w:r w:rsidR="00B20FBD" w:rsidRPr="00C172C1">
        <w:rPr>
          <w:rFonts w:ascii="Arial" w:hAnsi="Arial" w:cs="Arial"/>
          <w:sz w:val="20"/>
          <w:szCs w:val="20"/>
        </w:rPr>
        <w:t>gender, glucosamine use, age and BMI</w:t>
      </w:r>
      <w:r w:rsidRPr="00C172C1">
        <w:rPr>
          <w:rFonts w:ascii="Arial" w:hAnsi="Arial" w:cs="Arial"/>
          <w:sz w:val="20"/>
          <w:szCs w:val="20"/>
        </w:rPr>
        <w:t>.</w:t>
      </w:r>
      <w:r w:rsidRPr="00C172C1">
        <w:rPr>
          <w:rFonts w:ascii="Arial" w:hAnsi="Arial" w:cs="Arial"/>
          <w:b/>
          <w:sz w:val="20"/>
          <w:szCs w:val="20"/>
        </w:rPr>
        <w:t xml:space="preserve"> </w:t>
      </w:r>
      <w:r w:rsidRPr="00C172C1">
        <w:rPr>
          <w:rFonts w:ascii="Arial" w:hAnsi="Arial" w:cs="Arial"/>
          <w:sz w:val="20"/>
          <w:szCs w:val="20"/>
        </w:rPr>
        <w:t>WHOQOL-BREF domain scores range from 0 to 100, 0=worst, 100=best. B</w:t>
      </w:r>
      <w:r w:rsidR="00680307" w:rsidRPr="00C172C1">
        <w:rPr>
          <w:rFonts w:ascii="Arial" w:hAnsi="Arial" w:cs="Arial"/>
          <w:sz w:val="20"/>
          <w:szCs w:val="20"/>
        </w:rPr>
        <w:t xml:space="preserve">ecks </w:t>
      </w:r>
      <w:r w:rsidRPr="00C172C1">
        <w:rPr>
          <w:rFonts w:ascii="Arial" w:hAnsi="Arial" w:cs="Arial"/>
          <w:sz w:val="20"/>
          <w:szCs w:val="20"/>
        </w:rPr>
        <w:t>D</w:t>
      </w:r>
      <w:r w:rsidR="00680307" w:rsidRPr="00C172C1">
        <w:rPr>
          <w:rFonts w:ascii="Arial" w:hAnsi="Arial" w:cs="Arial"/>
          <w:sz w:val="20"/>
          <w:szCs w:val="20"/>
        </w:rPr>
        <w:t xml:space="preserve">epression </w:t>
      </w:r>
      <w:r w:rsidRPr="00C172C1">
        <w:rPr>
          <w:rFonts w:ascii="Arial" w:hAnsi="Arial" w:cs="Arial"/>
          <w:sz w:val="20"/>
          <w:szCs w:val="20"/>
        </w:rPr>
        <w:t>I</w:t>
      </w:r>
      <w:r w:rsidR="00680307" w:rsidRPr="00C172C1">
        <w:rPr>
          <w:rFonts w:ascii="Arial" w:hAnsi="Arial" w:cs="Arial"/>
          <w:sz w:val="20"/>
          <w:szCs w:val="20"/>
        </w:rPr>
        <w:t>nventory</w:t>
      </w:r>
      <w:r w:rsidRPr="00C172C1">
        <w:rPr>
          <w:rFonts w:ascii="Arial" w:hAnsi="Arial" w:cs="Arial"/>
          <w:sz w:val="20"/>
          <w:szCs w:val="20"/>
        </w:rPr>
        <w:t xml:space="preserve"> ranges from 0 to 63, 0 = minimal, 63=severe.</w:t>
      </w:r>
      <w:r w:rsidR="00BF2F93" w:rsidRPr="00C172C1">
        <w:rPr>
          <w:rFonts w:ascii="Arial" w:hAnsi="Arial" w:cs="Arial"/>
          <w:sz w:val="20"/>
          <w:szCs w:val="20"/>
        </w:rPr>
        <w:t xml:space="preserve"> Mini Mental State Exam score ranges from 0 to 30, scores &gt;27 are considered normal.</w:t>
      </w:r>
    </w:p>
    <w:p w:rsidR="00F71100" w:rsidRPr="00C172C1" w:rsidRDefault="00F71100" w:rsidP="00C172C1">
      <w:pPr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3A7283" w:rsidRPr="00C172C1" w:rsidRDefault="003A7283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3C2E04" w:rsidRDefault="00C172C1" w:rsidP="00C172C1">
      <w:p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434359">
        <w:rPr>
          <w:rFonts w:ascii="Arial" w:hAnsi="Arial" w:cs="Arial"/>
          <w:b/>
          <w:color w:val="0D0D0D" w:themeColor="text1" w:themeTint="F2"/>
          <w:sz w:val="24"/>
          <w:szCs w:val="24"/>
        </w:rPr>
        <w:lastRenderedPageBreak/>
        <w:t>e</w:t>
      </w:r>
      <w:r w:rsidR="00434359" w:rsidRPr="00434359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Figure </w:t>
      </w:r>
      <w:r w:rsidR="003C2E04" w:rsidRPr="00434359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2: Mean WOMAC Pain Scores </w:t>
      </w:r>
    </w:p>
    <w:p w:rsidR="003C2E04" w:rsidRPr="00C172C1" w:rsidRDefault="003C2E04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noProof/>
          <w:sz w:val="20"/>
          <w:szCs w:val="20"/>
          <w:lang w:eastAsia="en-GB"/>
        </w:rPr>
        <w:drawing>
          <wp:inline distT="0" distB="0" distL="0" distR="0" wp14:anchorId="195B9B08" wp14:editId="6A5748B6">
            <wp:extent cx="5107305" cy="3180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30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E04" w:rsidRPr="00451D55" w:rsidRDefault="00451D55" w:rsidP="00C172C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51D55">
        <w:rPr>
          <w:rFonts w:ascii="Times New Roman" w:hAnsi="Times New Roman" w:cs="Times New Roman"/>
          <w:sz w:val="20"/>
          <w:szCs w:val="20"/>
        </w:rPr>
        <w:t>Mean WOMAC Pain Scores with 95% CI’s by treatment group</w:t>
      </w:r>
      <w:r w:rsidR="003C2E04" w:rsidRPr="00451D55">
        <w:rPr>
          <w:rFonts w:ascii="Times New Roman" w:hAnsi="Times New Roman" w:cs="Times New Roman"/>
          <w:sz w:val="20"/>
          <w:szCs w:val="20"/>
        </w:rPr>
        <w:br w:type="page"/>
      </w:r>
    </w:p>
    <w:p w:rsidR="003C2E04" w:rsidRPr="00C172C1" w:rsidRDefault="003C2E04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71100" w:rsidRPr="00434359" w:rsidRDefault="004D7736" w:rsidP="00C172C1">
      <w:pPr>
        <w:spacing w:line="240" w:lineRule="auto"/>
        <w:ind w:left="36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e</w:t>
      </w:r>
      <w:r w:rsidR="00F71100" w:rsidRPr="00434359">
        <w:rPr>
          <w:rFonts w:ascii="Arial" w:hAnsi="Arial" w:cs="Arial"/>
          <w:b/>
          <w:sz w:val="24"/>
          <w:szCs w:val="20"/>
        </w:rPr>
        <w:t xml:space="preserve">Table </w:t>
      </w:r>
      <w:r w:rsidR="008C3F6A" w:rsidRPr="00434359">
        <w:rPr>
          <w:rFonts w:ascii="Arial" w:hAnsi="Arial" w:cs="Arial"/>
          <w:b/>
          <w:sz w:val="24"/>
          <w:szCs w:val="20"/>
        </w:rPr>
        <w:t>4</w:t>
      </w:r>
      <w:r w:rsidR="00F71100" w:rsidRPr="00434359">
        <w:rPr>
          <w:rFonts w:ascii="Arial" w:hAnsi="Arial" w:cs="Arial"/>
          <w:b/>
          <w:sz w:val="24"/>
          <w:szCs w:val="20"/>
        </w:rPr>
        <w:t xml:space="preserve">: </w:t>
      </w:r>
      <w:r w:rsidR="008C3F6A" w:rsidRPr="00434359">
        <w:rPr>
          <w:rFonts w:ascii="Arial" w:hAnsi="Arial" w:cs="Arial"/>
          <w:b/>
          <w:sz w:val="24"/>
          <w:szCs w:val="20"/>
        </w:rPr>
        <w:t>Treatment effect estimates for</w:t>
      </w:r>
      <w:r w:rsidR="00F71100" w:rsidRPr="00434359">
        <w:rPr>
          <w:rFonts w:ascii="Arial" w:hAnsi="Arial" w:cs="Arial"/>
          <w:b/>
          <w:sz w:val="24"/>
          <w:szCs w:val="20"/>
        </w:rPr>
        <w:t xml:space="preserve"> ordinal and binary secondary outcomes</w:t>
      </w:r>
    </w:p>
    <w:tbl>
      <w:tblPr>
        <w:tblW w:w="8755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276"/>
        <w:gridCol w:w="1276"/>
        <w:gridCol w:w="2693"/>
      </w:tblGrid>
      <w:tr w:rsidR="00F71100" w:rsidRPr="00434359" w:rsidTr="003C2E04"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F71100" w:rsidRPr="00434359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100" w:rsidRPr="0084608E" w:rsidRDefault="00F71100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>Vitamin D</w:t>
            </w:r>
          </w:p>
          <w:p w:rsidR="00F71100" w:rsidRPr="0084608E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71100" w:rsidRPr="0084608E" w:rsidRDefault="00F71100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Placebo </w:t>
            </w:r>
          </w:p>
          <w:p w:rsidR="00F71100" w:rsidRPr="0084608E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71100" w:rsidRPr="0084608E" w:rsidRDefault="00CF0A6A" w:rsidP="00C172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highlight w:val="yellow"/>
              </w:rPr>
            </w:pPr>
            <w:r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Difference </w:t>
            </w:r>
            <w:r w:rsidR="00081327" w:rsidRPr="0084608E">
              <w:rPr>
                <w:rFonts w:ascii="Arial" w:eastAsia="Times New Roman" w:hAnsi="Arial" w:cs="Arial"/>
                <w:b/>
                <w:sz w:val="20"/>
                <w:szCs w:val="20"/>
              </w:rPr>
              <w:t>[95% CI]</w:t>
            </w:r>
          </w:p>
        </w:tc>
      </w:tr>
      <w:tr w:rsidR="00CF0A6A" w:rsidRPr="00434359" w:rsidTr="003C2E04">
        <w:tc>
          <w:tcPr>
            <w:tcW w:w="3510" w:type="dxa"/>
            <w:tcBorders>
              <w:top w:val="nil"/>
              <w:bottom w:val="nil"/>
            </w:tcBorders>
          </w:tcPr>
          <w:p w:rsidR="00CF0A6A" w:rsidRPr="00434359" w:rsidRDefault="00333846" w:rsidP="00C172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CF0A6A" w:rsidRPr="00434359">
              <w:rPr>
                <w:rFonts w:ascii="Arial" w:eastAsia="Times New Roman" w:hAnsi="Arial" w:cs="Arial"/>
                <w:sz w:val="20"/>
                <w:szCs w:val="20"/>
              </w:rPr>
              <w:t>linically significant progression</w:t>
            </w:r>
            <w:r w:rsidR="004528CA"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F0A6A" w:rsidRPr="00434359">
              <w:rPr>
                <w:rFonts w:ascii="Arial" w:hAnsi="Arial" w:cs="Arial"/>
                <w:sz w:val="20"/>
                <w:szCs w:val="20"/>
              </w:rPr>
              <w:t>(</w:t>
            </w:r>
            <w:r w:rsidR="00BF2F93" w:rsidRPr="00434359">
              <w:rPr>
                <w:rFonts w:ascii="Arial" w:hAnsi="Arial" w:cs="Arial"/>
                <w:sz w:val="20"/>
                <w:szCs w:val="20"/>
              </w:rPr>
              <w:t xml:space="preserve">Medial index </w:t>
            </w:r>
            <w:r w:rsidR="00CF0A6A" w:rsidRPr="00434359">
              <w:rPr>
                <w:rFonts w:ascii="Arial" w:hAnsi="Arial" w:cs="Arial"/>
                <w:sz w:val="20"/>
                <w:szCs w:val="20"/>
              </w:rPr>
              <w:t>JSN&gt;0.5m</w:t>
            </w:r>
            <w:r w:rsidR="00BF2F93" w:rsidRPr="00434359">
              <w:rPr>
                <w:rFonts w:ascii="Arial" w:hAnsi="Arial" w:cs="Arial"/>
                <w:sz w:val="20"/>
                <w:szCs w:val="20"/>
              </w:rPr>
              <w:t>m)</w:t>
            </w:r>
            <w:r w:rsidR="00CD13A5" w:rsidRPr="00434359">
              <w:rPr>
                <w:rFonts w:ascii="Arial" w:hAnsi="Arial" w:cs="Arial"/>
                <w:sz w:val="20"/>
                <w:szCs w:val="20"/>
              </w:rPr>
              <w:t xml:space="preserve"> Unadjusted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1DD7" w:rsidRPr="00434359" w:rsidRDefault="00BB1DD7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B1DD7" w:rsidRPr="00434359" w:rsidRDefault="00BB1DD7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0A6A" w:rsidRPr="00434359" w:rsidRDefault="004528CA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N=</w:t>
            </w:r>
            <w:r w:rsidR="00333846" w:rsidRPr="00434359">
              <w:rPr>
                <w:rFonts w:ascii="Arial" w:eastAsia="Times New Roman" w:hAnsi="Arial" w:cs="Arial"/>
                <w:sz w:val="20"/>
                <w:szCs w:val="20"/>
              </w:rPr>
              <w:t>92</w:t>
            </w:r>
            <w:r w:rsidR="00BF2F93"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33846" w:rsidRPr="00434359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081327" w:rsidRPr="00434359">
              <w:rPr>
                <w:rFonts w:ascii="Arial" w:eastAsia="Times New Roman" w:hAnsi="Arial" w:cs="Arial"/>
                <w:sz w:val="20"/>
                <w:szCs w:val="20"/>
              </w:rPr>
              <w:t>39%</w:t>
            </w:r>
            <w:r w:rsidR="00333846" w:rsidRPr="0043435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B1DD7" w:rsidRPr="00434359" w:rsidRDefault="00BB1DD7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B1DD7" w:rsidRPr="00434359" w:rsidRDefault="00BB1DD7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0A6A" w:rsidRPr="00434359" w:rsidRDefault="004528CA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N=</w:t>
            </w:r>
            <w:r w:rsidR="00333846" w:rsidRPr="00434359">
              <w:rPr>
                <w:rFonts w:ascii="Arial" w:eastAsia="Times New Roman" w:hAnsi="Arial" w:cs="Arial"/>
                <w:sz w:val="20"/>
                <w:szCs w:val="20"/>
              </w:rPr>
              <w:t>88</w:t>
            </w:r>
            <w:r w:rsidR="00BF2F93"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333846" w:rsidRPr="00434359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081327" w:rsidRPr="00434359">
              <w:rPr>
                <w:rFonts w:ascii="Arial" w:eastAsia="Times New Roman" w:hAnsi="Arial" w:cs="Arial"/>
                <w:sz w:val="20"/>
                <w:szCs w:val="20"/>
              </w:rPr>
              <w:t>37%</w:t>
            </w:r>
            <w:r w:rsidR="00333846" w:rsidRPr="00434359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B1DD7" w:rsidRPr="00434359" w:rsidRDefault="00BB1DD7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B1DD7" w:rsidRPr="00434359" w:rsidRDefault="00BB1DD7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CF0A6A" w:rsidRPr="00434359" w:rsidRDefault="00CD13A5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2% [-10% to 14%]</w:t>
            </w:r>
            <w:r w:rsidR="00B4155E" w:rsidRPr="0043435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CF0A6A" w:rsidRPr="00434359" w:rsidTr="003C2E04">
        <w:tc>
          <w:tcPr>
            <w:tcW w:w="3510" w:type="dxa"/>
            <w:tcBorders>
              <w:top w:val="nil"/>
              <w:bottom w:val="nil"/>
            </w:tcBorders>
          </w:tcPr>
          <w:p w:rsidR="00CF0A6A" w:rsidRPr="00434359" w:rsidRDefault="00CD13A5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Adjusted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F0A6A" w:rsidRPr="00434359" w:rsidRDefault="00CF0A6A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F0A6A" w:rsidRPr="00434359" w:rsidRDefault="00CF0A6A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F0A6A" w:rsidRPr="00434359" w:rsidRDefault="00CD13A5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3% [-10% to 16%]</w:t>
            </w:r>
            <w:r w:rsidR="00B4155E" w:rsidRPr="0043435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CD13A5" w:rsidRPr="00434359" w:rsidTr="00CF0A6A">
        <w:tc>
          <w:tcPr>
            <w:tcW w:w="3510" w:type="dxa"/>
            <w:tcBorders>
              <w:top w:val="nil"/>
              <w:bottom w:val="nil"/>
            </w:tcBorders>
          </w:tcPr>
          <w:p w:rsidR="00CD13A5" w:rsidRPr="00434359" w:rsidRDefault="00CD13A5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D13A5" w:rsidRPr="00434359" w:rsidRDefault="00CD13A5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D13A5" w:rsidRPr="00434359" w:rsidRDefault="00CD13A5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D13A5" w:rsidRPr="00434359" w:rsidRDefault="00CD13A5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D13A5" w:rsidRPr="00434359" w:rsidTr="00CF0A6A">
        <w:tc>
          <w:tcPr>
            <w:tcW w:w="3510" w:type="dxa"/>
            <w:tcBorders>
              <w:top w:val="nil"/>
              <w:bottom w:val="nil"/>
            </w:tcBorders>
          </w:tcPr>
          <w:p w:rsidR="00CD13A5" w:rsidRPr="00434359" w:rsidRDefault="00CD13A5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D13A5" w:rsidRPr="00434359" w:rsidRDefault="00CD13A5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D13A5" w:rsidRPr="00434359" w:rsidRDefault="00CD13A5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D13A5" w:rsidRPr="00434359" w:rsidRDefault="00CD13A5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Treatment x Time OR [95% CI]</w:t>
            </w:r>
          </w:p>
        </w:tc>
      </w:tr>
      <w:tr w:rsidR="00CF0A6A" w:rsidRPr="00434359" w:rsidTr="003C2E04">
        <w:tc>
          <w:tcPr>
            <w:tcW w:w="3510" w:type="dxa"/>
            <w:tcBorders>
              <w:top w:val="nil"/>
              <w:bottom w:val="nil"/>
            </w:tcBorders>
          </w:tcPr>
          <w:p w:rsidR="00CF0A6A" w:rsidRPr="00434359" w:rsidRDefault="00CF0A6A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F0A6A" w:rsidRPr="00434359" w:rsidRDefault="00CF0A6A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CF0A6A" w:rsidRPr="00434359" w:rsidRDefault="00CF0A6A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F0A6A" w:rsidRPr="00434359" w:rsidRDefault="00CF0A6A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71100" w:rsidRPr="00434359" w:rsidTr="003C2E04">
        <w:tc>
          <w:tcPr>
            <w:tcW w:w="3510" w:type="dxa"/>
            <w:tcBorders>
              <w:top w:val="nil"/>
              <w:bottom w:val="nil"/>
            </w:tcBorders>
          </w:tcPr>
          <w:p w:rsidR="00F71100" w:rsidRPr="00434359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Odds of higher grade in Get up and go test per year</w:t>
            </w:r>
            <w:r w:rsidR="00B4155E" w:rsidRPr="0043435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3,5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71100" w:rsidRPr="00434359" w:rsidRDefault="00F71100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1.00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71100" w:rsidRPr="00434359" w:rsidRDefault="00F71100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1.04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71100" w:rsidRPr="00434359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0.96 [0.73 to 1.27]</w:t>
            </w:r>
          </w:p>
        </w:tc>
      </w:tr>
      <w:tr w:rsidR="00F71100" w:rsidRPr="00434359" w:rsidTr="003C2E04">
        <w:tc>
          <w:tcPr>
            <w:tcW w:w="3510" w:type="dxa"/>
            <w:tcBorders>
              <w:top w:val="nil"/>
            </w:tcBorders>
          </w:tcPr>
          <w:p w:rsidR="00F71100" w:rsidRPr="00434359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Patient specific Odds of knee warmth</w:t>
            </w:r>
            <w:r w:rsidR="001B3D84"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present</w:t>
            </w:r>
            <w:r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per year (index knee)</w:t>
            </w:r>
            <w:r w:rsidR="00B4155E" w:rsidRPr="0043435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4,5</w:t>
            </w:r>
          </w:p>
        </w:tc>
        <w:tc>
          <w:tcPr>
            <w:tcW w:w="1276" w:type="dxa"/>
            <w:tcBorders>
              <w:top w:val="nil"/>
            </w:tcBorders>
          </w:tcPr>
          <w:p w:rsidR="00F71100" w:rsidRPr="00434359" w:rsidRDefault="00F71100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1.50 </w:t>
            </w:r>
          </w:p>
        </w:tc>
        <w:tc>
          <w:tcPr>
            <w:tcW w:w="1276" w:type="dxa"/>
            <w:tcBorders>
              <w:top w:val="nil"/>
            </w:tcBorders>
          </w:tcPr>
          <w:p w:rsidR="00F71100" w:rsidRPr="00434359" w:rsidRDefault="00F71100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1.60 </w:t>
            </w:r>
          </w:p>
        </w:tc>
        <w:tc>
          <w:tcPr>
            <w:tcW w:w="2693" w:type="dxa"/>
            <w:tcBorders>
              <w:top w:val="nil"/>
            </w:tcBorders>
          </w:tcPr>
          <w:p w:rsidR="00F71100" w:rsidRPr="00434359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0.94 [0.65 to 1.35]</w:t>
            </w:r>
          </w:p>
        </w:tc>
      </w:tr>
      <w:tr w:rsidR="00F71100" w:rsidRPr="00434359" w:rsidTr="003C2E04">
        <w:tc>
          <w:tcPr>
            <w:tcW w:w="3510" w:type="dxa"/>
          </w:tcPr>
          <w:p w:rsidR="00F71100" w:rsidRPr="00434359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Patient specific Odds of  knee effusion</w:t>
            </w:r>
            <w:r w:rsidR="001B3D84"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B3D84" w:rsidRPr="00434359">
              <w:rPr>
                <w:rFonts w:ascii="Arial" w:hAnsi="Arial" w:cs="Arial"/>
                <w:sz w:val="20"/>
                <w:szCs w:val="20"/>
              </w:rPr>
              <w:t xml:space="preserve">(small to large) </w:t>
            </w:r>
            <w:r w:rsidR="001B3D84"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present</w:t>
            </w:r>
            <w:r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per year (index knee)</w:t>
            </w:r>
            <w:r w:rsidRPr="0043435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</w:t>
            </w:r>
            <w:r w:rsidR="00B4155E" w:rsidRPr="00434359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>4,5</w:t>
            </w:r>
          </w:p>
        </w:tc>
        <w:tc>
          <w:tcPr>
            <w:tcW w:w="1276" w:type="dxa"/>
          </w:tcPr>
          <w:p w:rsidR="00F71100" w:rsidRPr="00434359" w:rsidRDefault="00F71100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0.93</w:t>
            </w:r>
          </w:p>
        </w:tc>
        <w:tc>
          <w:tcPr>
            <w:tcW w:w="1276" w:type="dxa"/>
          </w:tcPr>
          <w:p w:rsidR="00F71100" w:rsidRPr="00434359" w:rsidRDefault="00F71100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1.02</w:t>
            </w:r>
          </w:p>
        </w:tc>
        <w:tc>
          <w:tcPr>
            <w:tcW w:w="2693" w:type="dxa"/>
          </w:tcPr>
          <w:p w:rsidR="00F71100" w:rsidRPr="00434359" w:rsidRDefault="00F71100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0.92 [0.73 to 1.15]</w:t>
            </w:r>
          </w:p>
        </w:tc>
      </w:tr>
      <w:tr w:rsidR="00CF0A6A" w:rsidRPr="00434359" w:rsidTr="003C2E04">
        <w:tc>
          <w:tcPr>
            <w:tcW w:w="3510" w:type="dxa"/>
          </w:tcPr>
          <w:p w:rsidR="00CF0A6A" w:rsidRPr="00434359" w:rsidRDefault="00CF0A6A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0A6A" w:rsidRPr="00434359" w:rsidRDefault="00CF0A6A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0A6A" w:rsidRPr="00434359" w:rsidRDefault="00CF0A6A" w:rsidP="00C172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CF0A6A" w:rsidRPr="00434359" w:rsidRDefault="00CF0A6A" w:rsidP="00C172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F2F93" w:rsidRPr="00434359" w:rsidRDefault="00B4155E" w:rsidP="00C172C1">
      <w:pPr>
        <w:spacing w:line="240" w:lineRule="auto"/>
        <w:rPr>
          <w:rFonts w:ascii="Arial" w:hAnsi="Arial" w:cs="Arial"/>
          <w:sz w:val="20"/>
          <w:szCs w:val="20"/>
          <w:lang w:eastAsia="en-GB"/>
        </w:rPr>
      </w:pPr>
      <w:r w:rsidRPr="00434359">
        <w:rPr>
          <w:rFonts w:ascii="Arial" w:hAnsi="Arial" w:cs="Arial"/>
          <w:sz w:val="20"/>
          <w:szCs w:val="20"/>
          <w:vertAlign w:val="superscript"/>
        </w:rPr>
        <w:t>1</w:t>
      </w:r>
      <w:r w:rsidR="00333846" w:rsidRPr="00434359">
        <w:rPr>
          <w:rFonts w:ascii="Arial" w:hAnsi="Arial" w:cs="Arial"/>
          <w:sz w:val="20"/>
          <w:szCs w:val="20"/>
        </w:rPr>
        <w:t xml:space="preserve">Corresponds to </w:t>
      </w:r>
      <w:r w:rsidR="004528CA" w:rsidRPr="00434359">
        <w:rPr>
          <w:rFonts w:ascii="Arial" w:hAnsi="Arial" w:cs="Arial"/>
          <w:sz w:val="20"/>
          <w:szCs w:val="20"/>
        </w:rPr>
        <w:t xml:space="preserve">a </w:t>
      </w:r>
      <w:r w:rsidR="00333846" w:rsidRPr="00434359">
        <w:rPr>
          <w:rFonts w:ascii="Arial" w:hAnsi="Arial" w:cs="Arial"/>
          <w:sz w:val="20"/>
          <w:szCs w:val="20"/>
        </w:rPr>
        <w:t xml:space="preserve">relative risk of 1.05 [0.77 to 1.44]. </w:t>
      </w:r>
      <w:r w:rsidRPr="00434359">
        <w:rPr>
          <w:rFonts w:ascii="Arial" w:hAnsi="Arial" w:cs="Arial"/>
          <w:sz w:val="20"/>
          <w:szCs w:val="20"/>
          <w:vertAlign w:val="superscript"/>
        </w:rPr>
        <w:t>2</w:t>
      </w:r>
      <w:r w:rsidR="00CD13A5" w:rsidRPr="00434359">
        <w:rPr>
          <w:rFonts w:ascii="Arial" w:hAnsi="Arial" w:cs="Arial"/>
          <w:sz w:val="20"/>
          <w:szCs w:val="20"/>
        </w:rPr>
        <w:t xml:space="preserve">Corresponds </w:t>
      </w:r>
      <w:r w:rsidR="00333846" w:rsidRPr="00434359">
        <w:rPr>
          <w:rFonts w:ascii="Arial" w:hAnsi="Arial" w:cs="Arial"/>
          <w:sz w:val="20"/>
          <w:szCs w:val="20"/>
        </w:rPr>
        <w:t>to an adjusted relative risk of 1.03 [0.76</w:t>
      </w:r>
      <w:r w:rsidR="00BF2F93" w:rsidRPr="00434359">
        <w:rPr>
          <w:rFonts w:ascii="Arial" w:hAnsi="Arial" w:cs="Arial"/>
          <w:sz w:val="20"/>
          <w:szCs w:val="20"/>
        </w:rPr>
        <w:t xml:space="preserve"> </w:t>
      </w:r>
      <w:r w:rsidR="00333846" w:rsidRPr="00434359">
        <w:rPr>
          <w:rFonts w:ascii="Arial" w:hAnsi="Arial" w:cs="Arial"/>
          <w:sz w:val="20"/>
          <w:szCs w:val="20"/>
        </w:rPr>
        <w:t>to 1.40]</w:t>
      </w:r>
      <w:r w:rsidR="004F70DE" w:rsidRPr="00434359">
        <w:rPr>
          <w:rFonts w:ascii="Arial" w:hAnsi="Arial" w:cs="Arial"/>
          <w:sz w:val="20"/>
          <w:szCs w:val="20"/>
        </w:rPr>
        <w:t xml:space="preserve"> with adjustment for</w:t>
      </w:r>
      <w:r w:rsidR="00BF2F93" w:rsidRPr="00434359">
        <w:rPr>
          <w:rFonts w:ascii="Arial" w:hAnsi="Arial" w:cs="Arial"/>
          <w:sz w:val="20"/>
          <w:szCs w:val="20"/>
        </w:rPr>
        <w:t xml:space="preserve"> </w:t>
      </w:r>
      <w:r w:rsidR="00CA721E" w:rsidRPr="00434359">
        <w:rPr>
          <w:rFonts w:ascii="Arial" w:hAnsi="Arial" w:cs="Arial"/>
          <w:sz w:val="20"/>
          <w:szCs w:val="20"/>
        </w:rPr>
        <w:t>baseline medial</w:t>
      </w:r>
      <w:r w:rsidR="00B20FBD" w:rsidRPr="00434359">
        <w:rPr>
          <w:rFonts w:ascii="Arial" w:hAnsi="Arial" w:cs="Arial"/>
          <w:sz w:val="20"/>
          <w:szCs w:val="20"/>
        </w:rPr>
        <w:t xml:space="preserve"> index </w:t>
      </w:r>
      <w:r w:rsidR="00BF2F93" w:rsidRPr="00434359">
        <w:rPr>
          <w:rFonts w:ascii="Arial" w:hAnsi="Arial" w:cs="Arial"/>
          <w:sz w:val="20"/>
          <w:szCs w:val="20"/>
        </w:rPr>
        <w:t>JSW</w:t>
      </w:r>
      <w:r w:rsidR="0024155C" w:rsidRPr="00434359">
        <w:rPr>
          <w:rFonts w:ascii="Arial" w:hAnsi="Arial" w:cs="Arial"/>
          <w:sz w:val="20"/>
          <w:szCs w:val="20"/>
        </w:rPr>
        <w:t>, centre</w:t>
      </w:r>
      <w:r w:rsidR="00BF2F93" w:rsidRPr="00434359">
        <w:rPr>
          <w:rFonts w:ascii="Arial" w:hAnsi="Arial" w:cs="Arial"/>
          <w:sz w:val="20"/>
          <w:szCs w:val="20"/>
        </w:rPr>
        <w:t xml:space="preserve">, gender , glucosamine use,  age and </w:t>
      </w:r>
      <w:r w:rsidR="00B20FBD" w:rsidRPr="00434359">
        <w:rPr>
          <w:rFonts w:ascii="Arial" w:hAnsi="Arial" w:cs="Arial"/>
          <w:sz w:val="20"/>
          <w:szCs w:val="20"/>
        </w:rPr>
        <w:t>BMI</w:t>
      </w:r>
      <w:r w:rsidR="00BF2F93" w:rsidRPr="00434359">
        <w:rPr>
          <w:rFonts w:ascii="Arial" w:hAnsi="Arial" w:cs="Arial"/>
          <w:sz w:val="20"/>
          <w:szCs w:val="20"/>
        </w:rPr>
        <w:t>.</w:t>
      </w:r>
      <w:r w:rsidR="00BF2F93" w:rsidRPr="00434359">
        <w:rPr>
          <w:rFonts w:ascii="Arial" w:hAnsi="Arial" w:cs="Arial"/>
          <w:b/>
          <w:sz w:val="20"/>
          <w:szCs w:val="20"/>
        </w:rPr>
        <w:t xml:space="preserve"> </w:t>
      </w:r>
      <w:r w:rsidRPr="00434359">
        <w:rPr>
          <w:rFonts w:ascii="Arial" w:eastAsia="Times New Roman" w:hAnsi="Arial" w:cs="Arial"/>
          <w:sz w:val="20"/>
          <w:szCs w:val="20"/>
          <w:vertAlign w:val="superscript"/>
        </w:rPr>
        <w:t>3</w:t>
      </w:r>
      <w:r w:rsidR="00BF2F93" w:rsidRPr="00434359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BF2F93" w:rsidRPr="00434359">
        <w:rPr>
          <w:rFonts w:ascii="Arial" w:hAnsi="Arial" w:cs="Arial"/>
          <w:sz w:val="20"/>
          <w:szCs w:val="20"/>
          <w:lang w:eastAsia="en-GB"/>
        </w:rPr>
        <w:t>Result generated from an ordinal regression model with robust Huber-White sandwich estimators of SE’s. Odds ratio represents population-averaged effects for vitamin D p</w:t>
      </w:r>
      <w:r w:rsidR="0024155C" w:rsidRPr="00434359">
        <w:rPr>
          <w:rFonts w:ascii="Arial" w:hAnsi="Arial" w:cs="Arial"/>
          <w:sz w:val="20"/>
          <w:szCs w:val="20"/>
          <w:lang w:eastAsia="en-GB"/>
        </w:rPr>
        <w:t>atients versus placebo patients.</w:t>
      </w:r>
      <w:r w:rsidR="00BF2F93" w:rsidRPr="00434359">
        <w:rPr>
          <w:rFonts w:ascii="Arial" w:hAnsi="Arial" w:cs="Arial"/>
          <w:sz w:val="20"/>
          <w:szCs w:val="20"/>
          <w:lang w:eastAsia="en-GB"/>
        </w:rPr>
        <w:t xml:space="preserve"> </w:t>
      </w:r>
      <w:r w:rsidRPr="00434359">
        <w:rPr>
          <w:rFonts w:ascii="Arial" w:eastAsia="Times New Roman" w:hAnsi="Arial" w:cs="Arial"/>
          <w:sz w:val="20"/>
          <w:szCs w:val="20"/>
          <w:vertAlign w:val="superscript"/>
        </w:rPr>
        <w:t>4</w:t>
      </w:r>
      <w:r w:rsidR="003C287B" w:rsidRPr="00434359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3C287B" w:rsidRPr="00434359">
        <w:rPr>
          <w:rFonts w:ascii="Arial" w:hAnsi="Arial" w:cs="Arial"/>
          <w:sz w:val="20"/>
          <w:szCs w:val="20"/>
          <w:lang w:eastAsia="en-GB"/>
        </w:rPr>
        <w:t xml:space="preserve">Results generated </w:t>
      </w:r>
      <w:r w:rsidRPr="00434359">
        <w:rPr>
          <w:rFonts w:ascii="Arial" w:hAnsi="Arial" w:cs="Arial"/>
          <w:sz w:val="20"/>
          <w:szCs w:val="20"/>
          <w:lang w:eastAsia="en-GB"/>
        </w:rPr>
        <w:t>from a</w:t>
      </w:r>
      <w:r w:rsidR="003C287B" w:rsidRPr="00434359">
        <w:rPr>
          <w:rFonts w:ascii="Arial" w:hAnsi="Arial" w:cs="Arial"/>
          <w:sz w:val="20"/>
          <w:szCs w:val="20"/>
          <w:lang w:eastAsia="en-GB"/>
        </w:rPr>
        <w:t xml:space="preserve"> random intercept logistic model</w:t>
      </w:r>
      <w:r w:rsidRPr="00434359">
        <w:rPr>
          <w:rFonts w:ascii="Arial" w:hAnsi="Arial" w:cs="Arial"/>
          <w:sz w:val="20"/>
          <w:szCs w:val="20"/>
          <w:lang w:eastAsia="en-GB"/>
        </w:rPr>
        <w:t xml:space="preserve">. </w:t>
      </w:r>
      <w:r w:rsidRPr="00434359">
        <w:rPr>
          <w:rFonts w:ascii="Arial" w:hAnsi="Arial" w:cs="Arial"/>
          <w:sz w:val="20"/>
          <w:szCs w:val="20"/>
          <w:vertAlign w:val="superscript"/>
          <w:lang w:eastAsia="en-GB"/>
        </w:rPr>
        <w:t>5</w:t>
      </w:r>
      <w:r w:rsidR="0089776B" w:rsidRPr="00434359">
        <w:rPr>
          <w:rFonts w:ascii="Arial" w:hAnsi="Arial" w:cs="Arial"/>
          <w:sz w:val="20"/>
          <w:szCs w:val="20"/>
          <w:lang w:eastAsia="en-GB"/>
        </w:rPr>
        <w:t>M</w:t>
      </w:r>
      <w:r w:rsidRPr="00434359">
        <w:rPr>
          <w:rFonts w:ascii="Arial" w:hAnsi="Arial" w:cs="Arial"/>
          <w:sz w:val="20"/>
          <w:szCs w:val="20"/>
          <w:lang w:eastAsia="en-GB"/>
        </w:rPr>
        <w:t>odel</w:t>
      </w:r>
      <w:r w:rsidR="007B1627" w:rsidRPr="00434359">
        <w:rPr>
          <w:rFonts w:ascii="Arial" w:hAnsi="Arial" w:cs="Arial"/>
          <w:sz w:val="20"/>
          <w:szCs w:val="20"/>
          <w:lang w:eastAsia="en-GB"/>
        </w:rPr>
        <w:t xml:space="preserve"> fitted to the</w:t>
      </w:r>
      <w:r w:rsidR="00B20FBD" w:rsidRPr="00434359">
        <w:rPr>
          <w:rFonts w:ascii="Arial" w:hAnsi="Arial" w:cs="Arial"/>
          <w:sz w:val="20"/>
          <w:szCs w:val="20"/>
        </w:rPr>
        <w:t xml:space="preserve"> primary </w:t>
      </w:r>
      <w:r w:rsidR="007B1627" w:rsidRPr="00434359">
        <w:rPr>
          <w:rFonts w:ascii="Arial" w:hAnsi="Arial" w:cs="Arial"/>
          <w:sz w:val="20"/>
          <w:szCs w:val="20"/>
        </w:rPr>
        <w:t xml:space="preserve">imputed data set (N=474) </w:t>
      </w:r>
      <w:r w:rsidR="007B1627" w:rsidRPr="00434359">
        <w:rPr>
          <w:rFonts w:ascii="Arial" w:hAnsi="Arial" w:cs="Arial"/>
          <w:sz w:val="20"/>
          <w:szCs w:val="20"/>
          <w:lang w:eastAsia="en-GB"/>
        </w:rPr>
        <w:t>with adjustment</w:t>
      </w:r>
      <w:r w:rsidRPr="00434359">
        <w:rPr>
          <w:rFonts w:ascii="Arial" w:hAnsi="Arial" w:cs="Arial"/>
          <w:sz w:val="20"/>
          <w:szCs w:val="20"/>
          <w:lang w:eastAsia="en-GB"/>
        </w:rPr>
        <w:t xml:space="preserve"> for baseline value of the associated outcome, K&amp;L grade, centre, gende</w:t>
      </w:r>
      <w:r w:rsidR="00B20FBD" w:rsidRPr="00434359">
        <w:rPr>
          <w:rFonts w:ascii="Arial" w:hAnsi="Arial" w:cs="Arial"/>
          <w:sz w:val="20"/>
          <w:szCs w:val="20"/>
          <w:lang w:eastAsia="en-GB"/>
        </w:rPr>
        <w:t>r, glucosamine use, age and BMI.</w:t>
      </w:r>
    </w:p>
    <w:p w:rsidR="00F71100" w:rsidRPr="00C172C1" w:rsidRDefault="00F71100" w:rsidP="00C172C1">
      <w:pPr>
        <w:spacing w:line="240" w:lineRule="auto"/>
        <w:ind w:left="360"/>
        <w:rPr>
          <w:rFonts w:ascii="Times New Roman" w:hAnsi="Times New Roman" w:cs="Times New Roman"/>
          <w:b/>
          <w:sz w:val="20"/>
          <w:szCs w:val="20"/>
        </w:rPr>
      </w:pPr>
    </w:p>
    <w:p w:rsidR="00F646E3" w:rsidRPr="00C172C1" w:rsidRDefault="00F646E3" w:rsidP="00C172C1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172C1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646E3" w:rsidRPr="00434359" w:rsidRDefault="004D7736" w:rsidP="00434359">
      <w:pPr>
        <w:spacing w:line="240" w:lineRule="auto"/>
        <w:ind w:left="360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lastRenderedPageBreak/>
        <w:t>e</w:t>
      </w:r>
      <w:r w:rsidR="00F646E3" w:rsidRPr="00434359">
        <w:rPr>
          <w:rFonts w:ascii="Arial" w:hAnsi="Arial" w:cs="Arial"/>
          <w:b/>
          <w:sz w:val="24"/>
          <w:szCs w:val="20"/>
        </w:rPr>
        <w:t xml:space="preserve">Table </w:t>
      </w:r>
      <w:r w:rsidR="00C763D7" w:rsidRPr="00434359">
        <w:rPr>
          <w:rFonts w:ascii="Arial" w:hAnsi="Arial" w:cs="Arial"/>
          <w:b/>
          <w:sz w:val="24"/>
          <w:szCs w:val="20"/>
        </w:rPr>
        <w:t>5</w:t>
      </w:r>
      <w:r w:rsidR="00F646E3" w:rsidRPr="00434359">
        <w:rPr>
          <w:rFonts w:ascii="Arial" w:hAnsi="Arial" w:cs="Arial"/>
          <w:b/>
          <w:sz w:val="24"/>
          <w:szCs w:val="20"/>
        </w:rPr>
        <w:t>: Primary and Secondary Outcomes at 3 years</w:t>
      </w:r>
    </w:p>
    <w:tbl>
      <w:tblPr>
        <w:tblStyle w:val="TableGrid"/>
        <w:tblW w:w="0" w:type="auto"/>
        <w:tblInd w:w="25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2409"/>
        <w:gridCol w:w="2330"/>
      </w:tblGrid>
      <w:tr w:rsidR="00F646E3" w:rsidRPr="00434359" w:rsidTr="006A7985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F646E3" w:rsidRPr="00434359" w:rsidRDefault="00F646E3" w:rsidP="00C172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F646E3" w:rsidRPr="0084608E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Vitamin D</w:t>
            </w:r>
          </w:p>
          <w:p w:rsidR="00F646E3" w:rsidRPr="0084608E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N= 237</w:t>
            </w:r>
          </w:p>
        </w:tc>
        <w:tc>
          <w:tcPr>
            <w:tcW w:w="2330" w:type="dxa"/>
            <w:tcBorders>
              <w:top w:val="single" w:sz="4" w:space="0" w:color="auto"/>
              <w:bottom w:val="single" w:sz="4" w:space="0" w:color="auto"/>
            </w:tcBorders>
          </w:tcPr>
          <w:p w:rsidR="00F646E3" w:rsidRPr="0084608E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Placebo</w:t>
            </w:r>
          </w:p>
          <w:p w:rsidR="00F646E3" w:rsidRPr="0084608E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08E">
              <w:rPr>
                <w:rFonts w:ascii="Arial" w:hAnsi="Arial" w:cs="Arial"/>
                <w:b/>
                <w:sz w:val="20"/>
                <w:szCs w:val="20"/>
              </w:rPr>
              <w:t>N = 237</w:t>
            </w:r>
          </w:p>
        </w:tc>
      </w:tr>
      <w:tr w:rsidR="00F646E3" w:rsidRPr="00434359" w:rsidTr="006A7985">
        <w:tc>
          <w:tcPr>
            <w:tcW w:w="4253" w:type="dxa"/>
            <w:tcBorders>
              <w:top w:val="single" w:sz="4" w:space="0" w:color="auto"/>
            </w:tcBorders>
          </w:tcPr>
          <w:p w:rsidR="00F646E3" w:rsidRPr="00434359" w:rsidRDefault="00F646E3" w:rsidP="00C1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Medial JSW index knee (mm)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3.48 (2.13)</w:t>
            </w:r>
          </w:p>
        </w:tc>
        <w:tc>
          <w:tcPr>
            <w:tcW w:w="2330" w:type="dxa"/>
            <w:tcBorders>
              <w:top w:val="single" w:sz="4" w:space="0" w:color="auto"/>
            </w:tcBorders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3.33 (1.86)</w:t>
            </w:r>
          </w:p>
        </w:tc>
      </w:tr>
      <w:tr w:rsidR="00F646E3" w:rsidRPr="00434359" w:rsidTr="006A7985"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Lateral JSW index knee (mm)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4.94 (2.54)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4.84 (2.61)</w:t>
            </w:r>
          </w:p>
        </w:tc>
      </w:tr>
      <w:tr w:rsidR="00F646E3" w:rsidRPr="00434359" w:rsidTr="006A7985"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Medial JSW Contra-lateral knee (mm)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3.30 (1.99)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3.67 (1.99)</w:t>
            </w:r>
          </w:p>
        </w:tc>
      </w:tr>
      <w:tr w:rsidR="00F646E3" w:rsidRPr="00434359" w:rsidTr="006A7985"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Lateral JSW Contra-lateral knee (mm)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5.12 (2.32)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5.00 (2.40)</w:t>
            </w:r>
          </w:p>
        </w:tc>
      </w:tr>
      <w:tr w:rsidR="00F646E3" w:rsidRPr="00434359" w:rsidTr="006A7985"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Worst K&amp;L grade (of medial/lateral)</w:t>
            </w:r>
          </w:p>
          <w:p w:rsidR="00F646E3" w:rsidRPr="00434359" w:rsidRDefault="00F646E3" w:rsidP="00C1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Index knee:                                   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646E3" w:rsidRPr="00434359" w:rsidTr="006A7985"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 (1%)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55 (23%)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57 (24%)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73 (31%)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67 (28%)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66 (28%)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71 (30%)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36 (15%)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34 (14%)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TKR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 (3%)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 (3%)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Worst K&amp;L grade (of medial/lateral)</w:t>
            </w:r>
          </w:p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Contra-lateral knee:         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 (3%)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14 (6%)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62 (26%)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57 (24%)</w:t>
            </w:r>
          </w:p>
        </w:tc>
      </w:tr>
      <w:tr w:rsidR="003B315C" w:rsidRPr="00434359" w:rsidTr="00511AE1">
        <w:trPr>
          <w:trHeight w:val="70"/>
        </w:trPr>
        <w:tc>
          <w:tcPr>
            <w:tcW w:w="4253" w:type="dxa"/>
          </w:tcPr>
          <w:p w:rsidR="003B315C" w:rsidRPr="00434359" w:rsidRDefault="003B315C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3B315C" w:rsidRPr="00434359" w:rsidRDefault="003B315C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64 (27%)</w:t>
            </w:r>
          </w:p>
        </w:tc>
        <w:tc>
          <w:tcPr>
            <w:tcW w:w="2330" w:type="dxa"/>
          </w:tcPr>
          <w:p w:rsidR="003B315C" w:rsidRPr="00434359" w:rsidRDefault="003B315C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71 (30%)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54 (23%)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55 (23%)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36 (15%)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24 (10%)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TKR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14 (6%)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16 (7%)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Clinically Significant Progression </w:t>
            </w:r>
            <w:r w:rsidR="00511AE1" w:rsidRPr="00434359">
              <w:rPr>
                <w:rFonts w:ascii="Arial" w:hAnsi="Arial" w:cs="Arial"/>
                <w:sz w:val="20"/>
                <w:szCs w:val="20"/>
              </w:rPr>
              <w:t>(</w:t>
            </w:r>
            <w:r w:rsidR="00D034CC" w:rsidRPr="00434359">
              <w:rPr>
                <w:rFonts w:ascii="Arial" w:hAnsi="Arial" w:cs="Arial"/>
                <w:sz w:val="20"/>
                <w:szCs w:val="20"/>
              </w:rPr>
              <w:t xml:space="preserve">Medial index </w:t>
            </w:r>
            <w:r w:rsidR="00511AE1" w:rsidRPr="00434359">
              <w:rPr>
                <w:rFonts w:ascii="Arial" w:hAnsi="Arial" w:cs="Arial"/>
                <w:sz w:val="20"/>
                <w:szCs w:val="20"/>
              </w:rPr>
              <w:t>JSN&gt;0.5mm)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92 (39%)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88 (37%)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WOMAC pain</w:t>
            </w:r>
            <w:r w:rsidR="00511AE1" w:rsidRPr="00434359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32 (25)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32 (23)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WOMAC stiffness</w:t>
            </w:r>
            <w:r w:rsidR="00511AE1" w:rsidRPr="00434359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39 (27)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39 (26)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WOMAC function</w:t>
            </w:r>
            <w:r w:rsidR="00511AE1" w:rsidRPr="00434359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36 (27)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37 (26)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WOMAC total</w:t>
            </w:r>
            <w:r w:rsidR="00511AE1" w:rsidRPr="00434359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35 (24)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36 (23)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WHOQOL-Bref physical 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63 (19)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62 (18)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WHOQOL-Bref </w:t>
            </w:r>
            <w:r w:rsidRPr="0043435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 xml:space="preserve">psychological 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71 (17)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68 (16)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WHOQOL-Bref social 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72 (19)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68 (21)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WHOQOL-Bref </w:t>
            </w:r>
            <w:r w:rsidRPr="00434359">
              <w:rPr>
                <w:rFonts w:ascii="Arial" w:hAnsi="Arial" w:cs="Arial"/>
                <w:bCs/>
                <w:sz w:val="20"/>
                <w:szCs w:val="20"/>
                <w:lang w:eastAsia="en-GB"/>
              </w:rPr>
              <w:t>environment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77 (15)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76 (14)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Quadriceps strength (kg, index knee)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10 (8)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8 (6)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Grip strength (kg, dominant hand)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26 (12)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25 (11)</w:t>
            </w:r>
          </w:p>
        </w:tc>
      </w:tr>
      <w:tr w:rsidR="003B315C" w:rsidRPr="00434359" w:rsidTr="00511AE1">
        <w:trPr>
          <w:trHeight w:val="70"/>
        </w:trPr>
        <w:tc>
          <w:tcPr>
            <w:tcW w:w="4253" w:type="dxa"/>
          </w:tcPr>
          <w:p w:rsidR="003B315C" w:rsidRPr="00434359" w:rsidRDefault="003B315C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Get up and Go Test</w:t>
            </w:r>
          </w:p>
        </w:tc>
        <w:tc>
          <w:tcPr>
            <w:tcW w:w="2409" w:type="dxa"/>
          </w:tcPr>
          <w:p w:rsidR="003B315C" w:rsidRPr="00434359" w:rsidRDefault="003B315C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0" w:type="dxa"/>
          </w:tcPr>
          <w:p w:rsidR="003B315C" w:rsidRPr="00434359" w:rsidRDefault="003B315C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315C" w:rsidRPr="00434359" w:rsidTr="00511AE1">
        <w:trPr>
          <w:trHeight w:val="70"/>
        </w:trPr>
        <w:tc>
          <w:tcPr>
            <w:tcW w:w="4253" w:type="dxa"/>
          </w:tcPr>
          <w:p w:rsidR="003B315C" w:rsidRPr="00434359" w:rsidRDefault="003B315C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Grade 1</w:t>
            </w:r>
          </w:p>
        </w:tc>
        <w:tc>
          <w:tcPr>
            <w:tcW w:w="2409" w:type="dxa"/>
          </w:tcPr>
          <w:p w:rsidR="003B315C" w:rsidRPr="00434359" w:rsidRDefault="003B315C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135 (57%)</w:t>
            </w:r>
          </w:p>
        </w:tc>
        <w:tc>
          <w:tcPr>
            <w:tcW w:w="2330" w:type="dxa"/>
          </w:tcPr>
          <w:p w:rsidR="003B315C" w:rsidRPr="00434359" w:rsidRDefault="003B315C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126 (53%)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Grade 2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69 (29%)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90 (38%)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Grade 3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21 (9%)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19 (8%)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Grade 4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9 (4%)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 (1%)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Grade 5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 (1%)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Grade 6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0 (0%)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7D6C29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Timed Walk Test (time taken to walk 10m)</w:t>
            </w:r>
          </w:p>
        </w:tc>
        <w:tc>
          <w:tcPr>
            <w:tcW w:w="2409" w:type="dxa"/>
          </w:tcPr>
          <w:p w:rsidR="00F646E3" w:rsidRPr="00434359" w:rsidRDefault="007F4821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10 (5</w:t>
            </w:r>
            <w:r w:rsidR="00F646E3" w:rsidRPr="004343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30" w:type="dxa"/>
          </w:tcPr>
          <w:p w:rsidR="00F646E3" w:rsidRPr="00434359" w:rsidRDefault="007F4821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10 (3</w:t>
            </w:r>
            <w:r w:rsidR="00F646E3" w:rsidRPr="004343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46E3" w:rsidRPr="00434359" w:rsidTr="006A7985">
        <w:trPr>
          <w:trHeight w:val="303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Becks Depression Inventory</w:t>
            </w:r>
            <w:r w:rsidR="001B3D84" w:rsidRPr="00434359">
              <w:rPr>
                <w:rFonts w:ascii="Arial" w:hAnsi="Arial" w:cs="Arial"/>
                <w:sz w:val="20"/>
                <w:szCs w:val="20"/>
              </w:rPr>
              <w:t xml:space="preserve"> (BDI)</w:t>
            </w:r>
          </w:p>
        </w:tc>
        <w:tc>
          <w:tcPr>
            <w:tcW w:w="2409" w:type="dxa"/>
          </w:tcPr>
          <w:p w:rsidR="00F646E3" w:rsidRPr="00434359" w:rsidRDefault="007F4821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 (3)</w:t>
            </w:r>
          </w:p>
        </w:tc>
        <w:tc>
          <w:tcPr>
            <w:tcW w:w="2330" w:type="dxa"/>
          </w:tcPr>
          <w:p w:rsidR="00F646E3" w:rsidRPr="00434359" w:rsidRDefault="007F4821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 (3)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None (</w:t>
            </w:r>
            <w:r w:rsidR="001B3D84" w:rsidRPr="00434359">
              <w:rPr>
                <w:rFonts w:ascii="Arial" w:hAnsi="Arial" w:cs="Arial"/>
                <w:sz w:val="20"/>
                <w:szCs w:val="20"/>
              </w:rPr>
              <w:t>BDI &lt;4)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180 (76%)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178 (75%)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Mild (</w:t>
            </w:r>
            <w:r w:rsidR="001B3D84" w:rsidRPr="00434359">
              <w:rPr>
                <w:rFonts w:ascii="Arial" w:hAnsi="Arial" w:cs="Arial"/>
                <w:sz w:val="20"/>
                <w:szCs w:val="20"/>
              </w:rPr>
              <w:t>BDI 4-6)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38 (16%)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38 (16%)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Moderate (</w:t>
            </w:r>
            <w:r w:rsidR="001B3D84" w:rsidRPr="00434359">
              <w:rPr>
                <w:rFonts w:ascii="Arial" w:hAnsi="Arial" w:cs="Arial"/>
                <w:sz w:val="20"/>
                <w:szCs w:val="20"/>
              </w:rPr>
              <w:t>BDI 7-9)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14 (6%)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14 (6%)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F646E3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Severe (</w:t>
            </w:r>
            <w:r w:rsidR="001B3D84" w:rsidRPr="00434359">
              <w:rPr>
                <w:rFonts w:ascii="Arial" w:hAnsi="Arial" w:cs="Arial"/>
                <w:sz w:val="20"/>
                <w:szCs w:val="20"/>
              </w:rPr>
              <w:t>BDI 10-14)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5 (2%)</w:t>
            </w:r>
          </w:p>
        </w:tc>
        <w:tc>
          <w:tcPr>
            <w:tcW w:w="2330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7 (3%)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7D6C29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Mini Mental State Exam</w:t>
            </w:r>
            <w:r w:rsidR="00B20FBD" w:rsidRPr="00434359">
              <w:rPr>
                <w:rFonts w:ascii="Arial" w:eastAsia="Times New Roman" w:hAnsi="Arial" w:cs="Arial"/>
                <w:sz w:val="20"/>
                <w:szCs w:val="20"/>
              </w:rPr>
              <w:t xml:space="preserve"> s</w:t>
            </w:r>
            <w:r w:rsidRPr="00434359">
              <w:rPr>
                <w:rFonts w:ascii="Arial" w:eastAsia="Times New Roman" w:hAnsi="Arial" w:cs="Arial"/>
                <w:sz w:val="20"/>
                <w:szCs w:val="20"/>
              </w:rPr>
              <w:t>core</w:t>
            </w:r>
          </w:p>
        </w:tc>
        <w:tc>
          <w:tcPr>
            <w:tcW w:w="2409" w:type="dxa"/>
          </w:tcPr>
          <w:p w:rsidR="00F646E3" w:rsidRPr="00434359" w:rsidRDefault="007D6C29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29 (2)</w:t>
            </w:r>
          </w:p>
        </w:tc>
        <w:tc>
          <w:tcPr>
            <w:tcW w:w="2330" w:type="dxa"/>
          </w:tcPr>
          <w:p w:rsidR="00F646E3" w:rsidRPr="00434359" w:rsidRDefault="007D6C29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29 (1)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511AE1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Warmth</w:t>
            </w:r>
            <w:r w:rsidR="001B3D84" w:rsidRPr="00434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4359">
              <w:rPr>
                <w:rFonts w:ascii="Arial" w:hAnsi="Arial" w:cs="Arial"/>
                <w:sz w:val="20"/>
                <w:szCs w:val="20"/>
              </w:rPr>
              <w:t>index knee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6E1" w:rsidRPr="00434359">
              <w:rPr>
                <w:rFonts w:ascii="Arial" w:hAnsi="Arial" w:cs="Arial"/>
                <w:sz w:val="20"/>
                <w:szCs w:val="20"/>
              </w:rPr>
              <w:t>40 (17%)</w:t>
            </w:r>
          </w:p>
        </w:tc>
        <w:tc>
          <w:tcPr>
            <w:tcW w:w="2330" w:type="dxa"/>
          </w:tcPr>
          <w:p w:rsidR="00F646E3" w:rsidRPr="00434359" w:rsidRDefault="008976E1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38 (16%)</w:t>
            </w:r>
          </w:p>
        </w:tc>
      </w:tr>
      <w:tr w:rsidR="00F646E3" w:rsidRPr="00434359" w:rsidTr="006A7985">
        <w:trPr>
          <w:trHeight w:val="70"/>
        </w:trPr>
        <w:tc>
          <w:tcPr>
            <w:tcW w:w="4253" w:type="dxa"/>
          </w:tcPr>
          <w:p w:rsidR="00F646E3" w:rsidRPr="00434359" w:rsidRDefault="00511AE1" w:rsidP="00C172C1">
            <w:pPr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Effusion (small to large) index knee</w:t>
            </w:r>
          </w:p>
        </w:tc>
        <w:tc>
          <w:tcPr>
            <w:tcW w:w="2409" w:type="dxa"/>
          </w:tcPr>
          <w:p w:rsidR="00F646E3" w:rsidRPr="00434359" w:rsidRDefault="00F646E3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76E1" w:rsidRPr="00434359">
              <w:rPr>
                <w:rFonts w:ascii="Arial" w:hAnsi="Arial" w:cs="Arial"/>
                <w:sz w:val="20"/>
                <w:szCs w:val="20"/>
              </w:rPr>
              <w:t xml:space="preserve">85 </w:t>
            </w:r>
            <w:r w:rsidRPr="00434359">
              <w:rPr>
                <w:rFonts w:ascii="Arial" w:hAnsi="Arial" w:cs="Arial"/>
                <w:sz w:val="20"/>
                <w:szCs w:val="20"/>
              </w:rPr>
              <w:t>(</w:t>
            </w:r>
            <w:r w:rsidR="0049558B" w:rsidRPr="00434359">
              <w:rPr>
                <w:rFonts w:ascii="Arial" w:hAnsi="Arial" w:cs="Arial"/>
                <w:sz w:val="20"/>
                <w:szCs w:val="20"/>
              </w:rPr>
              <w:t>36</w:t>
            </w:r>
            <w:r w:rsidRPr="00434359">
              <w:rPr>
                <w:rFonts w:ascii="Arial" w:hAnsi="Arial" w:cs="Arial"/>
                <w:sz w:val="20"/>
                <w:szCs w:val="20"/>
              </w:rPr>
              <w:t>%)</w:t>
            </w:r>
          </w:p>
        </w:tc>
        <w:tc>
          <w:tcPr>
            <w:tcW w:w="2330" w:type="dxa"/>
          </w:tcPr>
          <w:p w:rsidR="00F646E3" w:rsidRPr="00434359" w:rsidRDefault="008976E1" w:rsidP="00C172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4359">
              <w:rPr>
                <w:rFonts w:ascii="Arial" w:hAnsi="Arial" w:cs="Arial"/>
                <w:sz w:val="20"/>
                <w:szCs w:val="20"/>
              </w:rPr>
              <w:t>85</w:t>
            </w:r>
            <w:r w:rsidR="00F646E3" w:rsidRPr="0043435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B22C6" w:rsidRPr="00434359">
              <w:rPr>
                <w:rFonts w:ascii="Arial" w:hAnsi="Arial" w:cs="Arial"/>
                <w:sz w:val="20"/>
                <w:szCs w:val="20"/>
              </w:rPr>
              <w:t>36%)</w:t>
            </w:r>
          </w:p>
        </w:tc>
      </w:tr>
    </w:tbl>
    <w:p w:rsidR="00B20FBD" w:rsidRPr="00434359" w:rsidRDefault="00B20FBD" w:rsidP="00C172C1">
      <w:pPr>
        <w:spacing w:line="240" w:lineRule="auto"/>
        <w:rPr>
          <w:rFonts w:ascii="Arial" w:hAnsi="Arial" w:cs="Arial"/>
          <w:sz w:val="20"/>
          <w:szCs w:val="20"/>
        </w:rPr>
      </w:pPr>
      <w:r w:rsidRPr="00434359">
        <w:rPr>
          <w:rFonts w:ascii="Arial" w:hAnsi="Arial" w:cs="Arial"/>
          <w:sz w:val="20"/>
          <w:szCs w:val="20"/>
        </w:rPr>
        <w:t>WHOQOL-BREF domain scores range from 0 to 100, 0=worst, 100=best. WOMAC scores range from 0 to 100, 0 = no pain/disability, 100 = extreme pain/disability. BDI ranges from 0 to 63, 0 = minimal, 63=severe. Mini Mental State Exam score ranges from 0 to 30, scores &gt;27 are considered normal.</w:t>
      </w:r>
    </w:p>
    <w:p w:rsidR="00F646E3" w:rsidRPr="00434359" w:rsidRDefault="00F646E3" w:rsidP="00C172C1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F646E3" w:rsidRPr="0043435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CE2" w:rsidRDefault="005B5CE2" w:rsidP="005B5CE2">
      <w:pPr>
        <w:spacing w:after="0" w:line="240" w:lineRule="auto"/>
      </w:pPr>
      <w:r>
        <w:separator/>
      </w:r>
    </w:p>
  </w:endnote>
  <w:endnote w:type="continuationSeparator" w:id="0">
    <w:p w:rsidR="005B5CE2" w:rsidRDefault="005B5CE2" w:rsidP="005B5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8107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5CE2" w:rsidRDefault="005B5C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1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5CE2" w:rsidRDefault="005B5C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CE2" w:rsidRDefault="005B5CE2" w:rsidP="005B5CE2">
      <w:pPr>
        <w:spacing w:after="0" w:line="240" w:lineRule="auto"/>
      </w:pPr>
      <w:r>
        <w:separator/>
      </w:r>
    </w:p>
  </w:footnote>
  <w:footnote w:type="continuationSeparator" w:id="0">
    <w:p w:rsidR="005B5CE2" w:rsidRDefault="005B5CE2" w:rsidP="005B5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CE2" w:rsidRDefault="005B5CE2" w:rsidP="005B5CE2">
    <w:pPr>
      <w:pStyle w:val="Header"/>
      <w:jc w:val="center"/>
    </w:pPr>
  </w:p>
  <w:p w:rsidR="005B5CE2" w:rsidRDefault="005B5C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F75DF"/>
    <w:multiLevelType w:val="hybridMultilevel"/>
    <w:tmpl w:val="F5820FE8"/>
    <w:lvl w:ilvl="0" w:tplc="3C8079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A7"/>
    <w:rsid w:val="00002141"/>
    <w:rsid w:val="00007873"/>
    <w:rsid w:val="00033EFA"/>
    <w:rsid w:val="00081327"/>
    <w:rsid w:val="000A6C72"/>
    <w:rsid w:val="00155140"/>
    <w:rsid w:val="00172146"/>
    <w:rsid w:val="00173438"/>
    <w:rsid w:val="001B3D84"/>
    <w:rsid w:val="0024155C"/>
    <w:rsid w:val="002715B1"/>
    <w:rsid w:val="00333846"/>
    <w:rsid w:val="003A4BCF"/>
    <w:rsid w:val="003A7283"/>
    <w:rsid w:val="003B280A"/>
    <w:rsid w:val="003B315C"/>
    <w:rsid w:val="003C21A0"/>
    <w:rsid w:val="003C287B"/>
    <w:rsid w:val="003C2E04"/>
    <w:rsid w:val="00434359"/>
    <w:rsid w:val="00451D55"/>
    <w:rsid w:val="004528CA"/>
    <w:rsid w:val="00456DC4"/>
    <w:rsid w:val="0047557C"/>
    <w:rsid w:val="0049558B"/>
    <w:rsid w:val="004D7736"/>
    <w:rsid w:val="004F48A1"/>
    <w:rsid w:val="004F70DE"/>
    <w:rsid w:val="00511AE1"/>
    <w:rsid w:val="00536E35"/>
    <w:rsid w:val="005B5CE2"/>
    <w:rsid w:val="005E4AA4"/>
    <w:rsid w:val="00680307"/>
    <w:rsid w:val="00685248"/>
    <w:rsid w:val="006906C2"/>
    <w:rsid w:val="006A7985"/>
    <w:rsid w:val="006C75AE"/>
    <w:rsid w:val="00776270"/>
    <w:rsid w:val="00784FD9"/>
    <w:rsid w:val="007B1627"/>
    <w:rsid w:val="007D6C29"/>
    <w:rsid w:val="007F208C"/>
    <w:rsid w:val="007F4821"/>
    <w:rsid w:val="0084608E"/>
    <w:rsid w:val="00887A3C"/>
    <w:rsid w:val="00896993"/>
    <w:rsid w:val="008976E1"/>
    <w:rsid w:val="0089776B"/>
    <w:rsid w:val="00897D85"/>
    <w:rsid w:val="008B22C6"/>
    <w:rsid w:val="008C3F6A"/>
    <w:rsid w:val="00964A6A"/>
    <w:rsid w:val="009A18A7"/>
    <w:rsid w:val="009E3274"/>
    <w:rsid w:val="00A22B3E"/>
    <w:rsid w:val="00A30C22"/>
    <w:rsid w:val="00A61474"/>
    <w:rsid w:val="00B02B0F"/>
    <w:rsid w:val="00B067C7"/>
    <w:rsid w:val="00B0769C"/>
    <w:rsid w:val="00B20B47"/>
    <w:rsid w:val="00B20FBD"/>
    <w:rsid w:val="00B4155E"/>
    <w:rsid w:val="00BB1DD7"/>
    <w:rsid w:val="00BF2F93"/>
    <w:rsid w:val="00C172C1"/>
    <w:rsid w:val="00C763D7"/>
    <w:rsid w:val="00C96A36"/>
    <w:rsid w:val="00CA721E"/>
    <w:rsid w:val="00CC2D8D"/>
    <w:rsid w:val="00CD13A5"/>
    <w:rsid w:val="00CD2144"/>
    <w:rsid w:val="00CF0A6A"/>
    <w:rsid w:val="00D034CC"/>
    <w:rsid w:val="00D241E4"/>
    <w:rsid w:val="00D42EA3"/>
    <w:rsid w:val="00D84ABB"/>
    <w:rsid w:val="00E821AF"/>
    <w:rsid w:val="00EA19A5"/>
    <w:rsid w:val="00ED2D0B"/>
    <w:rsid w:val="00EE4870"/>
    <w:rsid w:val="00F113A4"/>
    <w:rsid w:val="00F131E0"/>
    <w:rsid w:val="00F646E3"/>
    <w:rsid w:val="00F71100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A3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6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3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CE2"/>
  </w:style>
  <w:style w:type="paragraph" w:styleId="Footer">
    <w:name w:val="footer"/>
    <w:basedOn w:val="Normal"/>
    <w:link w:val="FooterChar"/>
    <w:uiPriority w:val="99"/>
    <w:unhideWhenUsed/>
    <w:rsid w:val="005B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7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7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7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7A3C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64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13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B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CE2"/>
  </w:style>
  <w:style w:type="paragraph" w:styleId="Footer">
    <w:name w:val="footer"/>
    <w:basedOn w:val="Normal"/>
    <w:link w:val="FooterChar"/>
    <w:uiPriority w:val="99"/>
    <w:unhideWhenUsed/>
    <w:rsid w:val="005B5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1613</Words>
  <Characters>9196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10788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ssheard</dc:creator>
  <cp:lastModifiedBy>Karen Drake</cp:lastModifiedBy>
  <cp:revision>2</cp:revision>
  <cp:lastPrinted>2014-09-11T15:26:00Z</cp:lastPrinted>
  <dcterms:created xsi:type="dcterms:W3CDTF">2016-06-20T13:11:00Z</dcterms:created>
  <dcterms:modified xsi:type="dcterms:W3CDTF">2016-06-20T13:11:00Z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-820849816</vt:i4>
  </property>
</Properties>
</file>