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AB326" w14:textId="3675BBAB" w:rsidR="0025482D" w:rsidRDefault="0025482D" w:rsidP="00172513">
      <w:pPr>
        <w:spacing w:line="360" w:lineRule="auto"/>
        <w:jc w:val="both"/>
        <w:rPr>
          <w:rFonts w:asciiTheme="majorBidi" w:hAnsiTheme="majorBidi" w:cstheme="majorBidi"/>
          <w:b/>
          <w:lang w:val="en-GB"/>
        </w:rPr>
      </w:pPr>
      <w:bookmarkStart w:id="0" w:name="_GoBack"/>
      <w:bookmarkEnd w:id="0"/>
      <w:r>
        <w:rPr>
          <w:rFonts w:asciiTheme="majorBidi" w:hAnsiTheme="majorBidi" w:cstheme="majorBidi"/>
          <w:b/>
          <w:lang w:val="en-GB"/>
        </w:rPr>
        <w:t xml:space="preserve">Title: </w:t>
      </w:r>
      <w:r w:rsidRPr="0025482D">
        <w:rPr>
          <w:rFonts w:asciiTheme="majorBidi" w:hAnsiTheme="majorBidi" w:cstheme="majorBidi"/>
          <w:bCs/>
          <w:lang w:val="en-GB"/>
        </w:rPr>
        <w:t>The Dilemmas of Pursuing ‘Throughput Legitimacy’ through Participatory Mechanisms</w:t>
      </w:r>
    </w:p>
    <w:p w14:paraId="33E1A926" w14:textId="77777777" w:rsidR="0025482D" w:rsidRDefault="0025482D" w:rsidP="00172513">
      <w:pPr>
        <w:spacing w:line="360" w:lineRule="auto"/>
        <w:jc w:val="both"/>
        <w:rPr>
          <w:rFonts w:asciiTheme="majorBidi" w:hAnsiTheme="majorBidi" w:cstheme="majorBidi"/>
          <w:b/>
          <w:lang w:val="en-GB"/>
        </w:rPr>
      </w:pPr>
    </w:p>
    <w:p w14:paraId="5E523E2B" w14:textId="4A32C769" w:rsidR="0025482D" w:rsidRDefault="0025482D" w:rsidP="0025482D">
      <w:pPr>
        <w:spacing w:line="360" w:lineRule="auto"/>
        <w:jc w:val="both"/>
        <w:rPr>
          <w:rFonts w:asciiTheme="majorBidi" w:hAnsiTheme="majorBidi" w:cstheme="majorBidi"/>
          <w:bCs/>
          <w:lang w:val="en-GB"/>
        </w:rPr>
      </w:pPr>
      <w:r>
        <w:rPr>
          <w:rFonts w:asciiTheme="majorBidi" w:hAnsiTheme="majorBidi" w:cstheme="majorBidi"/>
          <w:bCs/>
          <w:lang w:val="en-GB"/>
        </w:rPr>
        <w:t>Ingi Iusmen, PAIR, University of Southampton</w:t>
      </w:r>
    </w:p>
    <w:p w14:paraId="7322D54B" w14:textId="6AF8E0E9" w:rsidR="0025482D" w:rsidRDefault="0025482D" w:rsidP="0025482D">
      <w:pPr>
        <w:spacing w:line="360" w:lineRule="auto"/>
        <w:jc w:val="both"/>
        <w:rPr>
          <w:rFonts w:asciiTheme="majorBidi" w:hAnsiTheme="majorBidi" w:cstheme="majorBidi"/>
          <w:bCs/>
          <w:lang w:val="en-GB"/>
        </w:rPr>
      </w:pPr>
      <w:r w:rsidRPr="0025482D">
        <w:rPr>
          <w:rFonts w:asciiTheme="majorBidi" w:hAnsiTheme="majorBidi" w:cstheme="majorBidi"/>
          <w:bCs/>
          <w:lang w:val="en-GB"/>
        </w:rPr>
        <w:t>John Boswell</w:t>
      </w:r>
      <w:r>
        <w:rPr>
          <w:rFonts w:asciiTheme="majorBidi" w:hAnsiTheme="majorBidi" w:cstheme="majorBidi"/>
          <w:bCs/>
          <w:lang w:val="en-GB"/>
        </w:rPr>
        <w:t>, PAIR, University of Southampton</w:t>
      </w:r>
    </w:p>
    <w:p w14:paraId="5C12D51C" w14:textId="77777777" w:rsidR="0025482D" w:rsidRDefault="0025482D" w:rsidP="00172513">
      <w:pPr>
        <w:spacing w:line="360" w:lineRule="auto"/>
        <w:jc w:val="both"/>
        <w:rPr>
          <w:rFonts w:asciiTheme="majorBidi" w:hAnsiTheme="majorBidi" w:cstheme="majorBidi"/>
          <w:bCs/>
          <w:lang w:val="en-GB"/>
        </w:rPr>
      </w:pPr>
    </w:p>
    <w:p w14:paraId="42105CAF" w14:textId="08C0809E" w:rsidR="0025482D" w:rsidRPr="0025482D" w:rsidRDefault="0025482D" w:rsidP="00172513">
      <w:pPr>
        <w:spacing w:line="360" w:lineRule="auto"/>
        <w:jc w:val="both"/>
        <w:rPr>
          <w:rFonts w:asciiTheme="majorBidi" w:hAnsiTheme="majorBidi" w:cstheme="majorBidi"/>
          <w:b/>
          <w:lang w:val="en-GB"/>
        </w:rPr>
      </w:pPr>
      <w:r w:rsidRPr="0025482D">
        <w:rPr>
          <w:rFonts w:asciiTheme="majorBidi" w:hAnsiTheme="majorBidi" w:cstheme="majorBidi"/>
          <w:b/>
          <w:lang w:val="en-GB"/>
        </w:rPr>
        <w:t>Abstract</w:t>
      </w:r>
    </w:p>
    <w:p w14:paraId="4BA79125" w14:textId="1896CE96" w:rsidR="0025482D" w:rsidRPr="0025482D" w:rsidRDefault="0025482D" w:rsidP="0025482D">
      <w:pPr>
        <w:spacing w:line="360" w:lineRule="auto"/>
        <w:rPr>
          <w:rFonts w:asciiTheme="majorBidi" w:hAnsiTheme="majorBidi" w:cstheme="majorBidi"/>
          <w:bCs/>
          <w:lang w:val="en-GB"/>
        </w:rPr>
      </w:pPr>
      <w:r w:rsidRPr="0025482D">
        <w:rPr>
          <w:rFonts w:asciiTheme="majorBidi" w:hAnsiTheme="majorBidi" w:cstheme="majorBidi"/>
          <w:bCs/>
          <w:lang w:val="en-GB"/>
        </w:rPr>
        <w:t>Under pressure to open up the 'black box' of governance, technocratic bodies are</w:t>
      </w:r>
      <w:r>
        <w:rPr>
          <w:rFonts w:asciiTheme="majorBidi" w:hAnsiTheme="majorBidi" w:cstheme="majorBidi"/>
          <w:bCs/>
          <w:lang w:val="en-GB"/>
        </w:rPr>
        <w:t xml:space="preserve"> </w:t>
      </w:r>
      <w:r w:rsidRPr="0025482D">
        <w:rPr>
          <w:rFonts w:asciiTheme="majorBidi" w:hAnsiTheme="majorBidi" w:cstheme="majorBidi"/>
          <w:bCs/>
          <w:lang w:val="en-GB"/>
        </w:rPr>
        <w:t>increasingly seeking to include civil society participation in the policy process. We draw on empirical cases from the European Commission and NHS England to assess the extent to which the participatory mechanisms pursued by these institutions have been successful in eliciting 'throughput legitimacy'. We show that though these mechanisms have taken very different forms—the former a classic instance of 'window dressing' participation, the latter closer to 'best practice' in this field—they nevertheless share a number of ongoing vulnerabilities. We outline the shared organizational, operational and existential dilemmas that technocratic bodies face when eliciting civil society participation, and highlight their reliance on backstage negotiation to sustain stakeholder buy-in. We conclude by highlighting the prospect that the pursuit of throughput legitimacy for technocratic bodies entails inherent limitations and contradictions.</w:t>
      </w:r>
    </w:p>
    <w:p w14:paraId="02C58AC0" w14:textId="77777777" w:rsidR="0025482D" w:rsidRDefault="0025482D" w:rsidP="0025482D">
      <w:pPr>
        <w:spacing w:line="360" w:lineRule="auto"/>
        <w:rPr>
          <w:rFonts w:asciiTheme="majorBidi" w:hAnsiTheme="majorBidi" w:cstheme="majorBidi"/>
          <w:b/>
          <w:lang w:val="en-GB"/>
        </w:rPr>
      </w:pPr>
    </w:p>
    <w:p w14:paraId="5986775A" w14:textId="350D7024" w:rsidR="0025482D" w:rsidRDefault="0025482D" w:rsidP="00172513">
      <w:pPr>
        <w:spacing w:line="360" w:lineRule="auto"/>
        <w:jc w:val="both"/>
        <w:rPr>
          <w:rFonts w:asciiTheme="majorBidi" w:hAnsiTheme="majorBidi" w:cstheme="majorBidi"/>
          <w:b/>
          <w:lang w:val="en-GB"/>
        </w:rPr>
      </w:pPr>
      <w:r>
        <w:rPr>
          <w:rFonts w:asciiTheme="majorBidi" w:hAnsiTheme="majorBidi" w:cstheme="majorBidi"/>
          <w:b/>
          <w:lang w:val="en-GB"/>
        </w:rPr>
        <w:t>Keywords</w:t>
      </w:r>
    </w:p>
    <w:p w14:paraId="169D8BEB" w14:textId="4E2D6DC1" w:rsidR="0025482D" w:rsidRPr="0025482D" w:rsidRDefault="0025482D" w:rsidP="00172513">
      <w:pPr>
        <w:spacing w:line="360" w:lineRule="auto"/>
        <w:jc w:val="both"/>
        <w:rPr>
          <w:rFonts w:asciiTheme="majorBidi" w:hAnsiTheme="majorBidi" w:cstheme="majorBidi"/>
          <w:bCs/>
          <w:lang w:val="en-GB"/>
        </w:rPr>
      </w:pPr>
      <w:r w:rsidRPr="0025482D">
        <w:rPr>
          <w:rFonts w:asciiTheme="majorBidi" w:hAnsiTheme="majorBidi" w:cstheme="majorBidi"/>
          <w:bCs/>
          <w:lang w:val="en-GB"/>
        </w:rPr>
        <w:t>throughput legitimacy; public administration; participation; democratic governance</w:t>
      </w:r>
    </w:p>
    <w:p w14:paraId="3FD859EF" w14:textId="77777777" w:rsidR="0025482D" w:rsidRDefault="0025482D" w:rsidP="00172513">
      <w:pPr>
        <w:spacing w:line="360" w:lineRule="auto"/>
        <w:jc w:val="both"/>
        <w:rPr>
          <w:rFonts w:asciiTheme="majorBidi" w:hAnsiTheme="majorBidi" w:cstheme="majorBidi"/>
          <w:b/>
          <w:lang w:val="en-GB"/>
        </w:rPr>
      </w:pPr>
    </w:p>
    <w:p w14:paraId="5F93F0A4" w14:textId="590725DF" w:rsidR="0025482D" w:rsidRDefault="0025482D" w:rsidP="00172513">
      <w:pPr>
        <w:spacing w:line="360" w:lineRule="auto"/>
        <w:jc w:val="both"/>
        <w:rPr>
          <w:rFonts w:asciiTheme="majorBidi" w:hAnsiTheme="majorBidi" w:cstheme="majorBidi"/>
          <w:b/>
          <w:lang w:val="en-GB"/>
        </w:rPr>
      </w:pPr>
      <w:r>
        <w:rPr>
          <w:rFonts w:asciiTheme="majorBidi" w:hAnsiTheme="majorBidi" w:cstheme="majorBidi"/>
          <w:b/>
          <w:lang w:val="en-GB"/>
        </w:rPr>
        <w:t>Acknowledgments</w:t>
      </w:r>
    </w:p>
    <w:p w14:paraId="49839C11" w14:textId="697E6A1B" w:rsidR="0025482D" w:rsidRPr="0025482D" w:rsidRDefault="0025482D" w:rsidP="00172513">
      <w:pPr>
        <w:spacing w:line="360" w:lineRule="auto"/>
        <w:jc w:val="both"/>
        <w:rPr>
          <w:rFonts w:asciiTheme="majorBidi" w:hAnsiTheme="majorBidi" w:cstheme="majorBidi"/>
          <w:bCs/>
          <w:lang w:val="en-GB"/>
        </w:rPr>
      </w:pPr>
      <w:r w:rsidRPr="0025482D">
        <w:rPr>
          <w:rFonts w:asciiTheme="majorBidi" w:hAnsiTheme="majorBidi" w:cstheme="majorBidi"/>
          <w:bCs/>
          <w:lang w:val="en-GB"/>
        </w:rPr>
        <w:t xml:space="preserve">We would like to thank Rod Rhodes, Carolyn Hendriks and the anonymous reviewers of this journal for their useful feedback on earlier versions of the manuscript. </w:t>
      </w:r>
    </w:p>
    <w:p w14:paraId="31B98D7D" w14:textId="77777777" w:rsidR="0025482D" w:rsidRDefault="0025482D" w:rsidP="00172513">
      <w:pPr>
        <w:spacing w:line="360" w:lineRule="auto"/>
        <w:jc w:val="both"/>
        <w:rPr>
          <w:rFonts w:asciiTheme="majorBidi" w:hAnsiTheme="majorBidi" w:cstheme="majorBidi"/>
          <w:b/>
          <w:lang w:val="en-GB"/>
        </w:rPr>
      </w:pPr>
    </w:p>
    <w:p w14:paraId="0244B2DC" w14:textId="0CAEBB6B" w:rsidR="0025482D" w:rsidRDefault="0025482D" w:rsidP="00172513">
      <w:pPr>
        <w:spacing w:line="360" w:lineRule="auto"/>
        <w:jc w:val="both"/>
        <w:rPr>
          <w:rFonts w:asciiTheme="majorBidi" w:hAnsiTheme="majorBidi" w:cstheme="majorBidi"/>
          <w:b/>
          <w:lang w:val="en-GB"/>
        </w:rPr>
      </w:pPr>
      <w:r>
        <w:rPr>
          <w:rFonts w:asciiTheme="majorBidi" w:hAnsiTheme="majorBidi" w:cstheme="majorBidi"/>
          <w:b/>
          <w:lang w:val="en-GB"/>
        </w:rPr>
        <w:t>Bios</w:t>
      </w:r>
    </w:p>
    <w:p w14:paraId="208E430B" w14:textId="1433C8D7" w:rsidR="0025482D" w:rsidRDefault="0025482D" w:rsidP="0025482D">
      <w:pPr>
        <w:spacing w:line="360" w:lineRule="auto"/>
        <w:rPr>
          <w:rFonts w:asciiTheme="majorBidi" w:hAnsiTheme="majorBidi" w:cstheme="majorBidi"/>
          <w:bCs/>
          <w:lang w:val="en-GB"/>
        </w:rPr>
      </w:pPr>
      <w:r w:rsidRPr="0025482D">
        <w:rPr>
          <w:rFonts w:asciiTheme="majorBidi" w:hAnsiTheme="majorBidi" w:cstheme="majorBidi"/>
          <w:bCs/>
          <w:lang w:val="en-GB"/>
        </w:rPr>
        <w:t xml:space="preserve">Ingi Iusmen is a Lecturer in Governance and Policy at the University of Southampton. Her research tackles key questions about the European policy process, especially as it relates to human rights and the provision of children¹s rights at EU and national levels. She has published in leading journals such as the </w:t>
      </w:r>
      <w:r w:rsidRPr="0025482D">
        <w:rPr>
          <w:rFonts w:asciiTheme="majorBidi" w:hAnsiTheme="majorBidi" w:cstheme="majorBidi"/>
          <w:bCs/>
          <w:i/>
          <w:iCs/>
          <w:lang w:val="en-GB"/>
        </w:rPr>
        <w:t>Journal of Common Market Studies</w:t>
      </w:r>
      <w:r w:rsidRPr="0025482D">
        <w:rPr>
          <w:rFonts w:asciiTheme="majorBidi" w:hAnsiTheme="majorBidi" w:cstheme="majorBidi"/>
          <w:bCs/>
          <w:lang w:val="en-GB"/>
        </w:rPr>
        <w:t xml:space="preserve">, </w:t>
      </w:r>
      <w:r w:rsidRPr="0025482D">
        <w:rPr>
          <w:rFonts w:asciiTheme="majorBidi" w:hAnsiTheme="majorBidi" w:cstheme="majorBidi"/>
          <w:bCs/>
          <w:i/>
          <w:iCs/>
          <w:lang w:val="en-GB"/>
        </w:rPr>
        <w:t>International Journal of Law</w:t>
      </w:r>
      <w:r w:rsidRPr="0025482D">
        <w:rPr>
          <w:rFonts w:asciiTheme="majorBidi" w:hAnsiTheme="majorBidi" w:cstheme="majorBidi"/>
          <w:bCs/>
          <w:lang w:val="en-GB"/>
        </w:rPr>
        <w:t xml:space="preserve">, </w:t>
      </w:r>
      <w:r w:rsidRPr="0025482D">
        <w:rPr>
          <w:rFonts w:asciiTheme="majorBidi" w:hAnsiTheme="majorBidi" w:cstheme="majorBidi"/>
          <w:bCs/>
          <w:i/>
          <w:iCs/>
          <w:lang w:val="en-GB"/>
        </w:rPr>
        <w:t>Policy and the Family</w:t>
      </w:r>
      <w:r w:rsidRPr="0025482D">
        <w:rPr>
          <w:rFonts w:asciiTheme="majorBidi" w:hAnsiTheme="majorBidi" w:cstheme="majorBidi"/>
          <w:bCs/>
          <w:lang w:val="en-GB"/>
        </w:rPr>
        <w:t xml:space="preserve">, the </w:t>
      </w:r>
      <w:r w:rsidRPr="0025482D">
        <w:rPr>
          <w:rFonts w:asciiTheme="majorBidi" w:hAnsiTheme="majorBidi" w:cstheme="majorBidi"/>
          <w:bCs/>
          <w:i/>
          <w:iCs/>
          <w:lang w:val="en-GB"/>
        </w:rPr>
        <w:t xml:space="preserve">Journal of </w:t>
      </w:r>
      <w:r w:rsidRPr="0025482D">
        <w:rPr>
          <w:rFonts w:asciiTheme="majorBidi" w:hAnsiTheme="majorBidi" w:cstheme="majorBidi"/>
          <w:bCs/>
          <w:i/>
          <w:iCs/>
          <w:lang w:val="en-GB"/>
        </w:rPr>
        <w:lastRenderedPageBreak/>
        <w:t>European Public Policy</w:t>
      </w:r>
      <w:r w:rsidRPr="0025482D">
        <w:rPr>
          <w:rFonts w:asciiTheme="majorBidi" w:hAnsiTheme="majorBidi" w:cstheme="majorBidi"/>
          <w:bCs/>
          <w:lang w:val="en-GB"/>
        </w:rPr>
        <w:t xml:space="preserve">, the </w:t>
      </w:r>
      <w:r w:rsidRPr="0025482D">
        <w:rPr>
          <w:rFonts w:asciiTheme="majorBidi" w:hAnsiTheme="majorBidi" w:cstheme="majorBidi"/>
          <w:bCs/>
          <w:i/>
          <w:iCs/>
          <w:lang w:val="en-GB"/>
        </w:rPr>
        <w:t>British Journal of Politics and International Relations</w:t>
      </w:r>
      <w:r w:rsidRPr="0025482D">
        <w:rPr>
          <w:rFonts w:asciiTheme="majorBidi" w:hAnsiTheme="majorBidi" w:cstheme="majorBidi"/>
          <w:bCs/>
          <w:lang w:val="en-GB"/>
        </w:rPr>
        <w:t>.</w:t>
      </w:r>
      <w:r>
        <w:rPr>
          <w:rFonts w:asciiTheme="majorBidi" w:hAnsiTheme="majorBidi" w:cstheme="majorBidi"/>
          <w:bCs/>
          <w:lang w:val="en-GB"/>
        </w:rPr>
        <w:t xml:space="preserve"> Her latest books are </w:t>
      </w:r>
      <w:r w:rsidRPr="0025482D">
        <w:rPr>
          <w:rFonts w:asciiTheme="majorBidi" w:hAnsiTheme="majorBidi" w:cstheme="majorBidi"/>
          <w:bCs/>
          <w:i/>
          <w:iCs/>
          <w:lang w:val="en-GB"/>
        </w:rPr>
        <w:t>Children’s Rights, Eastern Enlargement and the EU Human Rights Regime</w:t>
      </w:r>
      <w:r w:rsidRPr="0025482D">
        <w:rPr>
          <w:rFonts w:asciiTheme="majorBidi" w:hAnsiTheme="majorBidi" w:cstheme="majorBidi"/>
          <w:bCs/>
          <w:lang w:val="en-GB"/>
        </w:rPr>
        <w:t xml:space="preserve"> (2014, Ma</w:t>
      </w:r>
      <w:r>
        <w:rPr>
          <w:rFonts w:asciiTheme="majorBidi" w:hAnsiTheme="majorBidi" w:cstheme="majorBidi"/>
          <w:bCs/>
          <w:lang w:val="en-GB"/>
        </w:rPr>
        <w:t xml:space="preserve">nchester University Press) and </w:t>
      </w:r>
      <w:r w:rsidR="00CB51DE">
        <w:rPr>
          <w:rFonts w:asciiTheme="majorBidi" w:hAnsiTheme="majorBidi" w:cstheme="majorBidi"/>
          <w:bCs/>
          <w:i/>
          <w:iCs/>
          <w:lang w:val="en-GB"/>
        </w:rPr>
        <w:t>The EU as a Children’</w:t>
      </w:r>
      <w:r w:rsidRPr="0025482D">
        <w:rPr>
          <w:rFonts w:asciiTheme="majorBidi" w:hAnsiTheme="majorBidi" w:cstheme="majorBidi"/>
          <w:bCs/>
          <w:i/>
          <w:iCs/>
          <w:lang w:val="en-GB"/>
        </w:rPr>
        <w:t>s Rights Actor: Legal, Policy and Structural Dimensions</w:t>
      </w:r>
      <w:r>
        <w:rPr>
          <w:rFonts w:asciiTheme="majorBidi" w:hAnsiTheme="majorBidi" w:cstheme="majorBidi"/>
          <w:bCs/>
          <w:lang w:val="en-GB"/>
        </w:rPr>
        <w:t xml:space="preserve"> </w:t>
      </w:r>
      <w:r w:rsidRPr="0025482D">
        <w:rPr>
          <w:rFonts w:asciiTheme="majorBidi" w:hAnsiTheme="majorBidi" w:cstheme="majorBidi"/>
          <w:bCs/>
          <w:lang w:val="en-GB"/>
        </w:rPr>
        <w:t>(</w:t>
      </w:r>
      <w:r w:rsidR="00CB51DE">
        <w:rPr>
          <w:rFonts w:asciiTheme="majorBidi" w:hAnsiTheme="majorBidi" w:cstheme="majorBidi"/>
          <w:bCs/>
          <w:lang w:val="en-GB"/>
        </w:rPr>
        <w:t xml:space="preserve">2016, </w:t>
      </w:r>
      <w:r w:rsidRPr="0025482D">
        <w:rPr>
          <w:rFonts w:asciiTheme="majorBidi" w:hAnsiTheme="majorBidi" w:cstheme="majorBidi"/>
          <w:bCs/>
          <w:lang w:val="en-GB"/>
        </w:rPr>
        <w:t>co-edited with Helen Stalford, Budrich Academic Publishers).</w:t>
      </w:r>
    </w:p>
    <w:p w14:paraId="280DD1EE" w14:textId="77777777" w:rsidR="0025482D" w:rsidRDefault="0025482D" w:rsidP="0025482D">
      <w:pPr>
        <w:spacing w:line="360" w:lineRule="auto"/>
        <w:rPr>
          <w:rFonts w:asciiTheme="majorBidi" w:hAnsiTheme="majorBidi" w:cstheme="majorBidi"/>
          <w:bCs/>
          <w:lang w:val="en-GB"/>
        </w:rPr>
      </w:pPr>
    </w:p>
    <w:p w14:paraId="353B70DA" w14:textId="2849FA73" w:rsidR="0025482D" w:rsidRDefault="0025482D" w:rsidP="0025482D">
      <w:pPr>
        <w:spacing w:line="360" w:lineRule="auto"/>
        <w:rPr>
          <w:rFonts w:asciiTheme="majorBidi" w:hAnsiTheme="majorBidi" w:cstheme="majorBidi"/>
          <w:bCs/>
          <w:lang w:val="en-GB"/>
        </w:rPr>
      </w:pPr>
      <w:r>
        <w:rPr>
          <w:rFonts w:asciiTheme="majorBidi" w:hAnsiTheme="majorBidi" w:cstheme="majorBidi"/>
          <w:bCs/>
          <w:lang w:val="en-GB"/>
        </w:rPr>
        <w:t>John Boswell is a Lecturer</w:t>
      </w:r>
      <w:r w:rsidRPr="0025482D">
        <w:rPr>
          <w:rFonts w:asciiTheme="majorBidi" w:hAnsiTheme="majorBidi" w:cstheme="majorBidi"/>
          <w:bCs/>
          <w:lang w:val="en-GB"/>
        </w:rPr>
        <w:t xml:space="preserve"> in Politics at the University of Southampton. He conducts research on deliberative democracy, democratic governance, and health policy. He is the author of </w:t>
      </w:r>
      <w:r w:rsidRPr="0025482D">
        <w:rPr>
          <w:rFonts w:asciiTheme="majorBidi" w:hAnsiTheme="majorBidi" w:cstheme="majorBidi"/>
          <w:bCs/>
          <w:i/>
          <w:iCs/>
          <w:lang w:val="en-GB"/>
        </w:rPr>
        <w:t>The Real War on Obesity</w:t>
      </w:r>
      <w:r w:rsidRPr="0025482D">
        <w:rPr>
          <w:rFonts w:asciiTheme="majorBidi" w:hAnsiTheme="majorBidi" w:cstheme="majorBidi"/>
          <w:bCs/>
          <w:lang w:val="en-GB"/>
        </w:rPr>
        <w:t xml:space="preserve"> </w:t>
      </w:r>
      <w:r>
        <w:rPr>
          <w:rFonts w:asciiTheme="majorBidi" w:hAnsiTheme="majorBidi" w:cstheme="majorBidi"/>
          <w:bCs/>
          <w:lang w:val="en-GB"/>
        </w:rPr>
        <w:t xml:space="preserve">(2016, </w:t>
      </w:r>
      <w:r w:rsidRPr="0025482D">
        <w:rPr>
          <w:rFonts w:asciiTheme="majorBidi" w:hAnsiTheme="majorBidi" w:cstheme="majorBidi"/>
          <w:bCs/>
          <w:lang w:val="en-GB"/>
        </w:rPr>
        <w:t>Palgrave Macmillan</w:t>
      </w:r>
      <w:r>
        <w:rPr>
          <w:rFonts w:asciiTheme="majorBidi" w:hAnsiTheme="majorBidi" w:cstheme="majorBidi"/>
          <w:bCs/>
          <w:lang w:val="en-GB"/>
        </w:rPr>
        <w:t>)</w:t>
      </w:r>
      <w:r w:rsidRPr="0025482D">
        <w:rPr>
          <w:rFonts w:asciiTheme="majorBidi" w:hAnsiTheme="majorBidi" w:cstheme="majorBidi"/>
          <w:bCs/>
          <w:lang w:val="en-GB"/>
        </w:rPr>
        <w:t>, and has published articles in</w:t>
      </w:r>
      <w:r>
        <w:rPr>
          <w:rFonts w:asciiTheme="majorBidi" w:hAnsiTheme="majorBidi" w:cstheme="majorBidi"/>
          <w:bCs/>
          <w:lang w:val="en-GB"/>
        </w:rPr>
        <w:t xml:space="preserve"> leading</w:t>
      </w:r>
      <w:r w:rsidRPr="0025482D">
        <w:rPr>
          <w:rFonts w:asciiTheme="majorBidi" w:hAnsiTheme="majorBidi" w:cstheme="majorBidi"/>
          <w:bCs/>
          <w:lang w:val="en-GB"/>
        </w:rPr>
        <w:t xml:space="preserve"> journals such as </w:t>
      </w:r>
      <w:r w:rsidRPr="0025482D">
        <w:rPr>
          <w:rFonts w:asciiTheme="majorBidi" w:hAnsiTheme="majorBidi" w:cstheme="majorBidi"/>
          <w:bCs/>
          <w:i/>
          <w:iCs/>
          <w:lang w:val="en-GB"/>
        </w:rPr>
        <w:t>Political Studies</w:t>
      </w:r>
      <w:r w:rsidRPr="0025482D">
        <w:rPr>
          <w:rFonts w:asciiTheme="majorBidi" w:hAnsiTheme="majorBidi" w:cstheme="majorBidi"/>
          <w:bCs/>
          <w:lang w:val="en-GB"/>
        </w:rPr>
        <w:t>,</w:t>
      </w:r>
      <w:r>
        <w:rPr>
          <w:rFonts w:asciiTheme="majorBidi" w:hAnsiTheme="majorBidi" w:cstheme="majorBidi"/>
          <w:bCs/>
          <w:lang w:val="en-GB"/>
        </w:rPr>
        <w:t xml:space="preserve"> the</w:t>
      </w:r>
      <w:r w:rsidRPr="0025482D">
        <w:rPr>
          <w:rFonts w:asciiTheme="majorBidi" w:hAnsiTheme="majorBidi" w:cstheme="majorBidi"/>
          <w:bCs/>
          <w:lang w:val="en-GB"/>
        </w:rPr>
        <w:t xml:space="preserve"> </w:t>
      </w:r>
      <w:r w:rsidRPr="0025482D">
        <w:rPr>
          <w:rFonts w:asciiTheme="majorBidi" w:hAnsiTheme="majorBidi" w:cstheme="majorBidi"/>
          <w:bCs/>
          <w:i/>
          <w:iCs/>
          <w:lang w:val="en-GB"/>
        </w:rPr>
        <w:t>Journal of European Public Policy</w:t>
      </w:r>
      <w:r w:rsidRPr="0025482D">
        <w:rPr>
          <w:rFonts w:asciiTheme="majorBidi" w:hAnsiTheme="majorBidi" w:cstheme="majorBidi"/>
          <w:bCs/>
          <w:lang w:val="en-GB"/>
        </w:rPr>
        <w:t xml:space="preserve"> and </w:t>
      </w:r>
      <w:r w:rsidRPr="0025482D">
        <w:rPr>
          <w:rFonts w:asciiTheme="majorBidi" w:hAnsiTheme="majorBidi" w:cstheme="majorBidi"/>
          <w:bCs/>
          <w:i/>
          <w:iCs/>
          <w:lang w:val="en-GB"/>
        </w:rPr>
        <w:t>Perspectives on Politics</w:t>
      </w:r>
      <w:r w:rsidRPr="0025482D">
        <w:rPr>
          <w:rFonts w:asciiTheme="majorBidi" w:hAnsiTheme="majorBidi" w:cstheme="majorBidi"/>
          <w:bCs/>
          <w:lang w:val="en-GB"/>
        </w:rPr>
        <w:t>.</w:t>
      </w:r>
    </w:p>
    <w:p w14:paraId="7B6868C2" w14:textId="77777777" w:rsidR="0025482D" w:rsidRPr="0025482D" w:rsidRDefault="0025482D" w:rsidP="0025482D">
      <w:pPr>
        <w:spacing w:line="360" w:lineRule="auto"/>
        <w:rPr>
          <w:rFonts w:asciiTheme="majorBidi" w:hAnsiTheme="majorBidi" w:cstheme="majorBidi"/>
          <w:bCs/>
          <w:lang w:val="en-GB"/>
        </w:rPr>
      </w:pPr>
    </w:p>
    <w:p w14:paraId="2C70C847" w14:textId="77777777" w:rsidR="0025482D" w:rsidRDefault="0025482D">
      <w:pPr>
        <w:rPr>
          <w:rFonts w:asciiTheme="majorBidi" w:hAnsiTheme="majorBidi" w:cstheme="majorBidi"/>
          <w:b/>
          <w:lang w:val="en-GB"/>
        </w:rPr>
      </w:pPr>
      <w:r>
        <w:rPr>
          <w:rFonts w:asciiTheme="majorBidi" w:hAnsiTheme="majorBidi" w:cstheme="majorBidi"/>
          <w:b/>
          <w:lang w:val="en-GB"/>
        </w:rPr>
        <w:br w:type="page"/>
      </w:r>
    </w:p>
    <w:p w14:paraId="653E1A63" w14:textId="3919C394" w:rsidR="00912974" w:rsidRPr="00B10073" w:rsidRDefault="00912974" w:rsidP="00172513">
      <w:pPr>
        <w:spacing w:line="360" w:lineRule="auto"/>
        <w:jc w:val="both"/>
        <w:rPr>
          <w:rFonts w:asciiTheme="majorBidi" w:hAnsiTheme="majorBidi" w:cstheme="majorBidi"/>
          <w:b/>
          <w:lang w:val="en-GB"/>
        </w:rPr>
      </w:pPr>
      <w:r w:rsidRPr="00B10073">
        <w:rPr>
          <w:rFonts w:asciiTheme="majorBidi" w:hAnsiTheme="majorBidi" w:cstheme="majorBidi"/>
          <w:b/>
          <w:lang w:val="en-GB"/>
        </w:rPr>
        <w:lastRenderedPageBreak/>
        <w:t>Introduction</w:t>
      </w:r>
    </w:p>
    <w:p w14:paraId="0CA12D80" w14:textId="77777777" w:rsidR="00E3395B" w:rsidRDefault="00E3395B" w:rsidP="00172513">
      <w:pPr>
        <w:spacing w:line="360" w:lineRule="auto"/>
        <w:jc w:val="both"/>
        <w:rPr>
          <w:rFonts w:asciiTheme="majorBidi" w:hAnsiTheme="majorBidi" w:cstheme="majorBidi"/>
          <w:b/>
          <w:lang w:val="en-GB"/>
        </w:rPr>
      </w:pPr>
    </w:p>
    <w:p w14:paraId="5F83C2CD" w14:textId="50F66651" w:rsidR="00855414" w:rsidRDefault="00855414" w:rsidP="00685E65">
      <w:pPr>
        <w:spacing w:line="360" w:lineRule="auto"/>
        <w:jc w:val="both"/>
        <w:rPr>
          <w:rFonts w:asciiTheme="majorBidi" w:hAnsiTheme="majorBidi" w:cstheme="majorBidi"/>
          <w:lang w:val="en-GB"/>
        </w:rPr>
      </w:pPr>
      <w:r>
        <w:rPr>
          <w:rFonts w:ascii="Times New Roman" w:hAnsi="Times New Roman" w:cs="Times New Roman"/>
          <w:lang w:val="en-GB"/>
        </w:rPr>
        <w:t xml:space="preserve">Modern public bureaucracies </w:t>
      </w:r>
      <w:r w:rsidRPr="009D7841">
        <w:rPr>
          <w:rFonts w:ascii="Times New Roman" w:hAnsi="Times New Roman" w:cs="Times New Roman"/>
          <w:lang w:val="en-GB"/>
        </w:rPr>
        <w:t xml:space="preserve">deal with </w:t>
      </w:r>
      <w:r>
        <w:rPr>
          <w:rFonts w:ascii="Times New Roman" w:hAnsi="Times New Roman" w:cs="Times New Roman"/>
          <w:lang w:val="en-GB"/>
        </w:rPr>
        <w:t>an increasingly broad array of complex and sensitive issues.</w:t>
      </w:r>
      <w:r w:rsidRPr="00325DD1">
        <w:rPr>
          <w:rFonts w:ascii="Times New Roman" w:hAnsi="Times New Roman" w:cs="Times New Roman"/>
          <w:lang w:val="en-GB"/>
        </w:rPr>
        <w:t xml:space="preserve"> </w:t>
      </w:r>
      <w:r>
        <w:rPr>
          <w:rFonts w:ascii="Times New Roman" w:hAnsi="Times New Roman" w:cs="Times New Roman"/>
          <w:lang w:val="en-GB"/>
        </w:rPr>
        <w:t xml:space="preserve">Their evolution, under these stresses, has primarily </w:t>
      </w:r>
      <w:r w:rsidR="00271FF1">
        <w:rPr>
          <w:rFonts w:ascii="Times New Roman" w:hAnsi="Times New Roman" w:cs="Times New Roman"/>
          <w:lang w:val="en-GB"/>
        </w:rPr>
        <w:t>prioritis</w:t>
      </w:r>
      <w:r w:rsidR="00685E65">
        <w:rPr>
          <w:rFonts w:ascii="Times New Roman" w:hAnsi="Times New Roman" w:cs="Times New Roman"/>
          <w:lang w:val="en-GB"/>
        </w:rPr>
        <w:t>ed</w:t>
      </w:r>
      <w:r w:rsidR="00271FF1">
        <w:rPr>
          <w:rFonts w:ascii="Times New Roman" w:hAnsi="Times New Roman" w:cs="Times New Roman"/>
          <w:lang w:val="en-GB"/>
        </w:rPr>
        <w:t xml:space="preserve"> efficient and effective policy </w:t>
      </w:r>
      <w:r>
        <w:rPr>
          <w:rFonts w:ascii="Times New Roman" w:hAnsi="Times New Roman" w:cs="Times New Roman"/>
          <w:lang w:val="en-GB"/>
        </w:rPr>
        <w:t>outputs</w:t>
      </w:r>
      <w:r w:rsidR="00271FF1">
        <w:rPr>
          <w:rFonts w:ascii="Times New Roman" w:hAnsi="Times New Roman" w:cs="Times New Roman"/>
          <w:lang w:val="en-GB"/>
        </w:rPr>
        <w:t xml:space="preserve"> over public legitimacy</w:t>
      </w:r>
      <w:r w:rsidR="00873B35">
        <w:rPr>
          <w:rFonts w:ascii="Times New Roman" w:hAnsi="Times New Roman" w:cs="Times New Roman"/>
          <w:lang w:val="en-GB"/>
        </w:rPr>
        <w:t xml:space="preserve"> – a shift towards ever-more technocratic governing arrangements</w:t>
      </w:r>
      <w:r>
        <w:rPr>
          <w:rFonts w:ascii="Times New Roman" w:hAnsi="Times New Roman" w:cs="Times New Roman"/>
          <w:lang w:val="en-GB"/>
        </w:rPr>
        <w:t xml:space="preserve"> (see Schmidt 2013,</w:t>
      </w:r>
      <w:r w:rsidR="005E1E28">
        <w:rPr>
          <w:rFonts w:ascii="Times New Roman" w:hAnsi="Times New Roman" w:cs="Times New Roman"/>
          <w:lang w:val="en-GB"/>
        </w:rPr>
        <w:t xml:space="preserve"> </w:t>
      </w:r>
      <w:r>
        <w:rPr>
          <w:rFonts w:ascii="Times New Roman" w:hAnsi="Times New Roman" w:cs="Times New Roman"/>
          <w:lang w:val="en-GB"/>
        </w:rPr>
        <w:t>Scharpf 1999). They exhibit highly complex i</w:t>
      </w:r>
      <w:r w:rsidRPr="009D7841">
        <w:rPr>
          <w:rFonts w:ascii="Times New Roman" w:hAnsi="Times New Roman" w:cs="Times New Roman"/>
          <w:lang w:val="en-GB"/>
        </w:rPr>
        <w:t>nstitutional settings</w:t>
      </w:r>
      <w:r>
        <w:rPr>
          <w:rFonts w:ascii="Times New Roman" w:hAnsi="Times New Roman" w:cs="Times New Roman"/>
          <w:lang w:val="en-GB"/>
        </w:rPr>
        <w:t xml:space="preserve"> which</w:t>
      </w:r>
      <w:r w:rsidRPr="009D7841">
        <w:rPr>
          <w:rFonts w:ascii="Times New Roman" w:hAnsi="Times New Roman" w:cs="Times New Roman"/>
          <w:lang w:val="en-GB"/>
        </w:rPr>
        <w:t xml:space="preserve"> render the policy process more efficie</w:t>
      </w:r>
      <w:r>
        <w:rPr>
          <w:rFonts w:ascii="Times New Roman" w:hAnsi="Times New Roman" w:cs="Times New Roman"/>
          <w:lang w:val="en-GB"/>
        </w:rPr>
        <w:t>nt in delivering</w:t>
      </w:r>
      <w:r w:rsidRPr="009D7841">
        <w:rPr>
          <w:rFonts w:ascii="Times New Roman" w:hAnsi="Times New Roman" w:cs="Times New Roman"/>
          <w:lang w:val="en-GB"/>
        </w:rPr>
        <w:t xml:space="preserve"> </w:t>
      </w:r>
      <w:r>
        <w:rPr>
          <w:rFonts w:ascii="Times New Roman" w:hAnsi="Times New Roman" w:cs="Times New Roman"/>
          <w:lang w:val="en-GB"/>
        </w:rPr>
        <w:t>these ends. These configurations</w:t>
      </w:r>
      <w:r w:rsidR="00685E65">
        <w:rPr>
          <w:rFonts w:ascii="Times New Roman" w:hAnsi="Times New Roman" w:cs="Times New Roman"/>
          <w:lang w:val="en-GB"/>
        </w:rPr>
        <w:t xml:space="preserve"> </w:t>
      </w:r>
      <w:r>
        <w:rPr>
          <w:rFonts w:ascii="Times New Roman" w:hAnsi="Times New Roman" w:cs="Times New Roman"/>
          <w:lang w:val="en-GB"/>
        </w:rPr>
        <w:t xml:space="preserve">confound and confuse outsiders, not least the public whose interests these institutions are supposed to serve (see Flinders 2008). </w:t>
      </w:r>
      <w:r w:rsidR="00C873CF">
        <w:rPr>
          <w:rFonts w:asciiTheme="majorBidi" w:hAnsiTheme="majorBidi" w:cstheme="majorBidi"/>
          <w:bCs/>
          <w:lang w:val="en-GB"/>
        </w:rPr>
        <w:t>Indeed, s</w:t>
      </w:r>
      <w:r w:rsidRPr="00E76963">
        <w:rPr>
          <w:rFonts w:asciiTheme="majorBidi" w:hAnsiTheme="majorBidi" w:cstheme="majorBidi"/>
          <w:bCs/>
          <w:lang w:val="en-GB"/>
        </w:rPr>
        <w:t>upranational bodies like the European Commission</w:t>
      </w:r>
      <w:r>
        <w:rPr>
          <w:rFonts w:asciiTheme="majorBidi" w:hAnsiTheme="majorBidi" w:cstheme="majorBidi"/>
          <w:bCs/>
          <w:lang w:val="en-GB"/>
        </w:rPr>
        <w:t>,</w:t>
      </w:r>
      <w:r w:rsidRPr="00E76963">
        <w:rPr>
          <w:rFonts w:asciiTheme="majorBidi" w:hAnsiTheme="majorBidi" w:cstheme="majorBidi"/>
          <w:bCs/>
          <w:lang w:val="en-GB"/>
        </w:rPr>
        <w:t xml:space="preserve"> and </w:t>
      </w:r>
      <w:r w:rsidR="00472F54">
        <w:rPr>
          <w:rFonts w:asciiTheme="majorBidi" w:hAnsiTheme="majorBidi" w:cstheme="majorBidi"/>
          <w:bCs/>
          <w:lang w:val="en-GB"/>
        </w:rPr>
        <w:t>arms-length agencies</w:t>
      </w:r>
      <w:r w:rsidR="00472F54" w:rsidRPr="00E76963">
        <w:rPr>
          <w:rFonts w:asciiTheme="majorBidi" w:hAnsiTheme="majorBidi" w:cstheme="majorBidi"/>
          <w:bCs/>
          <w:lang w:val="en-GB"/>
        </w:rPr>
        <w:t xml:space="preserve"> </w:t>
      </w:r>
      <w:r w:rsidRPr="00E76963">
        <w:rPr>
          <w:rFonts w:asciiTheme="majorBidi" w:hAnsiTheme="majorBidi" w:cstheme="majorBidi"/>
          <w:bCs/>
          <w:lang w:val="en-GB"/>
        </w:rPr>
        <w:t xml:space="preserve">at the national level, are </w:t>
      </w:r>
      <w:r>
        <w:rPr>
          <w:rFonts w:asciiTheme="majorBidi" w:hAnsiTheme="majorBidi" w:cstheme="majorBidi"/>
          <w:bCs/>
          <w:lang w:val="en-GB"/>
        </w:rPr>
        <w:t>seen as facing</w:t>
      </w:r>
      <w:r w:rsidRPr="00E76963">
        <w:rPr>
          <w:rFonts w:asciiTheme="majorBidi" w:hAnsiTheme="majorBidi" w:cstheme="majorBidi"/>
          <w:bCs/>
          <w:lang w:val="en-GB"/>
        </w:rPr>
        <w:t xml:space="preserve"> something of a legitimacy crisis (Gould 2004).</w:t>
      </w:r>
      <w:r>
        <w:rPr>
          <w:rFonts w:asciiTheme="majorBidi" w:hAnsiTheme="majorBidi" w:cstheme="majorBidi"/>
          <w:lang w:val="en-GB"/>
        </w:rPr>
        <w:t xml:space="preserve"> </w:t>
      </w:r>
    </w:p>
    <w:p w14:paraId="5CD51E5E" w14:textId="77777777" w:rsidR="00855414" w:rsidRDefault="00855414" w:rsidP="00172513">
      <w:pPr>
        <w:spacing w:line="360" w:lineRule="auto"/>
        <w:jc w:val="both"/>
        <w:rPr>
          <w:rFonts w:asciiTheme="majorBidi" w:hAnsiTheme="majorBidi" w:cstheme="majorBidi"/>
          <w:lang w:val="en-GB"/>
        </w:rPr>
      </w:pPr>
    </w:p>
    <w:p w14:paraId="76FAEB90" w14:textId="5DE6FAE1" w:rsidR="006E18EA" w:rsidRPr="00682B8F" w:rsidRDefault="00855414" w:rsidP="00685E65">
      <w:pPr>
        <w:spacing w:line="360" w:lineRule="auto"/>
        <w:jc w:val="both"/>
        <w:rPr>
          <w:rFonts w:ascii="Times New Roman" w:hAnsi="Times New Roman" w:cs="Times New Roman"/>
          <w:lang w:val="en-GB"/>
        </w:rPr>
      </w:pPr>
      <w:r>
        <w:rPr>
          <w:rFonts w:ascii="Times New Roman" w:hAnsi="Times New Roman" w:cs="Times New Roman"/>
          <w:lang w:val="en-GB"/>
        </w:rPr>
        <w:t xml:space="preserve">So far, though, the debate in relation to </w:t>
      </w:r>
      <w:r w:rsidR="00873B35">
        <w:rPr>
          <w:rFonts w:ascii="Times New Roman" w:hAnsi="Times New Roman" w:cs="Times New Roman"/>
          <w:lang w:val="en-GB"/>
        </w:rPr>
        <w:t xml:space="preserve">technocratic </w:t>
      </w:r>
      <w:r>
        <w:rPr>
          <w:rFonts w:ascii="Times New Roman" w:hAnsi="Times New Roman" w:cs="Times New Roman"/>
          <w:lang w:val="en-GB"/>
        </w:rPr>
        <w:t xml:space="preserve">bodies has focused on the tensions between electoral (input) and performance (output) dimensions of legitimacy (Scharpf 1999). </w:t>
      </w:r>
      <w:r w:rsidR="00685E65">
        <w:rPr>
          <w:rFonts w:ascii="Times New Roman" w:hAnsi="Times New Roman" w:cs="Times New Roman"/>
          <w:lang w:val="en-GB"/>
        </w:rPr>
        <w:t>E</w:t>
      </w:r>
      <w:r>
        <w:rPr>
          <w:rFonts w:ascii="Times New Roman" w:hAnsi="Times New Roman" w:cs="Times New Roman"/>
          <w:lang w:val="en-GB"/>
        </w:rPr>
        <w:t>ither focus ignores the legitimacy of the actual decision-making process</w:t>
      </w:r>
      <w:r w:rsidR="00A978CD">
        <w:rPr>
          <w:rFonts w:ascii="Times New Roman" w:hAnsi="Times New Roman" w:cs="Times New Roman"/>
          <w:lang w:val="en-GB"/>
        </w:rPr>
        <w:t xml:space="preserve">. </w:t>
      </w:r>
      <w:r w:rsidR="00F844C1">
        <w:rPr>
          <w:rFonts w:ascii="Times New Roman" w:hAnsi="Times New Roman" w:cs="Times New Roman"/>
          <w:lang w:val="en-GB"/>
        </w:rPr>
        <w:t xml:space="preserve">Recently, </w:t>
      </w:r>
      <w:r w:rsidR="00852097">
        <w:rPr>
          <w:rFonts w:ascii="Times New Roman" w:hAnsi="Times New Roman" w:cs="Times New Roman"/>
          <w:lang w:val="en-GB"/>
        </w:rPr>
        <w:t>scholars</w:t>
      </w:r>
      <w:r>
        <w:rPr>
          <w:rFonts w:ascii="Times New Roman" w:hAnsi="Times New Roman" w:cs="Times New Roman"/>
          <w:lang w:val="en-GB"/>
        </w:rPr>
        <w:t xml:space="preserve"> </w:t>
      </w:r>
      <w:r w:rsidR="00852097">
        <w:rPr>
          <w:rFonts w:ascii="Times New Roman" w:hAnsi="Times New Roman" w:cs="Times New Roman"/>
          <w:lang w:val="en-GB"/>
        </w:rPr>
        <w:t>started scrutinising the quality of governance or of decision-making processes</w:t>
      </w:r>
      <w:r w:rsidR="00133896">
        <w:rPr>
          <w:rFonts w:ascii="Times New Roman" w:hAnsi="Times New Roman" w:cs="Times New Roman"/>
          <w:lang w:val="en-GB"/>
        </w:rPr>
        <w:t xml:space="preserve"> </w:t>
      </w:r>
      <w:r w:rsidR="00A46B6B">
        <w:rPr>
          <w:rFonts w:ascii="Times New Roman" w:hAnsi="Times New Roman" w:cs="Times New Roman"/>
          <w:lang w:val="en-GB"/>
        </w:rPr>
        <w:t xml:space="preserve">by focusing on the practices that go on in the ‘black box’ of governance, </w:t>
      </w:r>
      <w:r w:rsidR="00852097">
        <w:rPr>
          <w:rFonts w:ascii="Times New Roman" w:hAnsi="Times New Roman" w:cs="Times New Roman"/>
          <w:lang w:val="en-GB"/>
        </w:rPr>
        <w:t>particularly with respect to the quality of interactions among the actors engaged in these processes (</w:t>
      </w:r>
      <w:r w:rsidR="00685E65">
        <w:rPr>
          <w:rFonts w:ascii="Times New Roman" w:hAnsi="Times New Roman" w:cs="Times New Roman"/>
          <w:lang w:val="en-GB"/>
        </w:rPr>
        <w:t xml:space="preserve">eg. </w:t>
      </w:r>
      <w:r w:rsidR="00C72D2A">
        <w:rPr>
          <w:rFonts w:ascii="Times New Roman" w:hAnsi="Times New Roman" w:cs="Times New Roman"/>
          <w:lang w:val="en-GB"/>
        </w:rPr>
        <w:t>Schmidt 2013;</w:t>
      </w:r>
      <w:r w:rsidR="00A46B6B">
        <w:rPr>
          <w:rFonts w:ascii="Times New Roman" w:hAnsi="Times New Roman" w:cs="Times New Roman"/>
          <w:lang w:val="en-GB"/>
        </w:rPr>
        <w:t xml:space="preserve"> </w:t>
      </w:r>
      <w:r w:rsidR="00873B35">
        <w:rPr>
          <w:rFonts w:ascii="Times New Roman" w:hAnsi="Times New Roman" w:cs="Times New Roman"/>
          <w:lang w:val="en-GB"/>
        </w:rPr>
        <w:t xml:space="preserve">Van Meerkerk </w:t>
      </w:r>
      <w:r w:rsidR="00873B35" w:rsidRPr="00C72D2A">
        <w:rPr>
          <w:rFonts w:ascii="Times New Roman" w:hAnsi="Times New Roman" w:cs="Times New Roman"/>
          <w:i/>
          <w:iCs/>
          <w:lang w:val="en-GB"/>
        </w:rPr>
        <w:t>et al</w:t>
      </w:r>
      <w:r w:rsidR="00C72D2A">
        <w:rPr>
          <w:rFonts w:ascii="Times New Roman" w:hAnsi="Times New Roman" w:cs="Times New Roman"/>
          <w:i/>
          <w:iCs/>
          <w:lang w:val="en-GB"/>
        </w:rPr>
        <w:t>.</w:t>
      </w:r>
      <w:r w:rsidR="00873B35">
        <w:rPr>
          <w:rFonts w:ascii="Times New Roman" w:hAnsi="Times New Roman" w:cs="Times New Roman"/>
          <w:lang w:val="en-GB"/>
        </w:rPr>
        <w:t xml:space="preserve"> 2015)</w:t>
      </w:r>
      <w:r w:rsidR="00852097">
        <w:rPr>
          <w:rFonts w:ascii="Times New Roman" w:hAnsi="Times New Roman" w:cs="Times New Roman"/>
          <w:lang w:val="en-GB"/>
        </w:rPr>
        <w:t>.</w:t>
      </w:r>
      <w:r w:rsidR="00D963BE">
        <w:rPr>
          <w:rFonts w:ascii="Times New Roman" w:hAnsi="Times New Roman" w:cs="Times New Roman"/>
          <w:lang w:val="en-GB"/>
        </w:rPr>
        <w:t xml:space="preserve"> </w:t>
      </w:r>
      <w:r w:rsidR="00685E65">
        <w:rPr>
          <w:rFonts w:ascii="Times New Roman" w:hAnsi="Times New Roman" w:cs="Times New Roman"/>
          <w:lang w:val="en-GB"/>
        </w:rPr>
        <w:t xml:space="preserve">Vivien </w:t>
      </w:r>
      <w:r w:rsidR="00D963BE">
        <w:rPr>
          <w:rFonts w:ascii="Times New Roman" w:hAnsi="Times New Roman" w:cs="Times New Roman"/>
          <w:lang w:val="en-GB"/>
        </w:rPr>
        <w:t xml:space="preserve">Schmidt (2013: 6) </w:t>
      </w:r>
      <w:r w:rsidR="00133896">
        <w:rPr>
          <w:rFonts w:ascii="Times New Roman" w:hAnsi="Times New Roman" w:cs="Times New Roman"/>
          <w:lang w:val="en-GB"/>
        </w:rPr>
        <w:t xml:space="preserve">coins the term </w:t>
      </w:r>
      <w:r w:rsidR="00A10F8F">
        <w:rPr>
          <w:rFonts w:ascii="Times New Roman" w:hAnsi="Times New Roman" w:cs="Times New Roman"/>
          <w:lang w:val="en-GB"/>
        </w:rPr>
        <w:t xml:space="preserve">‘throughput </w:t>
      </w:r>
      <w:r>
        <w:rPr>
          <w:rFonts w:ascii="Times New Roman" w:hAnsi="Times New Roman" w:cs="Times New Roman"/>
          <w:lang w:val="en-GB"/>
        </w:rPr>
        <w:t>legitimacy</w:t>
      </w:r>
      <w:r w:rsidR="00A10F8F">
        <w:rPr>
          <w:rFonts w:ascii="Times New Roman" w:hAnsi="Times New Roman" w:cs="Times New Roman"/>
          <w:lang w:val="en-GB"/>
        </w:rPr>
        <w:t>’</w:t>
      </w:r>
      <w:r w:rsidR="00133896">
        <w:rPr>
          <w:rFonts w:ascii="Times New Roman" w:hAnsi="Times New Roman" w:cs="Times New Roman"/>
          <w:lang w:val="en-GB"/>
        </w:rPr>
        <w:t xml:space="preserve"> to encapsulate these concerns. This means that</w:t>
      </w:r>
      <w:r>
        <w:rPr>
          <w:rFonts w:ascii="Times New Roman" w:hAnsi="Times New Roman" w:cs="Times New Roman"/>
          <w:lang w:val="en-GB"/>
        </w:rPr>
        <w:t xml:space="preserve"> </w:t>
      </w:r>
      <w:r w:rsidR="0098000F">
        <w:rPr>
          <w:rFonts w:ascii="Times New Roman" w:hAnsi="Times New Roman" w:cs="Times New Roman"/>
          <w:lang w:val="en-GB"/>
        </w:rPr>
        <w:t xml:space="preserve">political </w:t>
      </w:r>
      <w:r w:rsidR="00261320">
        <w:rPr>
          <w:rFonts w:ascii="Times New Roman" w:hAnsi="Times New Roman" w:cs="Times New Roman"/>
          <w:lang w:val="en-GB"/>
        </w:rPr>
        <w:t xml:space="preserve">or administrative </w:t>
      </w:r>
      <w:r w:rsidR="0098000F">
        <w:rPr>
          <w:rFonts w:ascii="Times New Roman" w:hAnsi="Times New Roman" w:cs="Times New Roman"/>
          <w:lang w:val="en-GB"/>
        </w:rPr>
        <w:t xml:space="preserve">systems </w:t>
      </w:r>
      <w:r>
        <w:rPr>
          <w:rFonts w:ascii="Times New Roman" w:hAnsi="Times New Roman" w:cs="Times New Roman"/>
          <w:lang w:val="en-GB"/>
        </w:rPr>
        <w:t>need to shore up ‘the</w:t>
      </w:r>
      <w:r w:rsidRPr="00682B8F">
        <w:rPr>
          <w:rFonts w:ascii="Times New Roman" w:hAnsi="Times New Roman" w:cs="Times New Roman"/>
          <w:lang w:val="en-GB"/>
        </w:rPr>
        <w:t xml:space="preserve"> quality of the governance processes as established by their efficacy, accountability,</w:t>
      </w:r>
      <w:r>
        <w:rPr>
          <w:rFonts w:ascii="Times New Roman" w:hAnsi="Times New Roman" w:cs="Times New Roman"/>
          <w:lang w:val="en-GB"/>
        </w:rPr>
        <w:t xml:space="preserve"> </w:t>
      </w:r>
      <w:r w:rsidRPr="00682B8F">
        <w:rPr>
          <w:rFonts w:ascii="Times New Roman" w:hAnsi="Times New Roman" w:cs="Times New Roman"/>
          <w:lang w:val="en-GB"/>
        </w:rPr>
        <w:t>transparency, inclusiveness and openness to interest intermediation</w:t>
      </w:r>
      <w:r w:rsidR="00F844C1">
        <w:rPr>
          <w:rFonts w:ascii="Times New Roman" w:hAnsi="Times New Roman" w:cs="Times New Roman"/>
          <w:lang w:val="en-GB"/>
        </w:rPr>
        <w:t>’</w:t>
      </w:r>
      <w:r w:rsidR="00D963BE">
        <w:rPr>
          <w:rFonts w:ascii="Times New Roman" w:hAnsi="Times New Roman" w:cs="Times New Roman"/>
          <w:lang w:val="en-GB"/>
        </w:rPr>
        <w:t xml:space="preserve">. </w:t>
      </w:r>
      <w:r>
        <w:rPr>
          <w:rFonts w:ascii="Times New Roman" w:hAnsi="Times New Roman" w:cs="Times New Roman"/>
          <w:lang w:val="en-GB"/>
        </w:rPr>
        <w:t xml:space="preserve">Yet Schmidt’s is not just a normative claim. It </w:t>
      </w:r>
      <w:r w:rsidR="00A10F8F">
        <w:rPr>
          <w:rFonts w:ascii="Times New Roman" w:hAnsi="Times New Roman" w:cs="Times New Roman"/>
          <w:lang w:val="en-GB"/>
        </w:rPr>
        <w:t>also conceptualises</w:t>
      </w:r>
      <w:r>
        <w:rPr>
          <w:rFonts w:ascii="Times New Roman" w:hAnsi="Times New Roman" w:cs="Times New Roman"/>
          <w:lang w:val="en-GB"/>
        </w:rPr>
        <w:t xml:space="preserve"> a shift in governing p</w:t>
      </w:r>
      <w:r w:rsidR="008311DF">
        <w:rPr>
          <w:rFonts w:ascii="Times New Roman" w:hAnsi="Times New Roman" w:cs="Times New Roman"/>
          <w:lang w:val="en-GB"/>
        </w:rPr>
        <w:t xml:space="preserve">rocesses </w:t>
      </w:r>
      <w:r>
        <w:rPr>
          <w:rFonts w:ascii="Times New Roman" w:hAnsi="Times New Roman" w:cs="Times New Roman"/>
          <w:lang w:val="en-GB"/>
        </w:rPr>
        <w:t xml:space="preserve">where, in practice, output-oriented </w:t>
      </w:r>
      <w:r w:rsidR="009435BC">
        <w:rPr>
          <w:rFonts w:ascii="Times New Roman" w:hAnsi="Times New Roman" w:cs="Times New Roman"/>
          <w:lang w:val="en-GB"/>
        </w:rPr>
        <w:t>t</w:t>
      </w:r>
      <w:r>
        <w:rPr>
          <w:rFonts w:ascii="Times New Roman" w:hAnsi="Times New Roman" w:cs="Times New Roman"/>
          <w:lang w:val="en-GB"/>
        </w:rPr>
        <w:t>e</w:t>
      </w:r>
      <w:r w:rsidR="009435BC">
        <w:rPr>
          <w:rFonts w:ascii="Times New Roman" w:hAnsi="Times New Roman" w:cs="Times New Roman"/>
          <w:lang w:val="en-GB"/>
        </w:rPr>
        <w:t>chnocratic</w:t>
      </w:r>
      <w:r>
        <w:rPr>
          <w:rFonts w:ascii="Times New Roman" w:hAnsi="Times New Roman" w:cs="Times New Roman"/>
          <w:lang w:val="en-GB"/>
        </w:rPr>
        <w:t xml:space="preserve"> bod</w:t>
      </w:r>
      <w:r w:rsidR="006E3D5E">
        <w:rPr>
          <w:rFonts w:ascii="Times New Roman" w:hAnsi="Times New Roman" w:cs="Times New Roman"/>
          <w:lang w:val="en-GB"/>
        </w:rPr>
        <w:t xml:space="preserve">ies </w:t>
      </w:r>
      <w:r w:rsidR="00685E65">
        <w:rPr>
          <w:rFonts w:ascii="Times New Roman" w:hAnsi="Times New Roman" w:cs="Times New Roman"/>
          <w:lang w:val="en-GB"/>
        </w:rPr>
        <w:t xml:space="preserve">are </w:t>
      </w:r>
      <w:r w:rsidR="006E3D5E">
        <w:rPr>
          <w:rFonts w:ascii="Times New Roman" w:hAnsi="Times New Roman" w:cs="Times New Roman"/>
          <w:lang w:val="en-GB"/>
        </w:rPr>
        <w:t>open</w:t>
      </w:r>
      <w:r w:rsidR="00357940">
        <w:rPr>
          <w:rFonts w:ascii="Times New Roman" w:hAnsi="Times New Roman" w:cs="Times New Roman"/>
          <w:lang w:val="en-GB"/>
        </w:rPr>
        <w:t>ing</w:t>
      </w:r>
      <w:r w:rsidR="006E3D5E">
        <w:rPr>
          <w:rFonts w:ascii="Times New Roman" w:hAnsi="Times New Roman" w:cs="Times New Roman"/>
          <w:lang w:val="en-GB"/>
        </w:rPr>
        <w:t xml:space="preserve"> up the policymaking process</w:t>
      </w:r>
      <w:r>
        <w:rPr>
          <w:rFonts w:ascii="Times New Roman" w:hAnsi="Times New Roman" w:cs="Times New Roman"/>
          <w:lang w:val="en-GB"/>
        </w:rPr>
        <w:t xml:space="preserve"> to assuage mounting challenges to their </w:t>
      </w:r>
      <w:r w:rsidRPr="00DC3C62">
        <w:rPr>
          <w:rFonts w:ascii="Times New Roman" w:hAnsi="Times New Roman" w:cs="Times New Roman"/>
          <w:i/>
          <w:iCs/>
          <w:lang w:val="en-GB"/>
        </w:rPr>
        <w:t>modus operandi</w:t>
      </w:r>
      <w:r w:rsidR="008A0109">
        <w:rPr>
          <w:rFonts w:ascii="Times New Roman" w:hAnsi="Times New Roman" w:cs="Times New Roman"/>
          <w:lang w:val="en-GB"/>
        </w:rPr>
        <w:t xml:space="preserve">. </w:t>
      </w:r>
      <w:r w:rsidR="006E3D5E">
        <w:rPr>
          <w:rFonts w:ascii="Times New Roman" w:hAnsi="Times New Roman" w:cs="Times New Roman"/>
          <w:lang w:val="en-GB"/>
        </w:rPr>
        <w:t>In particular</w:t>
      </w:r>
      <w:r>
        <w:rPr>
          <w:rFonts w:ascii="Times New Roman" w:hAnsi="Times New Roman" w:cs="Times New Roman"/>
          <w:lang w:val="en-GB"/>
        </w:rPr>
        <w:t>, there has been a move to embrace participatory</w:t>
      </w:r>
      <w:r w:rsidR="00E2686B">
        <w:rPr>
          <w:rStyle w:val="EndnoteReference"/>
          <w:rFonts w:ascii="Times New Roman" w:hAnsi="Times New Roman" w:cs="Times New Roman"/>
          <w:lang w:val="en-GB"/>
        </w:rPr>
        <w:endnoteReference w:id="1"/>
      </w:r>
      <w:r>
        <w:rPr>
          <w:rFonts w:ascii="Times New Roman" w:hAnsi="Times New Roman" w:cs="Times New Roman"/>
          <w:lang w:val="en-GB"/>
        </w:rPr>
        <w:t xml:space="preserve"> mechanisms that actively include civil society actors and citizens as something of a cure-all </w:t>
      </w:r>
      <w:r w:rsidR="006E18EA">
        <w:rPr>
          <w:rFonts w:ascii="Times New Roman" w:hAnsi="Times New Roman" w:cs="Times New Roman"/>
          <w:lang w:val="en-GB"/>
        </w:rPr>
        <w:t>for deepening concerns about the legitimacy</w:t>
      </w:r>
      <w:r w:rsidR="00C555C1">
        <w:rPr>
          <w:rFonts w:ascii="Times New Roman" w:hAnsi="Times New Roman" w:cs="Times New Roman"/>
          <w:lang w:val="en-GB"/>
        </w:rPr>
        <w:t xml:space="preserve">- </w:t>
      </w:r>
      <w:r w:rsidR="00C555C1" w:rsidRPr="006C0B6B">
        <w:rPr>
          <w:rFonts w:ascii="Times New Roman" w:hAnsi="Times New Roman" w:cs="Times New Roman"/>
          <w:i/>
          <w:lang w:val="en-GB"/>
        </w:rPr>
        <w:t>qua</w:t>
      </w:r>
      <w:r w:rsidR="00C555C1">
        <w:rPr>
          <w:rFonts w:ascii="Times New Roman" w:hAnsi="Times New Roman" w:cs="Times New Roman"/>
          <w:lang w:val="en-GB"/>
        </w:rPr>
        <w:t xml:space="preserve"> throughput-</w:t>
      </w:r>
      <w:r w:rsidR="006E18EA">
        <w:rPr>
          <w:rFonts w:ascii="Times New Roman" w:hAnsi="Times New Roman" w:cs="Times New Roman"/>
          <w:lang w:val="en-GB"/>
        </w:rPr>
        <w:t xml:space="preserve">of the </w:t>
      </w:r>
      <w:r w:rsidR="00C555C1">
        <w:rPr>
          <w:rFonts w:ascii="Times New Roman" w:hAnsi="Times New Roman" w:cs="Times New Roman"/>
          <w:lang w:val="en-GB"/>
        </w:rPr>
        <w:t xml:space="preserve">governance </w:t>
      </w:r>
      <w:r w:rsidR="006E18EA">
        <w:rPr>
          <w:rFonts w:ascii="Times New Roman" w:hAnsi="Times New Roman" w:cs="Times New Roman"/>
          <w:lang w:val="en-GB"/>
        </w:rPr>
        <w:t>process.</w:t>
      </w:r>
    </w:p>
    <w:p w14:paraId="57806D21" w14:textId="77777777" w:rsidR="00C72D2A" w:rsidRDefault="00C72D2A" w:rsidP="00172513">
      <w:pPr>
        <w:spacing w:line="360" w:lineRule="auto"/>
        <w:jc w:val="both"/>
        <w:rPr>
          <w:rFonts w:ascii="Times New Roman" w:hAnsi="Times New Roman" w:cs="Times New Roman"/>
          <w:lang w:val="en-GB"/>
        </w:rPr>
      </w:pPr>
    </w:p>
    <w:p w14:paraId="74E76B31" w14:textId="53069268" w:rsidR="00C72D2A" w:rsidRDefault="00357940" w:rsidP="00685E65">
      <w:pPr>
        <w:spacing w:line="360" w:lineRule="auto"/>
        <w:jc w:val="both"/>
        <w:rPr>
          <w:rFonts w:asciiTheme="majorBidi" w:hAnsiTheme="majorBidi" w:cstheme="majorBidi"/>
          <w:lang w:val="en-GB"/>
        </w:rPr>
      </w:pPr>
      <w:r>
        <w:rPr>
          <w:rFonts w:ascii="Times New Roman" w:hAnsi="Times New Roman" w:cs="Times New Roman"/>
          <w:lang w:val="en-GB"/>
        </w:rPr>
        <w:t xml:space="preserve">Much </w:t>
      </w:r>
      <w:r w:rsidR="006E18EA">
        <w:rPr>
          <w:rFonts w:ascii="Times New Roman" w:hAnsi="Times New Roman" w:cs="Times New Roman"/>
          <w:lang w:val="en-GB"/>
        </w:rPr>
        <w:t>has been written about the challenges associated with pursuing participatory</w:t>
      </w:r>
      <w:r w:rsidR="00C72D2A">
        <w:rPr>
          <w:rFonts w:ascii="Times New Roman" w:hAnsi="Times New Roman" w:cs="Times New Roman"/>
          <w:lang w:val="en-GB"/>
        </w:rPr>
        <w:t xml:space="preserve"> </w:t>
      </w:r>
      <w:r w:rsidR="006E18EA">
        <w:rPr>
          <w:rFonts w:ascii="Times New Roman" w:hAnsi="Times New Roman" w:cs="Times New Roman"/>
          <w:lang w:val="en-GB"/>
        </w:rPr>
        <w:t>mechanisms in different policy contexts, including at some length in the public administration literature (</w:t>
      </w:r>
      <w:r w:rsidR="00685E65">
        <w:rPr>
          <w:rFonts w:ascii="Times New Roman" w:hAnsi="Times New Roman" w:cs="Times New Roman"/>
          <w:lang w:val="en-GB"/>
        </w:rPr>
        <w:t>eg.</w:t>
      </w:r>
      <w:r w:rsidR="006E18EA">
        <w:rPr>
          <w:rFonts w:ascii="Times New Roman" w:hAnsi="Times New Roman" w:cs="Times New Roman"/>
          <w:lang w:val="en-GB"/>
        </w:rPr>
        <w:t xml:space="preserve"> Barnes </w:t>
      </w:r>
      <w:r w:rsidR="006E18EA" w:rsidRPr="00F844C1">
        <w:rPr>
          <w:rFonts w:ascii="Times New Roman" w:hAnsi="Times New Roman" w:cs="Times New Roman"/>
          <w:i/>
          <w:iCs/>
          <w:lang w:val="en-GB"/>
        </w:rPr>
        <w:t>et al</w:t>
      </w:r>
      <w:r w:rsidR="006E18EA">
        <w:rPr>
          <w:rFonts w:ascii="Times New Roman" w:hAnsi="Times New Roman" w:cs="Times New Roman"/>
          <w:lang w:val="en-GB"/>
        </w:rPr>
        <w:t xml:space="preserve">. 2003). The bulk of this work, though, has </w:t>
      </w:r>
      <w:r w:rsidR="006E18EA">
        <w:rPr>
          <w:rFonts w:ascii="Times New Roman" w:hAnsi="Times New Roman" w:cs="Times New Roman"/>
          <w:lang w:val="en-GB"/>
        </w:rPr>
        <w:lastRenderedPageBreak/>
        <w:t xml:space="preserve">focused on the micro processes of participation, somewhat divorced from the bigger picture of governance </w:t>
      </w:r>
      <w:r w:rsidR="002C3492">
        <w:rPr>
          <w:rFonts w:ascii="Times New Roman" w:hAnsi="Times New Roman" w:cs="Times New Roman"/>
          <w:lang w:val="en-GB"/>
        </w:rPr>
        <w:t>and throughput legitimacy</w:t>
      </w:r>
      <w:r w:rsidR="006E18EA">
        <w:rPr>
          <w:rFonts w:ascii="Times New Roman" w:hAnsi="Times New Roman" w:cs="Times New Roman"/>
          <w:lang w:val="en-GB"/>
        </w:rPr>
        <w:t>. It has generally paid fleeting attention to the broader institutional context in which participation occurs.</w:t>
      </w:r>
      <w:r w:rsidR="006E18EA">
        <w:rPr>
          <w:rStyle w:val="EndnoteReference"/>
          <w:rFonts w:ascii="Times New Roman" w:hAnsi="Times New Roman" w:cs="Times New Roman"/>
          <w:lang w:val="en-GB"/>
        </w:rPr>
        <w:endnoteReference w:id="2"/>
      </w:r>
      <w:r w:rsidR="002C3492">
        <w:rPr>
          <w:rFonts w:ascii="Times New Roman" w:hAnsi="Times New Roman" w:cs="Times New Roman"/>
          <w:lang w:val="en-GB"/>
        </w:rPr>
        <w:t xml:space="preserve"> </w:t>
      </w:r>
      <w:r w:rsidR="005E59FB">
        <w:rPr>
          <w:rFonts w:ascii="Times New Roman" w:hAnsi="Times New Roman" w:cs="Times New Roman"/>
          <w:lang w:val="en-GB"/>
        </w:rPr>
        <w:t>T</w:t>
      </w:r>
      <w:r w:rsidR="00325ED6">
        <w:rPr>
          <w:rFonts w:ascii="Times New Roman" w:hAnsi="Times New Roman" w:cs="Times New Roman"/>
          <w:lang w:val="en-GB"/>
        </w:rPr>
        <w:t xml:space="preserve">he benefits of citizen or civil society participation in policy-making have been widely scrutinised, yet what has been little researched is </w:t>
      </w:r>
      <w:r w:rsidR="00325ED6" w:rsidRPr="00D153F8">
        <w:rPr>
          <w:rFonts w:ascii="Times New Roman" w:hAnsi="Times New Roman" w:cs="Times New Roman"/>
          <w:i/>
          <w:lang w:val="en-GB"/>
        </w:rPr>
        <w:t>how</w:t>
      </w:r>
      <w:r w:rsidR="00325ED6">
        <w:rPr>
          <w:rFonts w:asciiTheme="majorBidi" w:hAnsiTheme="majorBidi" w:cstheme="majorBidi"/>
          <w:lang w:val="en-GB"/>
        </w:rPr>
        <w:t xml:space="preserve"> the quality of participation (as a process) impacts on the quality of governan</w:t>
      </w:r>
      <w:r w:rsidR="009B5932">
        <w:rPr>
          <w:rFonts w:asciiTheme="majorBidi" w:hAnsiTheme="majorBidi" w:cstheme="majorBidi"/>
          <w:lang w:val="en-GB"/>
        </w:rPr>
        <w:t xml:space="preserve">ce, </w:t>
      </w:r>
      <w:r w:rsidR="005E59FB">
        <w:rPr>
          <w:rFonts w:asciiTheme="majorBidi" w:hAnsiTheme="majorBidi" w:cstheme="majorBidi"/>
          <w:lang w:val="en-GB"/>
        </w:rPr>
        <w:t xml:space="preserve">and </w:t>
      </w:r>
      <w:r w:rsidR="009B5932">
        <w:rPr>
          <w:rFonts w:asciiTheme="majorBidi" w:hAnsiTheme="majorBidi" w:cstheme="majorBidi"/>
          <w:lang w:val="en-GB"/>
        </w:rPr>
        <w:t>hence</w:t>
      </w:r>
      <w:r w:rsidR="005E59FB">
        <w:rPr>
          <w:rFonts w:asciiTheme="majorBidi" w:hAnsiTheme="majorBidi" w:cstheme="majorBidi"/>
          <w:lang w:val="en-GB"/>
        </w:rPr>
        <w:t xml:space="preserve"> on</w:t>
      </w:r>
      <w:r w:rsidR="009B5932">
        <w:rPr>
          <w:rFonts w:asciiTheme="majorBidi" w:hAnsiTheme="majorBidi" w:cstheme="majorBidi"/>
          <w:lang w:val="en-GB"/>
        </w:rPr>
        <w:t xml:space="preserve"> throughput legitimacy.</w:t>
      </w:r>
    </w:p>
    <w:p w14:paraId="2F4E97EA" w14:textId="77777777" w:rsidR="00325ED6" w:rsidRPr="00B10073" w:rsidRDefault="00325ED6" w:rsidP="00172513">
      <w:pPr>
        <w:spacing w:line="360" w:lineRule="auto"/>
        <w:jc w:val="both"/>
        <w:rPr>
          <w:rFonts w:asciiTheme="majorBidi" w:hAnsiTheme="majorBidi" w:cstheme="majorBidi"/>
          <w:lang w:val="en-GB"/>
        </w:rPr>
      </w:pPr>
    </w:p>
    <w:p w14:paraId="38956CEC" w14:textId="26192C99" w:rsidR="00C9366E" w:rsidRPr="00A85113" w:rsidRDefault="006E18EA" w:rsidP="00052538">
      <w:pPr>
        <w:spacing w:line="360" w:lineRule="auto"/>
        <w:jc w:val="both"/>
        <w:rPr>
          <w:rFonts w:ascii="Times" w:hAnsi="Times"/>
        </w:rPr>
      </w:pPr>
      <w:r>
        <w:rPr>
          <w:rFonts w:ascii="Times New Roman" w:hAnsi="Times New Roman" w:cs="Times New Roman"/>
          <w:lang w:val="en-GB"/>
        </w:rPr>
        <w:t xml:space="preserve">In this paper we </w:t>
      </w:r>
      <w:r w:rsidR="00B508D7">
        <w:rPr>
          <w:rFonts w:ascii="Times New Roman" w:hAnsi="Times New Roman" w:cs="Times New Roman"/>
          <w:lang w:val="en-GB"/>
        </w:rPr>
        <w:t xml:space="preserve">examine </w:t>
      </w:r>
      <w:r>
        <w:rPr>
          <w:rFonts w:asciiTheme="majorBidi" w:hAnsiTheme="majorBidi" w:cstheme="majorBidi"/>
          <w:lang w:val="en-GB"/>
        </w:rPr>
        <w:t xml:space="preserve">the extent to which participatory mechanisms </w:t>
      </w:r>
      <w:r w:rsidR="00B508D7">
        <w:rPr>
          <w:rFonts w:asciiTheme="majorBidi" w:hAnsiTheme="majorBidi" w:cstheme="majorBidi"/>
          <w:lang w:val="en-GB"/>
        </w:rPr>
        <w:t xml:space="preserve">at national and supranational levels </w:t>
      </w:r>
      <w:r>
        <w:rPr>
          <w:rFonts w:asciiTheme="majorBidi" w:hAnsiTheme="majorBidi" w:cstheme="majorBidi"/>
          <w:lang w:val="en-GB"/>
        </w:rPr>
        <w:t>can be successful in eliciting throughput legitimacy</w:t>
      </w:r>
      <w:r w:rsidR="00A46B6B">
        <w:rPr>
          <w:rFonts w:asciiTheme="majorBidi" w:hAnsiTheme="majorBidi" w:cstheme="majorBidi"/>
          <w:lang w:val="en-GB"/>
        </w:rPr>
        <w:t xml:space="preserve"> for such bodies</w:t>
      </w:r>
      <w:r>
        <w:rPr>
          <w:rFonts w:asciiTheme="majorBidi" w:hAnsiTheme="majorBidi" w:cstheme="majorBidi"/>
          <w:lang w:val="en-GB"/>
        </w:rPr>
        <w:t xml:space="preserve">. We present </w:t>
      </w:r>
      <w:r w:rsidRPr="00B10073">
        <w:rPr>
          <w:rFonts w:asciiTheme="majorBidi" w:hAnsiTheme="majorBidi" w:cstheme="majorBidi"/>
          <w:lang w:val="en-GB"/>
        </w:rPr>
        <w:t>a comparative case study–European Commission and child rights policy</w:t>
      </w:r>
      <w:r>
        <w:rPr>
          <w:rFonts w:asciiTheme="majorBidi" w:hAnsiTheme="majorBidi" w:cstheme="majorBidi"/>
          <w:lang w:val="en-GB"/>
        </w:rPr>
        <w:t xml:space="preserve"> and NHS England and </w:t>
      </w:r>
      <w:r w:rsidRPr="00B10073">
        <w:rPr>
          <w:rFonts w:asciiTheme="majorBidi" w:hAnsiTheme="majorBidi" w:cstheme="majorBidi"/>
          <w:lang w:val="en-GB"/>
        </w:rPr>
        <w:t xml:space="preserve">health </w:t>
      </w:r>
      <w:r>
        <w:rPr>
          <w:rFonts w:asciiTheme="majorBidi" w:hAnsiTheme="majorBidi" w:cstheme="majorBidi"/>
          <w:lang w:val="en-GB"/>
        </w:rPr>
        <w:t>policy</w:t>
      </w:r>
      <w:r w:rsidRPr="00B10073">
        <w:rPr>
          <w:rFonts w:asciiTheme="majorBidi" w:hAnsiTheme="majorBidi" w:cstheme="majorBidi"/>
          <w:lang w:val="en-GB"/>
        </w:rPr>
        <w:t>–</w:t>
      </w:r>
      <w:r>
        <w:rPr>
          <w:rFonts w:asciiTheme="majorBidi" w:hAnsiTheme="majorBidi" w:cstheme="majorBidi"/>
          <w:lang w:val="en-GB"/>
        </w:rPr>
        <w:t xml:space="preserve">deploying some of Schmidt’s </w:t>
      </w:r>
      <w:r w:rsidR="006676A1">
        <w:rPr>
          <w:rFonts w:asciiTheme="majorBidi" w:hAnsiTheme="majorBidi" w:cstheme="majorBidi"/>
          <w:lang w:val="en-GB"/>
        </w:rPr>
        <w:t>dimension</w:t>
      </w:r>
      <w:r>
        <w:rPr>
          <w:rFonts w:asciiTheme="majorBidi" w:hAnsiTheme="majorBidi" w:cstheme="majorBidi"/>
          <w:lang w:val="en-GB"/>
        </w:rPr>
        <w:t xml:space="preserve">s </w:t>
      </w:r>
      <w:r w:rsidR="00A46B6B">
        <w:rPr>
          <w:rFonts w:asciiTheme="majorBidi" w:hAnsiTheme="majorBidi" w:cstheme="majorBidi"/>
          <w:lang w:val="en-GB"/>
        </w:rPr>
        <w:t xml:space="preserve">to </w:t>
      </w:r>
      <w:r w:rsidR="00B508D7">
        <w:rPr>
          <w:rFonts w:asciiTheme="majorBidi" w:hAnsiTheme="majorBidi" w:cstheme="majorBidi"/>
          <w:lang w:val="en-GB"/>
        </w:rPr>
        <w:t xml:space="preserve">measure throughput legitimacy via the </w:t>
      </w:r>
      <w:r w:rsidR="00B508D7" w:rsidRPr="00D153F8">
        <w:rPr>
          <w:rFonts w:asciiTheme="majorBidi" w:hAnsiTheme="majorBidi" w:cstheme="majorBidi"/>
          <w:i/>
          <w:iCs/>
          <w:lang w:val="en-GB"/>
        </w:rPr>
        <w:t xml:space="preserve">quality </w:t>
      </w:r>
      <w:r w:rsidR="00D80481" w:rsidRPr="00D153F8">
        <w:rPr>
          <w:rFonts w:asciiTheme="majorBidi" w:hAnsiTheme="majorBidi" w:cstheme="majorBidi"/>
          <w:i/>
          <w:iCs/>
          <w:lang w:val="en-GB"/>
        </w:rPr>
        <w:t xml:space="preserve">of </w:t>
      </w:r>
      <w:r w:rsidR="00B508D7" w:rsidRPr="00D153F8">
        <w:rPr>
          <w:rFonts w:asciiTheme="majorBidi" w:hAnsiTheme="majorBidi" w:cstheme="majorBidi"/>
          <w:i/>
          <w:iCs/>
          <w:lang w:val="en-GB"/>
        </w:rPr>
        <w:t>participation</w:t>
      </w:r>
      <w:r w:rsidR="00C564A4">
        <w:rPr>
          <w:rFonts w:asciiTheme="majorBidi" w:hAnsiTheme="majorBidi" w:cstheme="majorBidi"/>
          <w:lang w:val="en-GB"/>
        </w:rPr>
        <w:t xml:space="preserve"> in governance processes</w:t>
      </w:r>
      <w:r w:rsidR="00C9366E">
        <w:rPr>
          <w:rFonts w:asciiTheme="majorBidi" w:hAnsiTheme="majorBidi" w:cstheme="majorBidi"/>
          <w:lang w:val="en-GB"/>
        </w:rPr>
        <w:t xml:space="preserve"> in relation to two</w:t>
      </w:r>
      <w:r w:rsidR="00B508D7">
        <w:rPr>
          <w:rFonts w:asciiTheme="majorBidi" w:hAnsiTheme="majorBidi" w:cstheme="majorBidi"/>
          <w:lang w:val="en-GB"/>
        </w:rPr>
        <w:t xml:space="preserve"> aspects: </w:t>
      </w:r>
      <w:r w:rsidR="00C9366E">
        <w:rPr>
          <w:rFonts w:asciiTheme="majorBidi" w:hAnsiTheme="majorBidi" w:cstheme="majorBidi"/>
          <w:lang w:val="en-GB"/>
        </w:rPr>
        <w:t xml:space="preserve">a) input into agenda-setting, </w:t>
      </w:r>
      <w:r w:rsidR="00DA1747">
        <w:rPr>
          <w:rFonts w:asciiTheme="majorBidi" w:hAnsiTheme="majorBidi" w:cstheme="majorBidi"/>
          <w:lang w:val="en-GB"/>
        </w:rPr>
        <w:t xml:space="preserve">b) </w:t>
      </w:r>
      <w:r w:rsidR="006E29E1">
        <w:rPr>
          <w:rFonts w:asciiTheme="majorBidi" w:hAnsiTheme="majorBidi" w:cstheme="majorBidi"/>
          <w:lang w:val="en-GB"/>
        </w:rPr>
        <w:t xml:space="preserve">effect </w:t>
      </w:r>
      <w:r w:rsidR="00685E65">
        <w:rPr>
          <w:rFonts w:asciiTheme="majorBidi" w:hAnsiTheme="majorBidi" w:cstheme="majorBidi"/>
          <w:lang w:val="en-GB"/>
        </w:rPr>
        <w:t>on</w:t>
      </w:r>
      <w:r w:rsidR="00A46B6B">
        <w:rPr>
          <w:rFonts w:asciiTheme="majorBidi" w:hAnsiTheme="majorBidi" w:cstheme="majorBidi"/>
          <w:lang w:val="en-GB"/>
        </w:rPr>
        <w:t xml:space="preserve"> policy outcomes</w:t>
      </w:r>
      <w:r w:rsidR="00C9366E">
        <w:rPr>
          <w:rStyle w:val="EndnoteReference"/>
          <w:rFonts w:asciiTheme="majorBidi" w:hAnsiTheme="majorBidi" w:cstheme="majorBidi"/>
          <w:lang w:val="en-GB"/>
        </w:rPr>
        <w:endnoteReference w:id="3"/>
      </w:r>
      <w:r w:rsidR="00C9366E">
        <w:rPr>
          <w:rFonts w:asciiTheme="majorBidi" w:hAnsiTheme="majorBidi" w:cstheme="majorBidi"/>
          <w:lang w:val="en-GB"/>
        </w:rPr>
        <w:t xml:space="preserve">. </w:t>
      </w:r>
      <w:r w:rsidR="009B5932">
        <w:rPr>
          <w:rFonts w:asciiTheme="majorBidi" w:hAnsiTheme="majorBidi" w:cstheme="majorBidi"/>
          <w:lang w:val="en-GB"/>
        </w:rPr>
        <w:t>The</w:t>
      </w:r>
      <w:r w:rsidR="005E59FB">
        <w:rPr>
          <w:rFonts w:asciiTheme="majorBidi" w:hAnsiTheme="majorBidi" w:cstheme="majorBidi"/>
          <w:lang w:val="en-GB"/>
        </w:rPr>
        <w:t>se</w:t>
      </w:r>
      <w:r w:rsidR="009B5932">
        <w:rPr>
          <w:rFonts w:asciiTheme="majorBidi" w:hAnsiTheme="majorBidi" w:cstheme="majorBidi"/>
          <w:lang w:val="en-GB"/>
        </w:rPr>
        <w:t xml:space="preserve"> two yardsticks employed </w:t>
      </w:r>
      <w:r w:rsidR="005E59FB">
        <w:rPr>
          <w:rFonts w:asciiTheme="majorBidi" w:hAnsiTheme="majorBidi" w:cstheme="majorBidi"/>
          <w:lang w:val="en-GB"/>
        </w:rPr>
        <w:t xml:space="preserve">here </w:t>
      </w:r>
      <w:r w:rsidR="009B5932">
        <w:rPr>
          <w:rFonts w:asciiTheme="majorBidi" w:hAnsiTheme="majorBidi" w:cstheme="majorBidi"/>
          <w:lang w:val="en-GB"/>
        </w:rPr>
        <w:t>capture a key dimension of participation:</w:t>
      </w:r>
      <w:r w:rsidR="005E59FB">
        <w:rPr>
          <w:rFonts w:asciiTheme="majorBidi" w:hAnsiTheme="majorBidi" w:cstheme="majorBidi"/>
          <w:lang w:val="en-GB"/>
        </w:rPr>
        <w:t xml:space="preserve"> namely the </w:t>
      </w:r>
      <w:r w:rsidR="009B5932">
        <w:rPr>
          <w:rFonts w:asciiTheme="majorBidi" w:hAnsiTheme="majorBidi" w:cstheme="majorBidi"/>
          <w:lang w:val="en-GB"/>
        </w:rPr>
        <w:t>purpose</w:t>
      </w:r>
      <w:r w:rsidR="005E59FB">
        <w:rPr>
          <w:rFonts w:asciiTheme="majorBidi" w:hAnsiTheme="majorBidi" w:cstheme="majorBidi"/>
          <w:lang w:val="en-GB"/>
        </w:rPr>
        <w:t>(s)</w:t>
      </w:r>
      <w:r w:rsidR="009B5932">
        <w:rPr>
          <w:rFonts w:asciiTheme="majorBidi" w:hAnsiTheme="majorBidi" w:cstheme="majorBidi"/>
          <w:lang w:val="en-GB"/>
        </w:rPr>
        <w:t xml:space="preserve"> it </w:t>
      </w:r>
      <w:r w:rsidR="005E59FB">
        <w:rPr>
          <w:rFonts w:asciiTheme="majorBidi" w:hAnsiTheme="majorBidi" w:cstheme="majorBidi"/>
          <w:lang w:val="en-GB"/>
        </w:rPr>
        <w:t xml:space="preserve">aims to </w:t>
      </w:r>
      <w:r w:rsidR="009B5932">
        <w:rPr>
          <w:rFonts w:asciiTheme="majorBidi" w:hAnsiTheme="majorBidi" w:cstheme="majorBidi"/>
          <w:lang w:val="en-GB"/>
        </w:rPr>
        <w:t>serve in practice</w:t>
      </w:r>
      <w:r w:rsidR="005E59FB">
        <w:rPr>
          <w:rFonts w:asciiTheme="majorBidi" w:hAnsiTheme="majorBidi" w:cstheme="majorBidi"/>
          <w:lang w:val="en-GB"/>
        </w:rPr>
        <w:t>, o</w:t>
      </w:r>
      <w:r w:rsidR="00A85113">
        <w:rPr>
          <w:rFonts w:asciiTheme="majorBidi" w:hAnsiTheme="majorBidi" w:cstheme="majorBidi"/>
          <w:lang w:val="en-GB"/>
        </w:rPr>
        <w:t xml:space="preserve">r put differently, </w:t>
      </w:r>
      <w:r w:rsidR="005E59FB">
        <w:rPr>
          <w:rFonts w:asciiTheme="majorBidi" w:hAnsiTheme="majorBidi" w:cstheme="majorBidi"/>
          <w:lang w:val="en-GB"/>
        </w:rPr>
        <w:t xml:space="preserve">what </w:t>
      </w:r>
      <w:r w:rsidR="00B3682E">
        <w:rPr>
          <w:rFonts w:asciiTheme="majorBidi" w:hAnsiTheme="majorBidi" w:cstheme="majorBidi"/>
          <w:lang w:val="en-GB"/>
        </w:rPr>
        <w:t>‘</w:t>
      </w:r>
      <w:r w:rsidR="00A85113">
        <w:rPr>
          <w:rFonts w:asciiTheme="majorBidi" w:hAnsiTheme="majorBidi" w:cstheme="majorBidi"/>
          <w:lang w:val="en-GB"/>
        </w:rPr>
        <w:t>participation</w:t>
      </w:r>
      <w:r w:rsidR="00B3682E">
        <w:rPr>
          <w:rFonts w:asciiTheme="majorBidi" w:hAnsiTheme="majorBidi" w:cstheme="majorBidi"/>
          <w:lang w:val="en-GB"/>
        </w:rPr>
        <w:t>’</w:t>
      </w:r>
      <w:r w:rsidR="005E59FB">
        <w:rPr>
          <w:rFonts w:asciiTheme="majorBidi" w:hAnsiTheme="majorBidi" w:cstheme="majorBidi"/>
          <w:lang w:val="en-GB"/>
        </w:rPr>
        <w:t xml:space="preserve"> – as a process -</w:t>
      </w:r>
      <w:r w:rsidR="00A85113">
        <w:rPr>
          <w:rFonts w:asciiTheme="majorBidi" w:hAnsiTheme="majorBidi" w:cstheme="majorBidi"/>
          <w:lang w:val="en-GB"/>
        </w:rPr>
        <w:t xml:space="preserve"> mean</w:t>
      </w:r>
      <w:r w:rsidR="005E59FB">
        <w:rPr>
          <w:rFonts w:asciiTheme="majorBidi" w:hAnsiTheme="majorBidi" w:cstheme="majorBidi"/>
          <w:lang w:val="en-GB"/>
        </w:rPr>
        <w:t>s</w:t>
      </w:r>
      <w:r w:rsidR="00A85113">
        <w:rPr>
          <w:rFonts w:asciiTheme="majorBidi" w:hAnsiTheme="majorBidi" w:cstheme="majorBidi"/>
          <w:lang w:val="en-GB"/>
        </w:rPr>
        <w:t xml:space="preserve"> to those </w:t>
      </w:r>
      <w:r w:rsidR="005E59FB">
        <w:rPr>
          <w:rFonts w:asciiTheme="majorBidi" w:hAnsiTheme="majorBidi" w:cstheme="majorBidi"/>
          <w:lang w:val="en-GB"/>
        </w:rPr>
        <w:t>taking part in it.</w:t>
      </w:r>
      <w:r w:rsidR="009B5932">
        <w:rPr>
          <w:rFonts w:asciiTheme="majorBidi" w:hAnsiTheme="majorBidi" w:cstheme="majorBidi"/>
          <w:lang w:val="en-GB"/>
        </w:rPr>
        <w:t xml:space="preserve"> </w:t>
      </w:r>
      <w:r w:rsidR="00C9366E">
        <w:rPr>
          <w:rFonts w:asciiTheme="majorBidi" w:hAnsiTheme="majorBidi" w:cstheme="majorBidi"/>
          <w:lang w:val="en-GB"/>
        </w:rPr>
        <w:t xml:space="preserve">Both participatory mechanisms examined here were intended to feed into the policy process and, as mechanisms of throughput legitimacy, they shed light on key questions about the </w:t>
      </w:r>
      <w:r w:rsidR="00C9366E" w:rsidRPr="00D153F8">
        <w:rPr>
          <w:rFonts w:asciiTheme="majorBidi" w:hAnsiTheme="majorBidi" w:cstheme="majorBidi"/>
          <w:i/>
          <w:iCs/>
          <w:lang w:val="en-GB"/>
        </w:rPr>
        <w:t>quality of the governance process</w:t>
      </w:r>
      <w:r w:rsidR="00C9366E">
        <w:rPr>
          <w:rFonts w:asciiTheme="majorBidi" w:hAnsiTheme="majorBidi" w:cstheme="majorBidi"/>
          <w:lang w:val="en-GB"/>
        </w:rPr>
        <w:t xml:space="preserve"> of the Commission and NHS England in those two policy sectors. What are the </w:t>
      </w:r>
      <w:r w:rsidR="00C9366E" w:rsidRPr="00B10073">
        <w:rPr>
          <w:rFonts w:asciiTheme="majorBidi" w:hAnsiTheme="majorBidi" w:cstheme="majorBidi"/>
          <w:lang w:val="en-GB"/>
        </w:rPr>
        <w:t xml:space="preserve">knock-on effects of the initiatives pursued by </w:t>
      </w:r>
      <w:r w:rsidR="00C9366E">
        <w:rPr>
          <w:rFonts w:asciiTheme="majorBidi" w:hAnsiTheme="majorBidi" w:cstheme="majorBidi"/>
          <w:lang w:val="en-GB"/>
        </w:rPr>
        <w:t>these technocratic bodies</w:t>
      </w:r>
      <w:r w:rsidR="00C9366E" w:rsidRPr="00B10073">
        <w:rPr>
          <w:rFonts w:asciiTheme="majorBidi" w:hAnsiTheme="majorBidi" w:cstheme="majorBidi"/>
          <w:lang w:val="en-GB"/>
        </w:rPr>
        <w:t xml:space="preserve"> to encourage stakeholder participation in the </w:t>
      </w:r>
      <w:r w:rsidR="00C9366E">
        <w:rPr>
          <w:rFonts w:asciiTheme="majorBidi" w:hAnsiTheme="majorBidi" w:cstheme="majorBidi"/>
          <w:lang w:val="en-GB"/>
        </w:rPr>
        <w:t>policy</w:t>
      </w:r>
      <w:r w:rsidR="00C9366E" w:rsidRPr="00B10073">
        <w:rPr>
          <w:rFonts w:asciiTheme="majorBidi" w:hAnsiTheme="majorBidi" w:cstheme="majorBidi"/>
          <w:lang w:val="en-GB"/>
        </w:rPr>
        <w:t>making process</w:t>
      </w:r>
      <w:r w:rsidR="00C9366E">
        <w:rPr>
          <w:rFonts w:asciiTheme="majorBidi" w:hAnsiTheme="majorBidi" w:cstheme="majorBidi"/>
          <w:lang w:val="en-GB"/>
        </w:rPr>
        <w:t>?</w:t>
      </w:r>
      <w:r w:rsidR="00C9366E" w:rsidRPr="00B10073">
        <w:rPr>
          <w:rFonts w:asciiTheme="majorBidi" w:hAnsiTheme="majorBidi" w:cstheme="majorBidi"/>
          <w:lang w:val="en-GB"/>
        </w:rPr>
        <w:t xml:space="preserve"> What </w:t>
      </w:r>
      <w:r w:rsidR="00C9366E">
        <w:rPr>
          <w:rFonts w:asciiTheme="majorBidi" w:hAnsiTheme="majorBidi" w:cstheme="majorBidi"/>
          <w:lang w:val="en-GB"/>
        </w:rPr>
        <w:t xml:space="preserve">consequences </w:t>
      </w:r>
      <w:r w:rsidR="00C9366E" w:rsidRPr="00B10073">
        <w:rPr>
          <w:rFonts w:asciiTheme="majorBidi" w:hAnsiTheme="majorBidi" w:cstheme="majorBidi"/>
          <w:lang w:val="en-GB"/>
        </w:rPr>
        <w:t xml:space="preserve">have these participatory mechanisms had on </w:t>
      </w:r>
      <w:r w:rsidR="00C9366E">
        <w:rPr>
          <w:rFonts w:asciiTheme="majorBidi" w:hAnsiTheme="majorBidi" w:cstheme="majorBidi"/>
          <w:lang w:val="en-GB"/>
        </w:rPr>
        <w:t xml:space="preserve">eliciting throughput </w:t>
      </w:r>
      <w:r w:rsidR="00C9366E" w:rsidRPr="00B10073">
        <w:rPr>
          <w:rFonts w:asciiTheme="majorBidi" w:hAnsiTheme="majorBidi" w:cstheme="majorBidi"/>
          <w:lang w:val="en-GB"/>
        </w:rPr>
        <w:t xml:space="preserve">legitimacy? </w:t>
      </w:r>
      <w:r w:rsidR="00C9366E">
        <w:rPr>
          <w:rFonts w:asciiTheme="majorBidi" w:hAnsiTheme="majorBidi" w:cstheme="majorBidi"/>
          <w:lang w:val="en-GB"/>
        </w:rPr>
        <w:t xml:space="preserve">How have actors within technocratic bodies sought to embed and strengthen these mechanisms? </w:t>
      </w:r>
      <w:r w:rsidR="00C9366E" w:rsidRPr="00A85113">
        <w:rPr>
          <w:rFonts w:ascii="Times" w:hAnsi="Times"/>
          <w:i/>
          <w:iCs/>
        </w:rPr>
        <w:t xml:space="preserve">The central argument of this article is that eliciting civil society participation through the policy process risks </w:t>
      </w:r>
      <w:r w:rsidR="00133896">
        <w:rPr>
          <w:rFonts w:ascii="Times" w:hAnsi="Times"/>
          <w:i/>
          <w:iCs/>
        </w:rPr>
        <w:t>either undermining the</w:t>
      </w:r>
      <w:r w:rsidR="00C9366E" w:rsidRPr="00A85113">
        <w:rPr>
          <w:rFonts w:ascii="Times" w:hAnsi="Times"/>
          <w:i/>
          <w:iCs/>
        </w:rPr>
        <w:t xml:space="preserve"> technocratic </w:t>
      </w:r>
      <w:r w:rsidR="00133896">
        <w:rPr>
          <w:rFonts w:ascii="Times" w:hAnsi="Times"/>
          <w:i/>
          <w:iCs/>
        </w:rPr>
        <w:t xml:space="preserve">credentials of administrative </w:t>
      </w:r>
      <w:r w:rsidR="00C9366E" w:rsidRPr="00A85113">
        <w:rPr>
          <w:rFonts w:ascii="Times" w:hAnsi="Times"/>
          <w:i/>
          <w:iCs/>
        </w:rPr>
        <w:t>bodies</w:t>
      </w:r>
      <w:r w:rsidR="00133896">
        <w:rPr>
          <w:rFonts w:ascii="Times" w:hAnsi="Times"/>
          <w:i/>
          <w:iCs/>
        </w:rPr>
        <w:t xml:space="preserve"> or further embedding democratic disaffection</w:t>
      </w:r>
      <w:r w:rsidR="00C9366E" w:rsidRPr="00A85113">
        <w:rPr>
          <w:rFonts w:ascii="Times" w:hAnsi="Times"/>
          <w:i/>
          <w:iCs/>
        </w:rPr>
        <w:t>, and that mitigating these risks requires intensive stakeholder management behind-the-scenes. The paradox is that ‘opening up’ the black box of technocratic governance may hinge on the creation of ‘closed down’, informal spaces of policymaking.</w:t>
      </w:r>
      <w:r w:rsidR="00C9366E" w:rsidRPr="00A85113">
        <w:rPr>
          <w:rFonts w:ascii="Times" w:hAnsi="Times"/>
        </w:rPr>
        <w:t xml:space="preserve">  </w:t>
      </w:r>
    </w:p>
    <w:p w14:paraId="6D083FB1" w14:textId="77777777" w:rsidR="00C9366E" w:rsidRPr="00B10073" w:rsidRDefault="00C9366E" w:rsidP="00172513">
      <w:pPr>
        <w:spacing w:line="360" w:lineRule="auto"/>
        <w:jc w:val="both"/>
        <w:rPr>
          <w:rFonts w:asciiTheme="majorBidi" w:hAnsiTheme="majorBidi" w:cstheme="majorBidi"/>
          <w:lang w:val="en-GB"/>
        </w:rPr>
      </w:pPr>
    </w:p>
    <w:p w14:paraId="57F8AA6F" w14:textId="33F758A3" w:rsidR="00C9366E" w:rsidRDefault="00C9366E" w:rsidP="00172513">
      <w:pPr>
        <w:spacing w:line="360" w:lineRule="auto"/>
        <w:jc w:val="both"/>
        <w:rPr>
          <w:rFonts w:asciiTheme="majorBidi" w:hAnsiTheme="majorBidi" w:cstheme="majorBidi"/>
          <w:lang w:val="en-GB"/>
        </w:rPr>
      </w:pPr>
      <w:r w:rsidRPr="00B10073">
        <w:rPr>
          <w:rFonts w:asciiTheme="majorBidi" w:hAnsiTheme="majorBidi" w:cstheme="majorBidi"/>
          <w:lang w:val="en-GB"/>
        </w:rPr>
        <w:t xml:space="preserve">This paper </w:t>
      </w:r>
      <w:r>
        <w:rPr>
          <w:rFonts w:asciiTheme="majorBidi" w:hAnsiTheme="majorBidi" w:cstheme="majorBidi"/>
          <w:lang w:val="en-GB"/>
        </w:rPr>
        <w:t>spells out</w:t>
      </w:r>
      <w:r w:rsidRPr="00B10073">
        <w:rPr>
          <w:rFonts w:asciiTheme="majorBidi" w:hAnsiTheme="majorBidi" w:cstheme="majorBidi"/>
          <w:lang w:val="en-GB"/>
        </w:rPr>
        <w:t xml:space="preserve"> this argument over three sections. The first outlines the legitimacy crisis facing </w:t>
      </w:r>
      <w:r>
        <w:rPr>
          <w:rFonts w:asciiTheme="majorBidi" w:hAnsiTheme="majorBidi" w:cstheme="majorBidi"/>
          <w:lang w:val="en-GB"/>
        </w:rPr>
        <w:t xml:space="preserve">technocratic bodies at national and EU levels, and highlights the role of throughput legitimacy in addressing it. </w:t>
      </w:r>
      <w:r w:rsidRPr="00B10073">
        <w:rPr>
          <w:rFonts w:asciiTheme="majorBidi" w:hAnsiTheme="majorBidi" w:cstheme="majorBidi"/>
          <w:lang w:val="en-GB"/>
        </w:rPr>
        <w:t xml:space="preserve">The second section presents the </w:t>
      </w:r>
      <w:r w:rsidRPr="00B10073">
        <w:rPr>
          <w:rFonts w:asciiTheme="majorBidi" w:hAnsiTheme="majorBidi" w:cstheme="majorBidi"/>
          <w:lang w:val="en-GB"/>
        </w:rPr>
        <w:lastRenderedPageBreak/>
        <w:t xml:space="preserve">comparison between participatory </w:t>
      </w:r>
      <w:r>
        <w:rPr>
          <w:rFonts w:asciiTheme="majorBidi" w:hAnsiTheme="majorBidi" w:cstheme="majorBidi"/>
          <w:lang w:val="en-GB"/>
        </w:rPr>
        <w:t xml:space="preserve">practices </w:t>
      </w:r>
      <w:r w:rsidRPr="00B10073">
        <w:rPr>
          <w:rFonts w:asciiTheme="majorBidi" w:hAnsiTheme="majorBidi" w:cstheme="majorBidi"/>
          <w:lang w:val="en-GB"/>
        </w:rPr>
        <w:t xml:space="preserve">in the European Commission’s approach to children’s rights and </w:t>
      </w:r>
      <w:r>
        <w:rPr>
          <w:rFonts w:asciiTheme="majorBidi" w:hAnsiTheme="majorBidi" w:cstheme="majorBidi"/>
          <w:lang w:val="en-GB"/>
        </w:rPr>
        <w:t>similar</w:t>
      </w:r>
      <w:r w:rsidRPr="00B10073">
        <w:rPr>
          <w:rFonts w:asciiTheme="majorBidi" w:hAnsiTheme="majorBidi" w:cstheme="majorBidi"/>
          <w:lang w:val="en-GB"/>
        </w:rPr>
        <w:t xml:space="preserve"> developments in the newly formed NHS England. The third section draws lessons from this comparison. It identifies the common ‘dilemmas’ facing </w:t>
      </w:r>
      <w:r>
        <w:rPr>
          <w:rFonts w:asciiTheme="majorBidi" w:hAnsiTheme="majorBidi" w:cstheme="majorBidi"/>
          <w:lang w:val="en-GB"/>
        </w:rPr>
        <w:t>technocratic bodies as they elicit participation in the policymaking process</w:t>
      </w:r>
      <w:r w:rsidRPr="00B10073">
        <w:rPr>
          <w:rFonts w:asciiTheme="majorBidi" w:hAnsiTheme="majorBidi" w:cstheme="majorBidi"/>
          <w:lang w:val="en-GB"/>
        </w:rPr>
        <w:t xml:space="preserve">, and highlights the </w:t>
      </w:r>
      <w:r>
        <w:rPr>
          <w:rFonts w:asciiTheme="majorBidi" w:hAnsiTheme="majorBidi" w:cstheme="majorBidi"/>
          <w:lang w:val="en-GB"/>
        </w:rPr>
        <w:t>challenges different approaches present to these bodies</w:t>
      </w:r>
      <w:r w:rsidRPr="00B10073">
        <w:rPr>
          <w:rFonts w:asciiTheme="majorBidi" w:hAnsiTheme="majorBidi" w:cstheme="majorBidi"/>
          <w:lang w:val="en-GB"/>
        </w:rPr>
        <w:t xml:space="preserve">. In the conclusion, we draw lessons from this comparison to inform ideas about the pursuit of </w:t>
      </w:r>
      <w:r>
        <w:rPr>
          <w:rFonts w:asciiTheme="majorBidi" w:hAnsiTheme="majorBidi" w:cstheme="majorBidi"/>
          <w:lang w:val="en-GB"/>
        </w:rPr>
        <w:t>throughput legitimacy</w:t>
      </w:r>
      <w:r w:rsidRPr="00B10073">
        <w:rPr>
          <w:rFonts w:asciiTheme="majorBidi" w:hAnsiTheme="majorBidi" w:cstheme="majorBidi"/>
          <w:lang w:val="en-GB"/>
        </w:rPr>
        <w:t xml:space="preserve"> </w:t>
      </w:r>
      <w:r>
        <w:rPr>
          <w:rFonts w:asciiTheme="majorBidi" w:hAnsiTheme="majorBidi" w:cstheme="majorBidi"/>
          <w:lang w:val="en-GB"/>
        </w:rPr>
        <w:t>more broadly</w:t>
      </w:r>
      <w:r w:rsidRPr="00B10073">
        <w:rPr>
          <w:rFonts w:asciiTheme="majorBidi" w:hAnsiTheme="majorBidi" w:cstheme="majorBidi"/>
          <w:lang w:val="en-GB"/>
        </w:rPr>
        <w:t>.</w:t>
      </w:r>
    </w:p>
    <w:p w14:paraId="26E4BFE5" w14:textId="77777777" w:rsidR="00C9366E" w:rsidRDefault="00C9366E" w:rsidP="00172513">
      <w:pPr>
        <w:spacing w:line="360" w:lineRule="auto"/>
        <w:jc w:val="both"/>
        <w:rPr>
          <w:rFonts w:asciiTheme="majorBidi" w:hAnsiTheme="majorBidi" w:cstheme="majorBidi"/>
          <w:b/>
          <w:lang w:val="en-GB"/>
        </w:rPr>
      </w:pPr>
    </w:p>
    <w:p w14:paraId="53661AB3" w14:textId="77777777" w:rsidR="00054F7E" w:rsidRPr="00B10073" w:rsidRDefault="00054F7E" w:rsidP="00172513">
      <w:pPr>
        <w:spacing w:line="360" w:lineRule="auto"/>
        <w:jc w:val="both"/>
        <w:rPr>
          <w:rFonts w:asciiTheme="majorBidi" w:hAnsiTheme="majorBidi" w:cstheme="majorBidi"/>
          <w:b/>
          <w:lang w:val="en-GB"/>
        </w:rPr>
      </w:pPr>
    </w:p>
    <w:p w14:paraId="30A26A37" w14:textId="5EB68D1D" w:rsidR="00C9366E" w:rsidRPr="00B10073" w:rsidRDefault="00C9366E" w:rsidP="00172513">
      <w:pPr>
        <w:spacing w:line="360" w:lineRule="auto"/>
        <w:jc w:val="both"/>
        <w:rPr>
          <w:rFonts w:asciiTheme="majorBidi" w:hAnsiTheme="majorBidi" w:cstheme="majorBidi"/>
          <w:b/>
          <w:lang w:val="en-GB"/>
        </w:rPr>
      </w:pPr>
      <w:r w:rsidRPr="00B10073">
        <w:rPr>
          <w:rFonts w:asciiTheme="majorBidi" w:hAnsiTheme="majorBidi" w:cstheme="majorBidi"/>
          <w:b/>
          <w:lang w:val="en-GB"/>
        </w:rPr>
        <w:t xml:space="preserve">1. </w:t>
      </w:r>
      <w:r>
        <w:rPr>
          <w:rFonts w:asciiTheme="majorBidi" w:hAnsiTheme="majorBidi" w:cstheme="majorBidi"/>
          <w:b/>
          <w:lang w:val="en-GB"/>
        </w:rPr>
        <w:t>Technocratic bodies</w:t>
      </w:r>
      <w:r w:rsidRPr="00B10073">
        <w:rPr>
          <w:rFonts w:asciiTheme="majorBidi" w:hAnsiTheme="majorBidi" w:cstheme="majorBidi"/>
          <w:b/>
          <w:lang w:val="en-GB"/>
        </w:rPr>
        <w:t xml:space="preserve"> and democratic legitimacy</w:t>
      </w:r>
    </w:p>
    <w:p w14:paraId="106A80D6" w14:textId="77777777" w:rsidR="00C9366E" w:rsidRPr="00B10073" w:rsidRDefault="00C9366E" w:rsidP="00172513">
      <w:pPr>
        <w:spacing w:line="360" w:lineRule="auto"/>
        <w:jc w:val="both"/>
        <w:rPr>
          <w:rFonts w:asciiTheme="majorBidi" w:hAnsiTheme="majorBidi" w:cstheme="majorBidi"/>
          <w:b/>
          <w:lang w:val="en-GB"/>
        </w:rPr>
      </w:pPr>
    </w:p>
    <w:p w14:paraId="1C0DD959" w14:textId="255AA0BC" w:rsidR="00C9366E" w:rsidRDefault="00C9366E" w:rsidP="00A16DDA">
      <w:pPr>
        <w:spacing w:line="360" w:lineRule="auto"/>
        <w:jc w:val="both"/>
        <w:rPr>
          <w:rFonts w:asciiTheme="majorBidi" w:hAnsiTheme="majorBidi" w:cstheme="majorBidi"/>
          <w:bCs/>
          <w:lang w:val="en-GB"/>
        </w:rPr>
      </w:pPr>
      <w:r w:rsidRPr="00B10073">
        <w:rPr>
          <w:rFonts w:asciiTheme="majorBidi" w:hAnsiTheme="majorBidi" w:cstheme="majorBidi"/>
          <w:bCs/>
          <w:lang w:val="en-GB"/>
        </w:rPr>
        <w:t>The relationship between bureaucracies, democratic institutions and citizens has been widely researched (Brehm</w:t>
      </w:r>
      <w:r w:rsidR="00DA1747">
        <w:rPr>
          <w:rFonts w:asciiTheme="majorBidi" w:hAnsiTheme="majorBidi" w:cstheme="majorBidi"/>
          <w:bCs/>
          <w:lang w:val="en-GB"/>
        </w:rPr>
        <w:t xml:space="preserve"> and Gates 1999;</w:t>
      </w:r>
      <w:r w:rsidRPr="00B10073">
        <w:rPr>
          <w:rFonts w:asciiTheme="majorBidi" w:hAnsiTheme="majorBidi" w:cstheme="majorBidi"/>
          <w:bCs/>
          <w:lang w:val="en-GB"/>
        </w:rPr>
        <w:t xml:space="preserve"> Peters 2010), with most scholarship painting an antithetical, yet complementary, relationship between </w:t>
      </w:r>
      <w:r>
        <w:rPr>
          <w:rFonts w:asciiTheme="majorBidi" w:hAnsiTheme="majorBidi" w:cstheme="majorBidi"/>
          <w:bCs/>
          <w:lang w:val="en-GB"/>
        </w:rPr>
        <w:t>bureaucratic technocracy</w:t>
      </w:r>
      <w:r w:rsidRPr="00B10073">
        <w:rPr>
          <w:rFonts w:asciiTheme="majorBidi" w:hAnsiTheme="majorBidi" w:cstheme="majorBidi"/>
          <w:bCs/>
          <w:lang w:val="en-GB"/>
        </w:rPr>
        <w:t xml:space="preserve"> and democratic participation. The key reason for this is that majoritarian institutions derive their legitimacy from the electoral process, which is generally described as ‘input-oriented’ democracy, non-majoritarian institutions</w:t>
      </w:r>
      <w:r>
        <w:rPr>
          <w:rStyle w:val="EndnoteReference"/>
          <w:rFonts w:asciiTheme="majorBidi" w:hAnsiTheme="majorBidi" w:cstheme="majorBidi"/>
          <w:bCs/>
          <w:lang w:val="en-GB"/>
        </w:rPr>
        <w:endnoteReference w:id="4"/>
      </w:r>
      <w:r w:rsidR="00685E65">
        <w:rPr>
          <w:rFonts w:asciiTheme="majorBidi" w:hAnsiTheme="majorBidi" w:cstheme="majorBidi"/>
          <w:bCs/>
          <w:lang w:val="en-GB"/>
        </w:rPr>
        <w:t xml:space="preserve"> </w:t>
      </w:r>
      <w:r w:rsidRPr="00B10073">
        <w:rPr>
          <w:rFonts w:asciiTheme="majorBidi" w:hAnsiTheme="majorBidi" w:cstheme="majorBidi"/>
          <w:bCs/>
          <w:lang w:val="en-GB"/>
        </w:rPr>
        <w:t>derive their legitimacy from their problem-solving capacity, namely ‘output</w:t>
      </w:r>
      <w:r>
        <w:rPr>
          <w:rFonts w:asciiTheme="majorBidi" w:hAnsiTheme="majorBidi" w:cstheme="majorBidi"/>
          <w:bCs/>
          <w:lang w:val="en-GB"/>
        </w:rPr>
        <w:t>-</w:t>
      </w:r>
      <w:r w:rsidRPr="00B10073">
        <w:rPr>
          <w:rFonts w:asciiTheme="majorBidi" w:hAnsiTheme="majorBidi" w:cstheme="majorBidi"/>
          <w:bCs/>
          <w:lang w:val="en-GB"/>
        </w:rPr>
        <w:t xml:space="preserve">oriented’ democracy. </w:t>
      </w:r>
    </w:p>
    <w:p w14:paraId="4769FD22" w14:textId="77777777" w:rsidR="0001324C" w:rsidRPr="00B10073" w:rsidRDefault="0001324C" w:rsidP="0001324C">
      <w:pPr>
        <w:spacing w:line="360" w:lineRule="auto"/>
        <w:jc w:val="both"/>
        <w:rPr>
          <w:rFonts w:asciiTheme="majorBidi" w:hAnsiTheme="majorBidi" w:cstheme="majorBidi"/>
          <w:bCs/>
          <w:lang w:val="en-GB"/>
        </w:rPr>
      </w:pPr>
    </w:p>
    <w:p w14:paraId="3277D583" w14:textId="6C18D8A1" w:rsidR="00C9366E" w:rsidRPr="00A16DDA" w:rsidRDefault="00C9366E" w:rsidP="00A16DDA">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This is a debate that has long played out in relation </w:t>
      </w:r>
      <w:r>
        <w:rPr>
          <w:rFonts w:asciiTheme="majorBidi" w:hAnsiTheme="majorBidi" w:cstheme="majorBidi"/>
          <w:bCs/>
          <w:lang w:val="en-GB"/>
        </w:rPr>
        <w:t xml:space="preserve">to EU processes (Scharpf </w:t>
      </w:r>
      <w:r w:rsidRPr="00B10073">
        <w:rPr>
          <w:rFonts w:asciiTheme="majorBidi" w:hAnsiTheme="majorBidi" w:cstheme="majorBidi"/>
          <w:bCs/>
          <w:lang w:val="en-GB"/>
        </w:rPr>
        <w:t>1999) and their legitimacy credentia</w:t>
      </w:r>
      <w:r>
        <w:rPr>
          <w:rFonts w:asciiTheme="majorBidi" w:hAnsiTheme="majorBidi" w:cstheme="majorBidi"/>
          <w:bCs/>
          <w:lang w:val="en-GB"/>
        </w:rPr>
        <w:t>ls. According to Scharpf (1997: 18</w:t>
      </w:r>
      <w:r w:rsidRPr="00B10073">
        <w:rPr>
          <w:rFonts w:asciiTheme="majorBidi" w:hAnsiTheme="majorBidi" w:cstheme="majorBidi"/>
          <w:bCs/>
          <w:lang w:val="en-GB"/>
        </w:rPr>
        <w:t xml:space="preserve">-21) both input legitimacy, qua citizen </w:t>
      </w:r>
      <w:r>
        <w:rPr>
          <w:rFonts w:asciiTheme="majorBidi" w:hAnsiTheme="majorBidi" w:cstheme="majorBidi"/>
          <w:bCs/>
          <w:lang w:val="en-GB"/>
        </w:rPr>
        <w:t>voting</w:t>
      </w:r>
      <w:r w:rsidRPr="00B10073">
        <w:rPr>
          <w:rFonts w:asciiTheme="majorBidi" w:hAnsiTheme="majorBidi" w:cstheme="majorBidi"/>
          <w:bCs/>
          <w:lang w:val="en-GB"/>
        </w:rPr>
        <w:t xml:space="preserve"> in EU elections, and output legitimacy, qua effective problem-solving, are important for the EU</w:t>
      </w:r>
      <w:r>
        <w:rPr>
          <w:rFonts w:asciiTheme="majorBidi" w:hAnsiTheme="majorBidi" w:cstheme="majorBidi"/>
          <w:bCs/>
          <w:lang w:val="en-GB"/>
        </w:rPr>
        <w:t xml:space="preserve">. However, some have argued that the </w:t>
      </w:r>
      <w:r w:rsidRPr="00B10073">
        <w:rPr>
          <w:rFonts w:asciiTheme="majorBidi" w:hAnsiTheme="majorBidi" w:cstheme="majorBidi"/>
          <w:bCs/>
          <w:lang w:val="en-GB"/>
        </w:rPr>
        <w:t>output dimension of legitimacy, due to the nature of the European polity, should prevail at the EU level</w:t>
      </w:r>
      <w:r>
        <w:rPr>
          <w:rFonts w:asciiTheme="majorBidi" w:hAnsiTheme="majorBidi" w:cstheme="majorBidi"/>
          <w:bCs/>
          <w:lang w:val="en-GB"/>
        </w:rPr>
        <w:t xml:space="preserve">. Most famously, Majone (1999) makes the case that </w:t>
      </w:r>
      <w:r w:rsidRPr="00B10073">
        <w:rPr>
          <w:rFonts w:asciiTheme="majorBidi" w:hAnsiTheme="majorBidi" w:cstheme="majorBidi"/>
          <w:bCs/>
          <w:lang w:val="en-GB"/>
        </w:rPr>
        <w:t>the EU can acquire legitimacy via policy-related performance, which constitutes the central objective of its non-majoritarian institutions</w:t>
      </w:r>
      <w:r w:rsidRPr="00B10073">
        <w:rPr>
          <w:rFonts w:asciiTheme="majorBidi" w:hAnsiTheme="majorBidi" w:cstheme="majorBidi"/>
          <w:bCs/>
          <w:iCs/>
          <w:lang w:val="en-GB"/>
        </w:rPr>
        <w:t xml:space="preserve">, such the European Commission. </w:t>
      </w:r>
      <w:r>
        <w:rPr>
          <w:rFonts w:asciiTheme="majorBidi" w:hAnsiTheme="majorBidi" w:cstheme="majorBidi"/>
          <w:bCs/>
          <w:lang w:val="en-GB"/>
        </w:rPr>
        <w:t xml:space="preserve">More recently, scholars like Vivien Schmidt (2013) have highlighted the importance </w:t>
      </w:r>
      <w:r w:rsidRPr="00B10073">
        <w:rPr>
          <w:rFonts w:asciiTheme="majorBidi" w:hAnsiTheme="majorBidi" w:cstheme="majorBidi"/>
          <w:bCs/>
          <w:lang w:val="en-GB"/>
        </w:rPr>
        <w:t>o</w:t>
      </w:r>
      <w:r>
        <w:rPr>
          <w:rFonts w:asciiTheme="majorBidi" w:hAnsiTheme="majorBidi" w:cstheme="majorBidi"/>
          <w:bCs/>
          <w:lang w:val="en-GB"/>
        </w:rPr>
        <w:t>f</w:t>
      </w:r>
      <w:r w:rsidR="0001324C">
        <w:rPr>
          <w:rFonts w:asciiTheme="majorBidi" w:hAnsiTheme="majorBidi" w:cstheme="majorBidi"/>
          <w:bCs/>
          <w:lang w:val="en-GB"/>
        </w:rPr>
        <w:t xml:space="preserve"> ‘</w:t>
      </w:r>
      <w:r w:rsidR="0001324C" w:rsidRPr="00052538">
        <w:rPr>
          <w:rFonts w:asciiTheme="majorBidi" w:hAnsiTheme="majorBidi" w:cstheme="majorBidi"/>
          <w:bCs/>
          <w:i/>
          <w:lang w:val="en-GB"/>
        </w:rPr>
        <w:t>throughput’ legitimacy</w:t>
      </w:r>
      <w:r w:rsidR="0001324C">
        <w:rPr>
          <w:rFonts w:asciiTheme="majorBidi" w:hAnsiTheme="majorBidi" w:cstheme="majorBidi"/>
          <w:bCs/>
          <w:lang w:val="en-GB"/>
        </w:rPr>
        <w:t xml:space="preserve"> </w:t>
      </w:r>
      <w:r w:rsidRPr="00B10073">
        <w:rPr>
          <w:rFonts w:asciiTheme="majorBidi" w:hAnsiTheme="majorBidi" w:cstheme="majorBidi"/>
          <w:bCs/>
          <w:lang w:val="en-GB"/>
        </w:rPr>
        <w:t xml:space="preserve">rather than the input-output legitimacy distinction. By </w:t>
      </w:r>
      <w:r>
        <w:rPr>
          <w:rFonts w:asciiTheme="majorBidi" w:hAnsiTheme="majorBidi" w:cstheme="majorBidi"/>
          <w:bCs/>
          <w:lang w:val="en-GB"/>
        </w:rPr>
        <w:t xml:space="preserve">focusing on </w:t>
      </w:r>
      <w:r w:rsidRPr="00B10073">
        <w:rPr>
          <w:rFonts w:asciiTheme="majorBidi" w:hAnsiTheme="majorBidi" w:cstheme="majorBidi"/>
          <w:bCs/>
          <w:lang w:val="en-GB"/>
        </w:rPr>
        <w:t>the quality of governance processes, ‘throughput’ legitimacy captures what occurs inside the ‘black box’ of EU governance</w:t>
      </w:r>
      <w:r w:rsidR="00685E65">
        <w:rPr>
          <w:rFonts w:asciiTheme="majorBidi" w:hAnsiTheme="majorBidi" w:cstheme="majorBidi"/>
          <w:bCs/>
          <w:lang w:val="en-GB"/>
        </w:rPr>
        <w:t>.</w:t>
      </w:r>
      <w:r w:rsidRPr="00B10073">
        <w:rPr>
          <w:rFonts w:asciiTheme="majorBidi" w:hAnsiTheme="majorBidi" w:cstheme="majorBidi"/>
          <w:bCs/>
          <w:lang w:val="en-GB"/>
        </w:rPr>
        <w:t xml:space="preserve"> </w:t>
      </w:r>
      <w:r w:rsidR="00685E65">
        <w:rPr>
          <w:rFonts w:asciiTheme="majorBidi" w:hAnsiTheme="majorBidi" w:cstheme="majorBidi"/>
          <w:bCs/>
          <w:lang w:val="en-GB"/>
        </w:rPr>
        <w:t>I</w:t>
      </w:r>
      <w:r>
        <w:rPr>
          <w:rFonts w:asciiTheme="majorBidi" w:hAnsiTheme="majorBidi" w:cstheme="majorBidi"/>
          <w:bCs/>
          <w:lang w:val="en-GB"/>
        </w:rPr>
        <w:t xml:space="preserve">ts key dimensions include </w:t>
      </w:r>
      <w:r w:rsidRPr="00B10073">
        <w:rPr>
          <w:rFonts w:asciiTheme="majorBidi" w:hAnsiTheme="majorBidi" w:cstheme="majorBidi"/>
          <w:bCs/>
          <w:lang w:val="en-GB"/>
        </w:rPr>
        <w:t xml:space="preserve">the </w:t>
      </w:r>
      <w:r w:rsidRPr="00B10073">
        <w:rPr>
          <w:rFonts w:asciiTheme="majorBidi" w:hAnsiTheme="majorBidi" w:cstheme="majorBidi"/>
          <w:bCs/>
          <w:iCs/>
          <w:lang w:val="en"/>
        </w:rPr>
        <w:t xml:space="preserve">efficacy, accountability, transparency, inclusiveness and openness of EU governance </w:t>
      </w:r>
      <w:r>
        <w:rPr>
          <w:rFonts w:asciiTheme="majorBidi" w:hAnsiTheme="majorBidi" w:cstheme="majorBidi"/>
          <w:bCs/>
          <w:iCs/>
          <w:lang w:val="en"/>
        </w:rPr>
        <w:t xml:space="preserve">to civil society (Schmidt 2013: </w:t>
      </w:r>
      <w:r w:rsidRPr="00B10073">
        <w:rPr>
          <w:rFonts w:asciiTheme="majorBidi" w:hAnsiTheme="majorBidi" w:cstheme="majorBidi"/>
          <w:bCs/>
          <w:iCs/>
          <w:lang w:val="en"/>
        </w:rPr>
        <w:t xml:space="preserve">4-5). </w:t>
      </w:r>
      <w:r w:rsidRPr="00BE3D64">
        <w:rPr>
          <w:rFonts w:asciiTheme="majorBidi" w:hAnsiTheme="majorBidi" w:cstheme="majorBidi"/>
          <w:bCs/>
          <w:iCs/>
          <w:lang w:val="en-GB"/>
        </w:rPr>
        <w:t xml:space="preserve">The quality of the process and procedures that underpin </w:t>
      </w:r>
      <w:r w:rsidR="00685E65">
        <w:rPr>
          <w:rFonts w:asciiTheme="majorBidi" w:hAnsiTheme="majorBidi" w:cstheme="majorBidi"/>
          <w:bCs/>
          <w:iCs/>
          <w:lang w:val="en-GB"/>
        </w:rPr>
        <w:t xml:space="preserve">the </w:t>
      </w:r>
      <w:r w:rsidRPr="00BE3D64">
        <w:rPr>
          <w:rFonts w:asciiTheme="majorBidi" w:hAnsiTheme="majorBidi" w:cstheme="majorBidi"/>
          <w:bCs/>
          <w:iCs/>
          <w:lang w:val="en-GB"/>
        </w:rPr>
        <w:t>Commission</w:t>
      </w:r>
      <w:r w:rsidR="00685E65">
        <w:rPr>
          <w:rFonts w:asciiTheme="majorBidi" w:hAnsiTheme="majorBidi" w:cstheme="majorBidi"/>
          <w:bCs/>
          <w:iCs/>
          <w:lang w:val="en-GB"/>
        </w:rPr>
        <w:t>’s</w:t>
      </w:r>
      <w:r w:rsidRPr="00BE3D64">
        <w:rPr>
          <w:rFonts w:asciiTheme="majorBidi" w:hAnsiTheme="majorBidi" w:cstheme="majorBidi"/>
          <w:bCs/>
          <w:iCs/>
          <w:lang w:val="en-GB"/>
        </w:rPr>
        <w:t xml:space="preserve"> role in various policy sectors can elicit or undermine </w:t>
      </w:r>
      <w:r w:rsidR="00685E65">
        <w:rPr>
          <w:rFonts w:asciiTheme="majorBidi" w:hAnsiTheme="majorBidi" w:cstheme="majorBidi"/>
          <w:bCs/>
          <w:iCs/>
          <w:lang w:val="en-GB"/>
        </w:rPr>
        <w:t>its</w:t>
      </w:r>
      <w:r w:rsidR="00685E65" w:rsidRPr="00BE3D64">
        <w:rPr>
          <w:rFonts w:asciiTheme="majorBidi" w:hAnsiTheme="majorBidi" w:cstheme="majorBidi"/>
          <w:bCs/>
          <w:iCs/>
          <w:lang w:val="en-GB"/>
        </w:rPr>
        <w:t xml:space="preserve"> </w:t>
      </w:r>
      <w:r>
        <w:rPr>
          <w:rFonts w:asciiTheme="majorBidi" w:hAnsiTheme="majorBidi" w:cstheme="majorBidi"/>
          <w:bCs/>
          <w:iCs/>
          <w:lang w:val="en-GB"/>
        </w:rPr>
        <w:lastRenderedPageBreak/>
        <w:t xml:space="preserve">‘throughput’ </w:t>
      </w:r>
      <w:r w:rsidRPr="00BE3D64">
        <w:rPr>
          <w:rFonts w:asciiTheme="majorBidi" w:hAnsiTheme="majorBidi" w:cstheme="majorBidi"/>
          <w:bCs/>
          <w:iCs/>
          <w:lang w:val="en-GB"/>
        </w:rPr>
        <w:t>legitimacy</w:t>
      </w:r>
      <w:r>
        <w:rPr>
          <w:rFonts w:asciiTheme="majorBidi" w:hAnsiTheme="majorBidi" w:cstheme="majorBidi"/>
          <w:bCs/>
          <w:iCs/>
          <w:lang w:val="en-GB"/>
        </w:rPr>
        <w:t xml:space="preserve">. </w:t>
      </w:r>
      <w:r w:rsidRPr="00B10073">
        <w:rPr>
          <w:rFonts w:asciiTheme="majorBidi" w:hAnsiTheme="majorBidi" w:cstheme="majorBidi"/>
          <w:bCs/>
          <w:iCs/>
          <w:lang w:val="en-GB"/>
        </w:rPr>
        <w:t xml:space="preserve">By being more open to processes of </w:t>
      </w:r>
      <w:r>
        <w:rPr>
          <w:rFonts w:asciiTheme="majorBidi" w:hAnsiTheme="majorBidi" w:cstheme="majorBidi"/>
          <w:bCs/>
          <w:iCs/>
          <w:lang w:val="en-GB"/>
        </w:rPr>
        <w:t xml:space="preserve">engagement </w:t>
      </w:r>
      <w:r w:rsidRPr="00B10073">
        <w:rPr>
          <w:rFonts w:asciiTheme="majorBidi" w:hAnsiTheme="majorBidi" w:cstheme="majorBidi"/>
          <w:bCs/>
          <w:iCs/>
          <w:lang w:val="en-GB"/>
        </w:rPr>
        <w:t>with civil society actors</w:t>
      </w:r>
      <w:r>
        <w:rPr>
          <w:rFonts w:asciiTheme="majorBidi" w:hAnsiTheme="majorBidi" w:cstheme="majorBidi"/>
          <w:bCs/>
          <w:iCs/>
          <w:lang w:val="en-GB"/>
        </w:rPr>
        <w:t xml:space="preserve">, </w:t>
      </w:r>
      <w:r w:rsidRPr="00B10073">
        <w:rPr>
          <w:rFonts w:asciiTheme="majorBidi" w:hAnsiTheme="majorBidi" w:cstheme="majorBidi"/>
          <w:bCs/>
          <w:iCs/>
          <w:lang w:val="en-GB"/>
        </w:rPr>
        <w:t xml:space="preserve">the Commission can </w:t>
      </w:r>
      <w:r>
        <w:rPr>
          <w:rFonts w:asciiTheme="majorBidi" w:hAnsiTheme="majorBidi" w:cstheme="majorBidi"/>
          <w:bCs/>
          <w:iCs/>
          <w:lang w:val="en-GB"/>
        </w:rPr>
        <w:t>acquire throughput legitimacy, which can lead to increased output legitimacy since specific policy processes are seen as preconditions for better output performance (Schmidt 2013:14)</w:t>
      </w:r>
      <w:r w:rsidRPr="00B10073">
        <w:rPr>
          <w:rFonts w:asciiTheme="majorBidi" w:hAnsiTheme="majorBidi" w:cstheme="majorBidi"/>
          <w:bCs/>
          <w:iCs/>
          <w:lang w:val="en-GB"/>
        </w:rPr>
        <w:t>.</w:t>
      </w:r>
      <w:r>
        <w:rPr>
          <w:rFonts w:asciiTheme="majorBidi" w:hAnsiTheme="majorBidi" w:cstheme="majorBidi"/>
          <w:bCs/>
          <w:iCs/>
          <w:lang w:val="en-GB"/>
        </w:rPr>
        <w:t xml:space="preserve"> </w:t>
      </w:r>
    </w:p>
    <w:p w14:paraId="7D4DA71F" w14:textId="77777777" w:rsidR="00B60E51" w:rsidRPr="00B10073" w:rsidRDefault="00B60E51" w:rsidP="00172513">
      <w:pPr>
        <w:spacing w:line="360" w:lineRule="auto"/>
        <w:jc w:val="both"/>
        <w:rPr>
          <w:rFonts w:asciiTheme="majorBidi" w:hAnsiTheme="majorBidi" w:cstheme="majorBidi"/>
          <w:bCs/>
          <w:iCs/>
          <w:lang w:val="en-GB"/>
        </w:rPr>
      </w:pPr>
    </w:p>
    <w:p w14:paraId="1F037B38" w14:textId="103B90D4" w:rsidR="00C9366E" w:rsidRPr="00B10073" w:rsidRDefault="00C9366E" w:rsidP="00685E65">
      <w:pPr>
        <w:spacing w:line="360" w:lineRule="auto"/>
        <w:jc w:val="both"/>
        <w:rPr>
          <w:rFonts w:asciiTheme="majorBidi" w:hAnsiTheme="majorBidi" w:cstheme="majorBidi"/>
          <w:bCs/>
          <w:iCs/>
          <w:lang w:val="en-GB"/>
        </w:rPr>
      </w:pPr>
      <w:r>
        <w:rPr>
          <w:rFonts w:asciiTheme="majorBidi" w:hAnsiTheme="majorBidi" w:cstheme="majorBidi"/>
          <w:bCs/>
          <w:iCs/>
          <w:lang w:val="en-GB"/>
        </w:rPr>
        <w:t>S</w:t>
      </w:r>
      <w:r w:rsidRPr="00B10073">
        <w:rPr>
          <w:rFonts w:asciiTheme="majorBidi" w:hAnsiTheme="majorBidi" w:cstheme="majorBidi"/>
          <w:bCs/>
          <w:iCs/>
          <w:lang w:val="en-GB"/>
        </w:rPr>
        <w:t>imilar concerns have emerged around the growth of arms-length governance at the national level, with</w:t>
      </w:r>
      <w:r>
        <w:rPr>
          <w:rFonts w:asciiTheme="majorBidi" w:hAnsiTheme="majorBidi" w:cstheme="majorBidi"/>
          <w:bCs/>
          <w:iCs/>
          <w:lang w:val="en-GB"/>
        </w:rPr>
        <w:t xml:space="preserve"> </w:t>
      </w:r>
      <w:r w:rsidRPr="00B10073">
        <w:rPr>
          <w:rFonts w:asciiTheme="majorBidi" w:hAnsiTheme="majorBidi" w:cstheme="majorBidi"/>
          <w:bCs/>
          <w:iCs/>
          <w:lang w:val="en-GB"/>
        </w:rPr>
        <w:t xml:space="preserve">agencies and other delegated bodies proliferating through national governments in Western Europe in the last decades. Their spread is often linked to New Public Management </w:t>
      </w:r>
      <w:r>
        <w:rPr>
          <w:rFonts w:asciiTheme="majorBidi" w:hAnsiTheme="majorBidi" w:cstheme="majorBidi"/>
          <w:bCs/>
          <w:iCs/>
          <w:lang w:val="en-GB"/>
        </w:rPr>
        <w:t xml:space="preserve">(NPM) </w:t>
      </w:r>
      <w:r w:rsidRPr="00B10073">
        <w:rPr>
          <w:rFonts w:asciiTheme="majorBidi" w:hAnsiTheme="majorBidi" w:cstheme="majorBidi"/>
          <w:bCs/>
          <w:iCs/>
          <w:lang w:val="en-GB"/>
        </w:rPr>
        <w:t>ideals and a focus on technocratic efficiency</w:t>
      </w:r>
      <w:r>
        <w:rPr>
          <w:rFonts w:asciiTheme="majorBidi" w:hAnsiTheme="majorBidi" w:cstheme="majorBidi"/>
          <w:bCs/>
          <w:iCs/>
          <w:lang w:val="en-GB"/>
        </w:rPr>
        <w:t xml:space="preserve"> (Dunleavy </w:t>
      </w:r>
      <w:r w:rsidRPr="00F844C1">
        <w:rPr>
          <w:rFonts w:asciiTheme="majorBidi" w:hAnsiTheme="majorBidi" w:cstheme="majorBidi"/>
          <w:bCs/>
          <w:i/>
          <w:lang w:val="en-GB"/>
        </w:rPr>
        <w:t>et al.</w:t>
      </w:r>
      <w:r>
        <w:rPr>
          <w:rFonts w:asciiTheme="majorBidi" w:hAnsiTheme="majorBidi" w:cstheme="majorBidi"/>
          <w:bCs/>
          <w:iCs/>
          <w:lang w:val="en-GB"/>
        </w:rPr>
        <w:t xml:space="preserve"> 2006</w:t>
      </w:r>
      <w:r w:rsidRPr="00B10073">
        <w:rPr>
          <w:rFonts w:asciiTheme="majorBidi" w:hAnsiTheme="majorBidi" w:cstheme="majorBidi"/>
          <w:bCs/>
          <w:iCs/>
          <w:lang w:val="en-GB"/>
        </w:rPr>
        <w:t xml:space="preserve">), though </w:t>
      </w:r>
      <w:r>
        <w:rPr>
          <w:rFonts w:asciiTheme="majorBidi" w:hAnsiTheme="majorBidi" w:cstheme="majorBidi"/>
          <w:bCs/>
          <w:iCs/>
          <w:lang w:val="en-GB"/>
        </w:rPr>
        <w:t xml:space="preserve">a </w:t>
      </w:r>
      <w:r w:rsidRPr="00B10073">
        <w:rPr>
          <w:rFonts w:asciiTheme="majorBidi" w:hAnsiTheme="majorBidi" w:cstheme="majorBidi"/>
          <w:bCs/>
          <w:iCs/>
          <w:lang w:val="en-GB"/>
        </w:rPr>
        <w:t>new orthodoxy sees the value as more multifaceted and enduring than this particular public management trend</w:t>
      </w:r>
      <w:r>
        <w:rPr>
          <w:rFonts w:asciiTheme="majorBidi" w:hAnsiTheme="majorBidi" w:cstheme="majorBidi"/>
          <w:bCs/>
          <w:iCs/>
          <w:lang w:val="en-GB"/>
        </w:rPr>
        <w:t xml:space="preserve"> (see Smullen 2010</w:t>
      </w:r>
      <w:r w:rsidRPr="00B10073">
        <w:rPr>
          <w:rFonts w:asciiTheme="majorBidi" w:hAnsiTheme="majorBidi" w:cstheme="majorBidi"/>
          <w:bCs/>
          <w:iCs/>
          <w:lang w:val="en-GB"/>
        </w:rPr>
        <w:t>). Regardless, the spread of agencies has seen a growing number of governance issues vested in the control of these technocratic bodies, at arms-length from elected government</w:t>
      </w:r>
      <w:r w:rsidR="00685E65">
        <w:rPr>
          <w:rFonts w:asciiTheme="majorBidi" w:hAnsiTheme="majorBidi" w:cstheme="majorBidi"/>
          <w:bCs/>
          <w:iCs/>
          <w:lang w:val="en-GB"/>
        </w:rPr>
        <w:t>s</w:t>
      </w:r>
      <w:r w:rsidR="00133896">
        <w:rPr>
          <w:rFonts w:asciiTheme="majorBidi" w:hAnsiTheme="majorBidi" w:cstheme="majorBidi"/>
          <w:bCs/>
          <w:iCs/>
          <w:lang w:val="en-GB"/>
        </w:rPr>
        <w:t xml:space="preserve"> (Egeberg</w:t>
      </w:r>
      <w:r w:rsidR="00096E67">
        <w:rPr>
          <w:rFonts w:asciiTheme="majorBidi" w:hAnsiTheme="majorBidi" w:cstheme="majorBidi"/>
          <w:bCs/>
          <w:iCs/>
          <w:lang w:val="en-GB"/>
        </w:rPr>
        <w:t xml:space="preserve"> and Trondal 2011</w:t>
      </w:r>
      <w:r w:rsidR="00133896">
        <w:rPr>
          <w:rFonts w:asciiTheme="majorBidi" w:hAnsiTheme="majorBidi" w:cstheme="majorBidi"/>
          <w:bCs/>
          <w:iCs/>
          <w:lang w:val="en-GB"/>
        </w:rPr>
        <w:t xml:space="preserve">; </w:t>
      </w:r>
      <w:r w:rsidR="00096E67">
        <w:rPr>
          <w:rFonts w:asciiTheme="majorBidi" w:hAnsiTheme="majorBidi" w:cstheme="majorBidi"/>
          <w:bCs/>
          <w:iCs/>
          <w:lang w:val="en-GB"/>
        </w:rPr>
        <w:t xml:space="preserve">Pollitt </w:t>
      </w:r>
      <w:r w:rsidR="00096E67" w:rsidRPr="00A16DDA">
        <w:rPr>
          <w:rFonts w:asciiTheme="majorBidi" w:hAnsiTheme="majorBidi" w:cstheme="majorBidi"/>
          <w:bCs/>
          <w:i/>
          <w:lang w:val="en-GB"/>
        </w:rPr>
        <w:t>et al</w:t>
      </w:r>
      <w:r w:rsidR="00096E67">
        <w:rPr>
          <w:rFonts w:asciiTheme="majorBidi" w:hAnsiTheme="majorBidi" w:cstheme="majorBidi"/>
          <w:bCs/>
          <w:iCs/>
          <w:lang w:val="en-GB"/>
        </w:rPr>
        <w:t>. 2004</w:t>
      </w:r>
      <w:r w:rsidR="00133896">
        <w:rPr>
          <w:rFonts w:asciiTheme="majorBidi" w:hAnsiTheme="majorBidi" w:cstheme="majorBidi"/>
          <w:bCs/>
          <w:iCs/>
          <w:lang w:val="en-GB"/>
        </w:rPr>
        <w:t>)</w:t>
      </w:r>
      <w:r w:rsidRPr="00B10073">
        <w:rPr>
          <w:rFonts w:asciiTheme="majorBidi" w:hAnsiTheme="majorBidi" w:cstheme="majorBidi"/>
          <w:bCs/>
          <w:iCs/>
          <w:lang w:val="en-GB"/>
        </w:rPr>
        <w:t>. One effect of this shift, as with the move to EU governance, has been a growing perception of wilful ‘depoliticisation’</w:t>
      </w:r>
      <w:r>
        <w:rPr>
          <w:rFonts w:asciiTheme="majorBidi" w:hAnsiTheme="majorBidi" w:cstheme="majorBidi"/>
          <w:bCs/>
          <w:iCs/>
          <w:lang w:val="en-GB"/>
        </w:rPr>
        <w:t>,</w:t>
      </w:r>
      <w:r w:rsidRPr="00B10073">
        <w:rPr>
          <w:rFonts w:asciiTheme="majorBidi" w:hAnsiTheme="majorBidi" w:cstheme="majorBidi"/>
          <w:bCs/>
          <w:iCs/>
          <w:lang w:val="en-GB"/>
        </w:rPr>
        <w:t xml:space="preserve"> and a questioning of their credentials</w:t>
      </w:r>
      <w:r>
        <w:rPr>
          <w:rFonts w:asciiTheme="majorBidi" w:hAnsiTheme="majorBidi" w:cstheme="majorBidi"/>
          <w:bCs/>
          <w:iCs/>
          <w:lang w:val="en-GB"/>
        </w:rPr>
        <w:t xml:space="preserve"> as legitimate aspects of democratic governance</w:t>
      </w:r>
      <w:r w:rsidRPr="00B10073">
        <w:rPr>
          <w:rFonts w:asciiTheme="majorBidi" w:hAnsiTheme="majorBidi" w:cstheme="majorBidi"/>
          <w:bCs/>
          <w:iCs/>
          <w:lang w:val="en-GB"/>
        </w:rPr>
        <w:t xml:space="preserve"> (Flinders </w:t>
      </w:r>
      <w:r>
        <w:rPr>
          <w:rFonts w:asciiTheme="majorBidi" w:hAnsiTheme="majorBidi" w:cstheme="majorBidi"/>
          <w:bCs/>
          <w:iCs/>
          <w:lang w:val="en-GB"/>
        </w:rPr>
        <w:t>2008</w:t>
      </w:r>
      <w:r w:rsidRPr="00B10073">
        <w:rPr>
          <w:rFonts w:asciiTheme="majorBidi" w:hAnsiTheme="majorBidi" w:cstheme="majorBidi"/>
          <w:bCs/>
          <w:iCs/>
          <w:lang w:val="en-GB"/>
        </w:rPr>
        <w:t xml:space="preserve">). </w:t>
      </w:r>
    </w:p>
    <w:p w14:paraId="1A32D22F" w14:textId="77777777" w:rsidR="00C9366E" w:rsidRPr="00B10073" w:rsidRDefault="00C9366E" w:rsidP="00172513">
      <w:pPr>
        <w:spacing w:line="360" w:lineRule="auto"/>
        <w:jc w:val="both"/>
        <w:rPr>
          <w:rFonts w:asciiTheme="majorBidi" w:hAnsiTheme="majorBidi" w:cstheme="majorBidi"/>
          <w:bCs/>
          <w:iCs/>
          <w:lang w:val="en-GB"/>
        </w:rPr>
      </w:pPr>
    </w:p>
    <w:p w14:paraId="3616B318" w14:textId="102A26DD" w:rsidR="00106556" w:rsidRDefault="00C9366E" w:rsidP="00685E65">
      <w:pPr>
        <w:spacing w:line="360" w:lineRule="auto"/>
        <w:jc w:val="both"/>
        <w:rPr>
          <w:rFonts w:asciiTheme="majorBidi" w:hAnsiTheme="majorBidi" w:cstheme="majorBidi"/>
          <w:bCs/>
          <w:iCs/>
          <w:lang w:val="en-GB"/>
        </w:rPr>
      </w:pPr>
      <w:r w:rsidRPr="00B10073">
        <w:rPr>
          <w:rFonts w:asciiTheme="majorBidi" w:hAnsiTheme="majorBidi" w:cstheme="majorBidi"/>
          <w:bCs/>
          <w:iCs/>
          <w:lang w:val="en-GB"/>
        </w:rPr>
        <w:t xml:space="preserve">Increasingly, in response to this perception, these bodies have sought out new ways of legitimating their authority. </w:t>
      </w:r>
      <w:r w:rsidR="00685E65">
        <w:rPr>
          <w:rFonts w:asciiTheme="majorBidi" w:hAnsiTheme="majorBidi" w:cstheme="majorBidi"/>
          <w:bCs/>
          <w:iCs/>
          <w:lang w:val="en-GB"/>
        </w:rPr>
        <w:t>O</w:t>
      </w:r>
      <w:r w:rsidRPr="00B10073">
        <w:rPr>
          <w:rFonts w:asciiTheme="majorBidi" w:hAnsiTheme="majorBidi" w:cstheme="majorBidi"/>
          <w:bCs/>
          <w:iCs/>
          <w:lang w:val="en-GB"/>
        </w:rPr>
        <w:t xml:space="preserve">f particular interest to us has been a broader move to secure better ‘throughput’ legitimacy, especially through participatory initiatives designed to include affected citizens </w:t>
      </w:r>
      <w:r>
        <w:rPr>
          <w:rFonts w:asciiTheme="majorBidi" w:hAnsiTheme="majorBidi" w:cstheme="majorBidi"/>
          <w:bCs/>
          <w:iCs/>
          <w:lang w:val="en-GB"/>
        </w:rPr>
        <w:t xml:space="preserve">and civil society actors </w:t>
      </w:r>
      <w:r w:rsidRPr="00B10073">
        <w:rPr>
          <w:rFonts w:asciiTheme="majorBidi" w:hAnsiTheme="majorBidi" w:cstheme="majorBidi"/>
          <w:bCs/>
          <w:iCs/>
          <w:lang w:val="en-GB"/>
        </w:rPr>
        <w:t xml:space="preserve">in the process of policy formulation. These </w:t>
      </w:r>
      <w:r>
        <w:rPr>
          <w:rFonts w:asciiTheme="majorBidi" w:hAnsiTheme="majorBidi" w:cstheme="majorBidi"/>
          <w:bCs/>
          <w:iCs/>
          <w:lang w:val="en-GB"/>
        </w:rPr>
        <w:t xml:space="preserve">participatory mechanisms, akin to our ‘throughput’ focus, </w:t>
      </w:r>
      <w:r w:rsidRPr="00B10073">
        <w:rPr>
          <w:rFonts w:asciiTheme="majorBidi" w:hAnsiTheme="majorBidi" w:cstheme="majorBidi"/>
          <w:bCs/>
          <w:iCs/>
          <w:lang w:val="en-GB"/>
        </w:rPr>
        <w:t xml:space="preserve">emphasise </w:t>
      </w:r>
      <w:r>
        <w:rPr>
          <w:rFonts w:asciiTheme="majorBidi" w:hAnsiTheme="majorBidi" w:cstheme="majorBidi"/>
          <w:bCs/>
          <w:iCs/>
          <w:lang w:val="en-GB"/>
        </w:rPr>
        <w:t xml:space="preserve">openness </w:t>
      </w:r>
      <w:r w:rsidRPr="00B10073">
        <w:rPr>
          <w:rFonts w:asciiTheme="majorBidi" w:hAnsiTheme="majorBidi" w:cstheme="majorBidi"/>
          <w:bCs/>
          <w:iCs/>
          <w:lang w:val="en-GB"/>
        </w:rPr>
        <w:t xml:space="preserve">and inclusiveness of the </w:t>
      </w:r>
      <w:r w:rsidRPr="00B10073">
        <w:rPr>
          <w:rFonts w:asciiTheme="majorBidi" w:hAnsiTheme="majorBidi" w:cstheme="majorBidi"/>
          <w:bCs/>
          <w:i/>
          <w:lang w:val="en-GB"/>
        </w:rPr>
        <w:t>process itself</w:t>
      </w:r>
      <w:r w:rsidRPr="00B10073">
        <w:rPr>
          <w:rFonts w:asciiTheme="majorBidi" w:hAnsiTheme="majorBidi" w:cstheme="majorBidi"/>
          <w:bCs/>
          <w:iCs/>
          <w:lang w:val="en-GB"/>
        </w:rPr>
        <w:t xml:space="preserve"> rather than focusing on the substantive outcome of that process (see</w:t>
      </w:r>
      <w:r>
        <w:rPr>
          <w:rFonts w:asciiTheme="majorBidi" w:hAnsiTheme="majorBidi" w:cstheme="majorBidi"/>
          <w:bCs/>
          <w:iCs/>
          <w:lang w:val="en-GB"/>
        </w:rPr>
        <w:t xml:space="preserve"> Nabatchi 2010</w:t>
      </w:r>
      <w:r w:rsidRPr="00B10073">
        <w:rPr>
          <w:rFonts w:asciiTheme="majorBidi" w:hAnsiTheme="majorBidi" w:cstheme="majorBidi"/>
          <w:bCs/>
          <w:iCs/>
          <w:lang w:val="en-GB"/>
        </w:rPr>
        <w:t>).</w:t>
      </w:r>
      <w:r>
        <w:rPr>
          <w:rFonts w:asciiTheme="majorBidi" w:hAnsiTheme="majorBidi" w:cstheme="majorBidi"/>
          <w:bCs/>
          <w:iCs/>
          <w:lang w:val="en-GB"/>
        </w:rPr>
        <w:t xml:space="preserve"> In practice, they tend to represent an attractive ‘quick fix’ by which to establish, and often entirely embody, the goods associated with throughput legitimacy. </w:t>
      </w:r>
    </w:p>
    <w:p w14:paraId="03DE9D86" w14:textId="77777777" w:rsidR="00F44494" w:rsidRDefault="00F44494" w:rsidP="00EB6F7F">
      <w:pPr>
        <w:spacing w:line="360" w:lineRule="auto"/>
        <w:jc w:val="both"/>
        <w:rPr>
          <w:rFonts w:asciiTheme="majorBidi" w:hAnsiTheme="majorBidi" w:cstheme="majorBidi"/>
          <w:bCs/>
          <w:iCs/>
          <w:lang w:val="en-GB"/>
        </w:rPr>
      </w:pPr>
    </w:p>
    <w:p w14:paraId="41C2B3AA" w14:textId="32AF9530" w:rsidR="00C9366E" w:rsidRPr="001B6C62" w:rsidRDefault="00685E65">
      <w:pPr>
        <w:spacing w:line="360" w:lineRule="auto"/>
        <w:jc w:val="both"/>
        <w:rPr>
          <w:rFonts w:asciiTheme="majorBidi" w:hAnsiTheme="majorBidi" w:cstheme="majorBidi"/>
          <w:lang w:val="en-GB"/>
        </w:rPr>
      </w:pPr>
      <w:r>
        <w:rPr>
          <w:rFonts w:asciiTheme="majorBidi" w:hAnsiTheme="majorBidi" w:cstheme="majorBidi"/>
          <w:bCs/>
          <w:iCs/>
          <w:lang w:val="en-GB"/>
        </w:rPr>
        <w:t xml:space="preserve">How successfully systems (national or supranational) elicit </w:t>
      </w:r>
      <w:r w:rsidRPr="00BE3D64">
        <w:rPr>
          <w:rFonts w:asciiTheme="majorBidi" w:hAnsiTheme="majorBidi" w:cstheme="majorBidi"/>
          <w:bCs/>
          <w:iCs/>
          <w:lang w:val="en-GB"/>
        </w:rPr>
        <w:t>throughput legitimacy</w:t>
      </w:r>
      <w:r>
        <w:rPr>
          <w:rFonts w:asciiTheme="majorBidi" w:hAnsiTheme="majorBidi" w:cstheme="majorBidi"/>
          <w:bCs/>
          <w:iCs/>
          <w:lang w:val="en-GB"/>
        </w:rPr>
        <w:t xml:space="preserve"> </w:t>
      </w:r>
      <w:r w:rsidRPr="00BE3D64">
        <w:rPr>
          <w:rFonts w:asciiTheme="majorBidi" w:hAnsiTheme="majorBidi" w:cstheme="majorBidi"/>
          <w:bCs/>
          <w:iCs/>
          <w:lang w:val="en-GB"/>
        </w:rPr>
        <w:t>remains largely under-researched empirically</w:t>
      </w:r>
      <w:r>
        <w:rPr>
          <w:rFonts w:asciiTheme="majorBidi" w:hAnsiTheme="majorBidi" w:cstheme="majorBidi"/>
          <w:bCs/>
          <w:iCs/>
          <w:lang w:val="en-GB"/>
        </w:rPr>
        <w:t xml:space="preserve"> (Schmidt 2013:5), and so far no comparative research has examined how participatory mechanisms at various levels of government generate throughput legitimacy</w:t>
      </w:r>
      <w:r w:rsidRPr="00BE3D64">
        <w:rPr>
          <w:rFonts w:asciiTheme="majorBidi" w:hAnsiTheme="majorBidi" w:cstheme="majorBidi"/>
          <w:bCs/>
          <w:iCs/>
          <w:lang w:val="en-GB"/>
        </w:rPr>
        <w:t>.</w:t>
      </w:r>
      <w:r>
        <w:rPr>
          <w:rFonts w:asciiTheme="majorBidi" w:hAnsiTheme="majorBidi" w:cstheme="majorBidi"/>
          <w:bCs/>
          <w:iCs/>
          <w:lang w:val="en-GB"/>
        </w:rPr>
        <w:t xml:space="preserve"> W</w:t>
      </w:r>
      <w:r w:rsidR="00C9366E">
        <w:rPr>
          <w:rFonts w:asciiTheme="majorBidi" w:hAnsiTheme="majorBidi" w:cstheme="majorBidi"/>
          <w:bCs/>
          <w:iCs/>
          <w:lang w:val="en-GB"/>
        </w:rPr>
        <w:t xml:space="preserve">e seek to shed </w:t>
      </w:r>
      <w:r>
        <w:rPr>
          <w:rFonts w:asciiTheme="majorBidi" w:hAnsiTheme="majorBidi" w:cstheme="majorBidi"/>
          <w:bCs/>
          <w:iCs/>
          <w:lang w:val="en-GB"/>
        </w:rPr>
        <w:t xml:space="preserve">such </w:t>
      </w:r>
      <w:r w:rsidR="00C9366E">
        <w:rPr>
          <w:rFonts w:asciiTheme="majorBidi" w:hAnsiTheme="majorBidi" w:cstheme="majorBidi"/>
          <w:bCs/>
          <w:iCs/>
          <w:lang w:val="en-GB"/>
        </w:rPr>
        <w:t xml:space="preserve">light </w:t>
      </w:r>
      <w:r>
        <w:rPr>
          <w:rFonts w:asciiTheme="majorBidi" w:hAnsiTheme="majorBidi" w:cstheme="majorBidi"/>
          <w:bCs/>
          <w:iCs/>
          <w:lang w:val="en-GB"/>
        </w:rPr>
        <w:t>in</w:t>
      </w:r>
      <w:r w:rsidR="00C9366E">
        <w:rPr>
          <w:rFonts w:asciiTheme="majorBidi" w:hAnsiTheme="majorBidi" w:cstheme="majorBidi"/>
          <w:bCs/>
          <w:iCs/>
          <w:lang w:val="en-GB"/>
        </w:rPr>
        <w:t xml:space="preserve"> our analysis that follows. </w:t>
      </w:r>
      <w:r w:rsidR="00C9366E">
        <w:rPr>
          <w:rFonts w:asciiTheme="majorBidi" w:hAnsiTheme="majorBidi" w:cstheme="majorBidi"/>
          <w:lang w:val="en-GB"/>
        </w:rPr>
        <w:t xml:space="preserve">Ultimately, our analysis </w:t>
      </w:r>
      <w:r w:rsidR="00F44494">
        <w:rPr>
          <w:rFonts w:asciiTheme="majorBidi" w:hAnsiTheme="majorBidi" w:cstheme="majorBidi"/>
          <w:lang w:val="en-GB"/>
        </w:rPr>
        <w:t xml:space="preserve">aims to show the extent to which the quality of civil society participation in governance processes – gauged </w:t>
      </w:r>
      <w:r w:rsidR="001B6C62">
        <w:rPr>
          <w:rFonts w:asciiTheme="majorBidi" w:hAnsiTheme="majorBidi" w:cstheme="majorBidi"/>
          <w:lang w:val="en-GB"/>
        </w:rPr>
        <w:t xml:space="preserve">here as </w:t>
      </w:r>
      <w:r w:rsidR="001B6C62">
        <w:rPr>
          <w:rFonts w:asciiTheme="majorBidi" w:hAnsiTheme="majorBidi" w:cstheme="majorBidi"/>
          <w:lang w:val="en-GB"/>
        </w:rPr>
        <w:lastRenderedPageBreak/>
        <w:t>agenda-setting input and</w:t>
      </w:r>
      <w:r w:rsidR="006E29E1">
        <w:rPr>
          <w:rFonts w:asciiTheme="majorBidi" w:hAnsiTheme="majorBidi" w:cstheme="majorBidi"/>
          <w:lang w:val="en-GB"/>
        </w:rPr>
        <w:t xml:space="preserve"> effect </w:t>
      </w:r>
      <w:r w:rsidR="001B6C62">
        <w:rPr>
          <w:rFonts w:asciiTheme="majorBidi" w:hAnsiTheme="majorBidi" w:cstheme="majorBidi"/>
          <w:lang w:val="en-GB"/>
        </w:rPr>
        <w:t>on policy outcomes (</w:t>
      </w:r>
      <w:r w:rsidR="00DB63A8">
        <w:rPr>
          <w:rFonts w:asciiTheme="majorBidi" w:hAnsiTheme="majorBidi" w:cstheme="majorBidi"/>
          <w:lang w:val="en-GB"/>
        </w:rPr>
        <w:t>see below) – can elicit throughp</w:t>
      </w:r>
      <w:r w:rsidR="001B6C62">
        <w:rPr>
          <w:rFonts w:asciiTheme="majorBidi" w:hAnsiTheme="majorBidi" w:cstheme="majorBidi"/>
          <w:lang w:val="en-GB"/>
        </w:rPr>
        <w:t xml:space="preserve">ut legitimacy. Our analysis </w:t>
      </w:r>
      <w:r w:rsidR="00C9366E">
        <w:rPr>
          <w:rFonts w:asciiTheme="majorBidi" w:hAnsiTheme="majorBidi" w:cstheme="majorBidi"/>
          <w:lang w:val="en-GB"/>
        </w:rPr>
        <w:t xml:space="preserve">attempts to answer </w:t>
      </w:r>
      <w:r w:rsidR="00C9366E">
        <w:rPr>
          <w:rFonts w:asciiTheme="majorBidi" w:hAnsiTheme="majorBidi" w:cstheme="majorBidi"/>
          <w:bCs/>
          <w:iCs/>
          <w:lang w:val="en-GB"/>
        </w:rPr>
        <w:t>t</w:t>
      </w:r>
      <w:r w:rsidR="00C9366E" w:rsidRPr="00B10073">
        <w:rPr>
          <w:rFonts w:asciiTheme="majorBidi" w:hAnsiTheme="majorBidi" w:cstheme="majorBidi"/>
          <w:bCs/>
          <w:iCs/>
          <w:lang w:val="en-GB"/>
        </w:rPr>
        <w:t>he same set of key questions</w:t>
      </w:r>
      <w:r w:rsidR="00C9366E">
        <w:rPr>
          <w:rFonts w:asciiTheme="majorBidi" w:hAnsiTheme="majorBidi" w:cstheme="majorBidi"/>
          <w:bCs/>
          <w:iCs/>
          <w:lang w:val="en-GB"/>
        </w:rPr>
        <w:t xml:space="preserve"> for both cases</w:t>
      </w:r>
      <w:r w:rsidR="00C9366E" w:rsidRPr="00B10073">
        <w:rPr>
          <w:rFonts w:asciiTheme="majorBidi" w:hAnsiTheme="majorBidi" w:cstheme="majorBidi"/>
          <w:bCs/>
          <w:iCs/>
          <w:lang w:val="en-GB"/>
        </w:rPr>
        <w:t xml:space="preserve">: How, and to what effect, do these </w:t>
      </w:r>
      <w:r w:rsidR="00C9366E">
        <w:rPr>
          <w:rFonts w:asciiTheme="majorBidi" w:hAnsiTheme="majorBidi" w:cstheme="majorBidi"/>
          <w:bCs/>
          <w:iCs/>
          <w:lang w:val="en-GB"/>
        </w:rPr>
        <w:t>technocratic bodies</w:t>
      </w:r>
      <w:r w:rsidR="00C9366E" w:rsidRPr="00B10073">
        <w:rPr>
          <w:rFonts w:asciiTheme="majorBidi" w:hAnsiTheme="majorBidi" w:cstheme="majorBidi"/>
          <w:bCs/>
          <w:iCs/>
          <w:lang w:val="en-GB"/>
        </w:rPr>
        <w:t xml:space="preserve"> go about developing ‘throughput’ legitimacy</w:t>
      </w:r>
      <w:r w:rsidR="00A0459E">
        <w:rPr>
          <w:rFonts w:asciiTheme="majorBidi" w:hAnsiTheme="majorBidi" w:cstheme="majorBidi"/>
          <w:bCs/>
          <w:iCs/>
          <w:lang w:val="en-GB"/>
        </w:rPr>
        <w:t xml:space="preserve"> –via participation -</w:t>
      </w:r>
      <w:r w:rsidR="00C9366E" w:rsidRPr="00B10073">
        <w:rPr>
          <w:rFonts w:asciiTheme="majorBidi" w:hAnsiTheme="majorBidi" w:cstheme="majorBidi"/>
          <w:bCs/>
          <w:iCs/>
          <w:lang w:val="en-GB"/>
        </w:rPr>
        <w:t xml:space="preserve"> for their actions? </w:t>
      </w:r>
    </w:p>
    <w:p w14:paraId="0BB1DDA4" w14:textId="77777777" w:rsidR="00C9366E" w:rsidRDefault="00C9366E" w:rsidP="00172513">
      <w:pPr>
        <w:spacing w:line="360" w:lineRule="auto"/>
        <w:jc w:val="both"/>
        <w:rPr>
          <w:rFonts w:asciiTheme="majorBidi" w:hAnsiTheme="majorBidi" w:cstheme="majorBidi"/>
          <w:b/>
          <w:iCs/>
          <w:lang w:val="en-GB"/>
        </w:rPr>
      </w:pPr>
    </w:p>
    <w:p w14:paraId="2E708CB6" w14:textId="77777777" w:rsidR="00C9366E" w:rsidRDefault="00C9366E" w:rsidP="00172513">
      <w:pPr>
        <w:spacing w:line="360" w:lineRule="auto"/>
        <w:jc w:val="both"/>
        <w:rPr>
          <w:rFonts w:asciiTheme="majorBidi" w:hAnsiTheme="majorBidi" w:cstheme="majorBidi"/>
          <w:b/>
          <w:iCs/>
          <w:lang w:val="en-GB"/>
        </w:rPr>
      </w:pPr>
    </w:p>
    <w:p w14:paraId="0018697D" w14:textId="0D94F48D" w:rsidR="00C9366E" w:rsidRDefault="00C9366E" w:rsidP="00172513">
      <w:pPr>
        <w:spacing w:line="360" w:lineRule="auto"/>
        <w:jc w:val="both"/>
        <w:rPr>
          <w:rFonts w:asciiTheme="majorBidi" w:hAnsiTheme="majorBidi" w:cstheme="majorBidi"/>
          <w:b/>
          <w:iCs/>
          <w:lang w:val="en-GB"/>
        </w:rPr>
      </w:pPr>
      <w:r>
        <w:rPr>
          <w:rFonts w:asciiTheme="majorBidi" w:hAnsiTheme="majorBidi" w:cstheme="majorBidi"/>
          <w:b/>
          <w:iCs/>
          <w:lang w:val="en-GB"/>
        </w:rPr>
        <w:t>Approach</w:t>
      </w:r>
    </w:p>
    <w:p w14:paraId="6EB11760" w14:textId="77777777" w:rsidR="005A2B0B" w:rsidRDefault="005A2B0B" w:rsidP="00172513">
      <w:pPr>
        <w:spacing w:line="360" w:lineRule="auto"/>
        <w:jc w:val="both"/>
        <w:rPr>
          <w:rFonts w:asciiTheme="majorBidi" w:hAnsiTheme="majorBidi" w:cstheme="majorBidi"/>
          <w:b/>
          <w:iCs/>
          <w:lang w:val="en-GB"/>
        </w:rPr>
      </w:pPr>
    </w:p>
    <w:p w14:paraId="69131C31" w14:textId="7F36AD45" w:rsidR="00685E65" w:rsidRDefault="00C9366E" w:rsidP="00685E65">
      <w:pPr>
        <w:spacing w:line="360" w:lineRule="auto"/>
        <w:jc w:val="both"/>
        <w:rPr>
          <w:rFonts w:asciiTheme="majorBidi" w:hAnsiTheme="majorBidi" w:cstheme="majorBidi"/>
          <w:bCs/>
          <w:iCs/>
          <w:lang w:val="en-GB"/>
        </w:rPr>
      </w:pPr>
      <w:r>
        <w:rPr>
          <w:rFonts w:asciiTheme="majorBidi" w:hAnsiTheme="majorBidi" w:cstheme="majorBidi"/>
          <w:bCs/>
          <w:iCs/>
          <w:lang w:val="en-GB"/>
        </w:rPr>
        <w:t xml:space="preserve">Before embarking on this analysis, however, it is important to outline and justify our methodology. </w:t>
      </w:r>
      <w:r w:rsidR="00B1487F">
        <w:rPr>
          <w:rFonts w:asciiTheme="majorBidi" w:hAnsiTheme="majorBidi" w:cstheme="majorBidi"/>
          <w:bCs/>
          <w:iCs/>
          <w:lang w:val="en-GB"/>
        </w:rPr>
        <w:t>Our analysis examines the achievement of throughput legitimacy – via participatory mechanisms – at national and supranational levels, which constitutes the first analysis of this kind</w:t>
      </w:r>
      <w:r w:rsidR="00A0459E">
        <w:rPr>
          <w:rFonts w:asciiTheme="majorBidi" w:hAnsiTheme="majorBidi" w:cstheme="majorBidi"/>
          <w:bCs/>
          <w:iCs/>
          <w:lang w:val="en-GB"/>
        </w:rPr>
        <w:t xml:space="preserve"> in the literature</w:t>
      </w:r>
      <w:r w:rsidR="00B1487F">
        <w:rPr>
          <w:rFonts w:asciiTheme="majorBidi" w:hAnsiTheme="majorBidi" w:cstheme="majorBidi"/>
          <w:bCs/>
          <w:iCs/>
          <w:lang w:val="en-GB"/>
        </w:rPr>
        <w:t xml:space="preserve">. </w:t>
      </w:r>
      <w:r w:rsidRPr="00B10073">
        <w:rPr>
          <w:rFonts w:asciiTheme="majorBidi" w:hAnsiTheme="majorBidi" w:cstheme="majorBidi"/>
          <w:bCs/>
          <w:iCs/>
          <w:lang w:val="en-GB"/>
        </w:rPr>
        <w:t xml:space="preserve">We </w:t>
      </w:r>
      <w:r>
        <w:rPr>
          <w:rFonts w:asciiTheme="majorBidi" w:hAnsiTheme="majorBidi" w:cstheme="majorBidi"/>
          <w:bCs/>
          <w:iCs/>
          <w:lang w:val="en-GB"/>
        </w:rPr>
        <w:t>conduct</w:t>
      </w:r>
      <w:r w:rsidRPr="00B10073">
        <w:rPr>
          <w:rFonts w:asciiTheme="majorBidi" w:hAnsiTheme="majorBidi" w:cstheme="majorBidi"/>
          <w:bCs/>
          <w:iCs/>
          <w:lang w:val="en-GB"/>
        </w:rPr>
        <w:t xml:space="preserve"> a comparative, richly qualitative analysis of cases from either level</w:t>
      </w:r>
      <w:r w:rsidR="00685E65">
        <w:rPr>
          <w:rFonts w:asciiTheme="majorBidi" w:hAnsiTheme="majorBidi" w:cstheme="majorBidi"/>
          <w:bCs/>
          <w:iCs/>
          <w:lang w:val="en-GB"/>
        </w:rPr>
        <w:t xml:space="preserve">: </w:t>
      </w:r>
      <w:r w:rsidRPr="00B10073">
        <w:rPr>
          <w:rFonts w:asciiTheme="majorBidi" w:hAnsiTheme="majorBidi" w:cstheme="majorBidi"/>
          <w:bCs/>
          <w:iCs/>
          <w:lang w:val="en-GB"/>
        </w:rPr>
        <w:t xml:space="preserve">on the one hand, a </w:t>
      </w:r>
      <w:r>
        <w:rPr>
          <w:rFonts w:asciiTheme="majorBidi" w:hAnsiTheme="majorBidi" w:cstheme="majorBidi"/>
          <w:bCs/>
          <w:iCs/>
          <w:lang w:val="en-GB"/>
        </w:rPr>
        <w:t>consultative</w:t>
      </w:r>
      <w:r w:rsidR="005A2B0B">
        <w:rPr>
          <w:rFonts w:asciiTheme="majorBidi" w:hAnsiTheme="majorBidi" w:cstheme="majorBidi"/>
          <w:bCs/>
          <w:iCs/>
          <w:lang w:val="en-GB"/>
        </w:rPr>
        <w:t>-participatory</w:t>
      </w:r>
      <w:r>
        <w:rPr>
          <w:rFonts w:asciiTheme="majorBidi" w:hAnsiTheme="majorBidi" w:cstheme="majorBidi"/>
          <w:bCs/>
          <w:iCs/>
          <w:lang w:val="en-GB"/>
        </w:rPr>
        <w:t xml:space="preserve"> Forum on the Rights of the Child (hereafter the Forum) </w:t>
      </w:r>
      <w:r w:rsidRPr="00B10073">
        <w:rPr>
          <w:rFonts w:asciiTheme="majorBidi" w:hAnsiTheme="majorBidi" w:cstheme="majorBidi"/>
          <w:bCs/>
          <w:iCs/>
          <w:lang w:val="en-GB"/>
        </w:rPr>
        <w:t>operated by the European Commission (D</w:t>
      </w:r>
      <w:r>
        <w:rPr>
          <w:rFonts w:asciiTheme="majorBidi" w:hAnsiTheme="majorBidi" w:cstheme="majorBidi"/>
          <w:bCs/>
          <w:iCs/>
          <w:lang w:val="en-GB"/>
        </w:rPr>
        <w:t xml:space="preserve">irectorate </w:t>
      </w:r>
      <w:r w:rsidRPr="00B10073">
        <w:rPr>
          <w:rFonts w:asciiTheme="majorBidi" w:hAnsiTheme="majorBidi" w:cstheme="majorBidi"/>
          <w:bCs/>
          <w:iCs/>
          <w:lang w:val="en-GB"/>
        </w:rPr>
        <w:t>G</w:t>
      </w:r>
      <w:r>
        <w:rPr>
          <w:rFonts w:asciiTheme="majorBidi" w:hAnsiTheme="majorBidi" w:cstheme="majorBidi"/>
          <w:bCs/>
          <w:iCs/>
          <w:lang w:val="en-GB"/>
        </w:rPr>
        <w:t>eneral (DG)</w:t>
      </w:r>
      <w:r w:rsidRPr="00B10073">
        <w:rPr>
          <w:rFonts w:asciiTheme="majorBidi" w:hAnsiTheme="majorBidi" w:cstheme="majorBidi"/>
          <w:bCs/>
          <w:iCs/>
          <w:lang w:val="en-GB"/>
        </w:rPr>
        <w:t xml:space="preserve"> Justice); on the other, a participatory innovation </w:t>
      </w:r>
      <w:r>
        <w:rPr>
          <w:rFonts w:asciiTheme="majorBidi" w:hAnsiTheme="majorBidi" w:cstheme="majorBidi"/>
          <w:bCs/>
          <w:iCs/>
          <w:lang w:val="en-GB"/>
        </w:rPr>
        <w:t xml:space="preserve">(NHS Citizen) </w:t>
      </w:r>
      <w:r w:rsidRPr="00B10073">
        <w:rPr>
          <w:rFonts w:asciiTheme="majorBidi" w:hAnsiTheme="majorBidi" w:cstheme="majorBidi"/>
          <w:bCs/>
          <w:iCs/>
          <w:lang w:val="en-GB"/>
        </w:rPr>
        <w:t>in England’s National Health Service.</w:t>
      </w:r>
      <w:r>
        <w:rPr>
          <w:rFonts w:asciiTheme="majorBidi" w:hAnsiTheme="majorBidi" w:cstheme="majorBidi"/>
          <w:bCs/>
          <w:iCs/>
          <w:lang w:val="en-GB"/>
        </w:rPr>
        <w:t xml:space="preserve"> Both cases represent interventions in new administrative terrain, where public legitimacy remains fragile.</w:t>
      </w:r>
      <w:r w:rsidR="00685E65">
        <w:rPr>
          <w:rFonts w:asciiTheme="majorBidi" w:hAnsiTheme="majorBidi" w:cstheme="majorBidi"/>
          <w:bCs/>
          <w:iCs/>
          <w:lang w:val="en-GB"/>
        </w:rPr>
        <w:t xml:space="preserve"> </w:t>
      </w:r>
      <w:r>
        <w:rPr>
          <w:rFonts w:asciiTheme="majorBidi" w:hAnsiTheme="majorBidi" w:cstheme="majorBidi"/>
          <w:bCs/>
          <w:iCs/>
          <w:lang w:val="en-GB"/>
        </w:rPr>
        <w:t>The Forum came about as DG Justice expanded its remit to encompass issues surrounding children’s rights issues. NHS Citizen was born in the context of controversial health system reform, with the agencification of core functions in a new body, NHS England.</w:t>
      </w:r>
    </w:p>
    <w:p w14:paraId="3263DE06" w14:textId="77777777" w:rsidR="00685E65" w:rsidRDefault="00685E65" w:rsidP="00685E65">
      <w:pPr>
        <w:spacing w:line="360" w:lineRule="auto"/>
        <w:jc w:val="both"/>
        <w:rPr>
          <w:rFonts w:asciiTheme="majorBidi" w:hAnsiTheme="majorBidi" w:cstheme="majorBidi"/>
          <w:bCs/>
          <w:iCs/>
          <w:lang w:val="en-GB"/>
        </w:rPr>
      </w:pPr>
    </w:p>
    <w:p w14:paraId="5FBF6867" w14:textId="04167F3A" w:rsidR="00C9366E" w:rsidRPr="00685E65" w:rsidRDefault="00685E65">
      <w:pPr>
        <w:spacing w:line="360" w:lineRule="auto"/>
        <w:jc w:val="both"/>
        <w:rPr>
          <w:rFonts w:asciiTheme="majorBidi" w:hAnsiTheme="majorBidi" w:cstheme="majorBidi"/>
          <w:bCs/>
          <w:iCs/>
          <w:lang w:val="en-GB"/>
        </w:rPr>
      </w:pPr>
      <w:r>
        <w:rPr>
          <w:rFonts w:asciiTheme="majorBidi" w:hAnsiTheme="majorBidi" w:cstheme="majorBidi"/>
          <w:bCs/>
          <w:iCs/>
          <w:lang w:val="en-GB"/>
        </w:rPr>
        <w:t xml:space="preserve">Comparison is fruitful because </w:t>
      </w:r>
      <w:r w:rsidR="00B1487F">
        <w:rPr>
          <w:rFonts w:asciiTheme="majorBidi" w:hAnsiTheme="majorBidi" w:cstheme="majorBidi"/>
          <w:bCs/>
          <w:iCs/>
          <w:lang w:val="en-GB"/>
        </w:rPr>
        <w:t xml:space="preserve">the two cases sit at opposite ends of the </w:t>
      </w:r>
      <w:r w:rsidR="008C075D">
        <w:rPr>
          <w:rFonts w:asciiTheme="majorBidi" w:hAnsiTheme="majorBidi" w:cstheme="majorBidi"/>
          <w:bCs/>
          <w:iCs/>
          <w:lang w:val="en-GB"/>
        </w:rPr>
        <w:t xml:space="preserve">‘participation’ </w:t>
      </w:r>
      <w:r w:rsidR="00B1487F">
        <w:rPr>
          <w:rFonts w:asciiTheme="majorBidi" w:hAnsiTheme="majorBidi" w:cstheme="majorBidi"/>
          <w:bCs/>
          <w:iCs/>
          <w:lang w:val="en-GB"/>
        </w:rPr>
        <w:t xml:space="preserve">spectrum with respect to their capacity to enable throughput legitimacy </w:t>
      </w:r>
      <w:r w:rsidR="00BD0356">
        <w:rPr>
          <w:rFonts w:asciiTheme="majorBidi" w:hAnsiTheme="majorBidi" w:cstheme="majorBidi"/>
          <w:bCs/>
          <w:iCs/>
          <w:lang w:val="en-GB"/>
        </w:rPr>
        <w:t>(measured</w:t>
      </w:r>
      <w:r w:rsidR="00B1487F">
        <w:rPr>
          <w:rFonts w:asciiTheme="majorBidi" w:hAnsiTheme="majorBidi" w:cstheme="majorBidi"/>
          <w:bCs/>
          <w:iCs/>
          <w:lang w:val="en-GB"/>
        </w:rPr>
        <w:t xml:space="preserve"> according to our t</w:t>
      </w:r>
      <w:r w:rsidR="00BD0356">
        <w:rPr>
          <w:rFonts w:asciiTheme="majorBidi" w:hAnsiTheme="majorBidi" w:cstheme="majorBidi"/>
          <w:bCs/>
          <w:iCs/>
          <w:lang w:val="en-GB"/>
        </w:rPr>
        <w:t>w</w:t>
      </w:r>
      <w:r w:rsidR="00B1487F">
        <w:rPr>
          <w:rFonts w:asciiTheme="majorBidi" w:hAnsiTheme="majorBidi" w:cstheme="majorBidi"/>
          <w:bCs/>
          <w:iCs/>
          <w:lang w:val="en-GB"/>
        </w:rPr>
        <w:t>o yardsticks</w:t>
      </w:r>
      <w:r w:rsidR="00A0459E">
        <w:rPr>
          <w:rFonts w:asciiTheme="majorBidi" w:hAnsiTheme="majorBidi" w:cstheme="majorBidi"/>
          <w:bCs/>
          <w:iCs/>
          <w:lang w:val="en-GB"/>
        </w:rPr>
        <w:t>, see below</w:t>
      </w:r>
      <w:r w:rsidR="00B1487F">
        <w:rPr>
          <w:rFonts w:asciiTheme="majorBidi" w:hAnsiTheme="majorBidi" w:cstheme="majorBidi"/>
          <w:bCs/>
          <w:iCs/>
          <w:lang w:val="en-GB"/>
        </w:rPr>
        <w:t>)</w:t>
      </w:r>
      <w:r w:rsidR="00C9366E">
        <w:rPr>
          <w:rFonts w:asciiTheme="majorBidi" w:hAnsiTheme="majorBidi" w:cstheme="majorBidi"/>
          <w:bCs/>
          <w:iCs/>
          <w:lang w:val="en-GB"/>
        </w:rPr>
        <w:t xml:space="preserve">—the Forum </w:t>
      </w:r>
      <w:r w:rsidR="0090492B">
        <w:rPr>
          <w:rFonts w:asciiTheme="majorBidi" w:hAnsiTheme="majorBidi" w:cstheme="majorBidi"/>
          <w:bCs/>
          <w:iCs/>
          <w:lang w:val="en-GB"/>
        </w:rPr>
        <w:t xml:space="preserve">as a </w:t>
      </w:r>
      <w:r>
        <w:rPr>
          <w:rFonts w:asciiTheme="majorBidi" w:hAnsiTheme="majorBidi" w:cstheme="majorBidi"/>
          <w:bCs/>
          <w:iCs/>
          <w:lang w:val="en-GB"/>
        </w:rPr>
        <w:t xml:space="preserve">least </w:t>
      </w:r>
      <w:r w:rsidR="00C9366E">
        <w:rPr>
          <w:rFonts w:asciiTheme="majorBidi" w:hAnsiTheme="majorBidi" w:cstheme="majorBidi"/>
          <w:bCs/>
          <w:iCs/>
          <w:lang w:val="en-GB"/>
        </w:rPr>
        <w:t>likely</w:t>
      </w:r>
      <w:r w:rsidR="0090492B">
        <w:rPr>
          <w:rFonts w:asciiTheme="majorBidi" w:hAnsiTheme="majorBidi" w:cstheme="majorBidi"/>
          <w:bCs/>
          <w:iCs/>
          <w:lang w:val="en-GB"/>
        </w:rPr>
        <w:t xml:space="preserve"> case</w:t>
      </w:r>
      <w:r w:rsidR="00C9366E">
        <w:rPr>
          <w:rFonts w:asciiTheme="majorBidi" w:hAnsiTheme="majorBidi" w:cstheme="majorBidi"/>
          <w:bCs/>
          <w:iCs/>
          <w:lang w:val="en-GB"/>
        </w:rPr>
        <w:t xml:space="preserve">, and </w:t>
      </w:r>
      <w:r w:rsidR="0090492B">
        <w:rPr>
          <w:rFonts w:asciiTheme="majorBidi" w:hAnsiTheme="majorBidi" w:cstheme="majorBidi"/>
          <w:bCs/>
          <w:iCs/>
          <w:lang w:val="en-GB"/>
        </w:rPr>
        <w:t xml:space="preserve">the </w:t>
      </w:r>
      <w:r w:rsidR="00C9366E">
        <w:rPr>
          <w:rFonts w:asciiTheme="majorBidi" w:hAnsiTheme="majorBidi" w:cstheme="majorBidi"/>
          <w:bCs/>
          <w:iCs/>
          <w:lang w:val="en-GB"/>
        </w:rPr>
        <w:t xml:space="preserve">NHS Citizen as </w:t>
      </w:r>
      <w:r w:rsidR="0090492B">
        <w:rPr>
          <w:rFonts w:asciiTheme="majorBidi" w:hAnsiTheme="majorBidi" w:cstheme="majorBidi"/>
          <w:bCs/>
          <w:iCs/>
          <w:lang w:val="en-GB"/>
        </w:rPr>
        <w:t xml:space="preserve">a </w:t>
      </w:r>
      <w:r w:rsidR="00C9366E">
        <w:rPr>
          <w:rFonts w:asciiTheme="majorBidi" w:hAnsiTheme="majorBidi" w:cstheme="majorBidi"/>
          <w:bCs/>
          <w:iCs/>
          <w:lang w:val="en-GB"/>
        </w:rPr>
        <w:t xml:space="preserve">most </w:t>
      </w:r>
      <w:r>
        <w:rPr>
          <w:rFonts w:asciiTheme="majorBidi" w:hAnsiTheme="majorBidi" w:cstheme="majorBidi"/>
          <w:bCs/>
          <w:iCs/>
          <w:lang w:val="en-GB"/>
        </w:rPr>
        <w:t>likely</w:t>
      </w:r>
      <w:r w:rsidR="0090492B">
        <w:rPr>
          <w:rFonts w:asciiTheme="majorBidi" w:hAnsiTheme="majorBidi" w:cstheme="majorBidi"/>
          <w:bCs/>
          <w:iCs/>
          <w:lang w:val="en-GB"/>
        </w:rPr>
        <w:t xml:space="preserve"> one</w:t>
      </w:r>
      <w:r w:rsidR="00C9366E">
        <w:rPr>
          <w:rFonts w:asciiTheme="majorBidi" w:hAnsiTheme="majorBidi" w:cstheme="majorBidi"/>
          <w:bCs/>
          <w:iCs/>
          <w:lang w:val="en-GB"/>
        </w:rPr>
        <w:t>.</w:t>
      </w:r>
      <w:r>
        <w:rPr>
          <w:rFonts w:asciiTheme="majorBidi" w:hAnsiTheme="majorBidi" w:cstheme="majorBidi"/>
          <w:bCs/>
          <w:iCs/>
          <w:lang w:val="en-GB"/>
        </w:rPr>
        <w:t xml:space="preserve"> </w:t>
      </w:r>
      <w:r w:rsidR="00E1063E">
        <w:rPr>
          <w:rFonts w:asciiTheme="majorBidi" w:hAnsiTheme="majorBidi" w:cstheme="majorBidi"/>
          <w:bCs/>
          <w:iCs/>
          <w:lang w:val="en-GB"/>
        </w:rPr>
        <w:t xml:space="preserve">There are two key reasons </w:t>
      </w:r>
      <w:r>
        <w:rPr>
          <w:rFonts w:asciiTheme="majorBidi" w:hAnsiTheme="majorBidi" w:cstheme="majorBidi"/>
          <w:bCs/>
          <w:iCs/>
          <w:lang w:val="en-GB"/>
        </w:rPr>
        <w:t>to suppose this</w:t>
      </w:r>
      <w:r w:rsidR="00BD0356">
        <w:rPr>
          <w:rFonts w:asciiTheme="majorBidi" w:hAnsiTheme="majorBidi" w:cstheme="majorBidi"/>
          <w:bCs/>
          <w:iCs/>
          <w:lang w:val="en-GB"/>
        </w:rPr>
        <w:t>.</w:t>
      </w:r>
      <w:r>
        <w:rPr>
          <w:rFonts w:asciiTheme="majorBidi" w:hAnsiTheme="majorBidi" w:cstheme="majorBidi"/>
          <w:bCs/>
          <w:iCs/>
          <w:lang w:val="en-GB"/>
        </w:rPr>
        <w:t xml:space="preserve"> </w:t>
      </w:r>
      <w:r w:rsidR="00C9366E">
        <w:rPr>
          <w:rFonts w:asciiTheme="majorBidi" w:hAnsiTheme="majorBidi" w:cstheme="majorBidi"/>
          <w:bCs/>
          <w:iCs/>
          <w:lang w:val="en-GB"/>
        </w:rPr>
        <w:t xml:space="preserve">First and most obviously, the supranational setting of the Forum makes it less conducive to successful participation </w:t>
      </w:r>
      <w:r w:rsidR="0090492B">
        <w:rPr>
          <w:rFonts w:asciiTheme="majorBidi" w:hAnsiTheme="majorBidi" w:cstheme="majorBidi"/>
          <w:bCs/>
          <w:iCs/>
          <w:lang w:val="en-GB"/>
        </w:rPr>
        <w:t xml:space="preserve">than the national setting of NHS Citizen </w:t>
      </w:r>
      <w:r w:rsidR="008C2B51">
        <w:rPr>
          <w:rFonts w:asciiTheme="majorBidi" w:hAnsiTheme="majorBidi" w:cstheme="majorBidi"/>
          <w:bCs/>
          <w:iCs/>
          <w:lang w:val="en-GB"/>
        </w:rPr>
        <w:t>(</w:t>
      </w:r>
      <w:r w:rsidR="008C2B51">
        <w:rPr>
          <w:rFonts w:asciiTheme="majorBidi" w:hAnsiTheme="majorBidi" w:cstheme="majorBidi"/>
          <w:bCs/>
          <w:iCs/>
        </w:rPr>
        <w:t xml:space="preserve">Kohler-Koch and </w:t>
      </w:r>
      <w:r w:rsidR="008C2B51" w:rsidRPr="008C2B51">
        <w:rPr>
          <w:rFonts w:asciiTheme="majorBidi" w:hAnsiTheme="majorBidi" w:cstheme="majorBidi"/>
          <w:bCs/>
          <w:iCs/>
        </w:rPr>
        <w:t>Quittkat 2013</w:t>
      </w:r>
      <w:r w:rsidR="008C2B51">
        <w:rPr>
          <w:rFonts w:asciiTheme="majorBidi" w:hAnsiTheme="majorBidi" w:cstheme="majorBidi"/>
          <w:bCs/>
          <w:iCs/>
        </w:rPr>
        <w:t>)</w:t>
      </w:r>
      <w:r w:rsidR="00E1063E">
        <w:rPr>
          <w:rFonts w:asciiTheme="majorBidi" w:hAnsiTheme="majorBidi" w:cstheme="majorBidi"/>
          <w:bCs/>
          <w:iCs/>
          <w:lang w:val="en-GB"/>
        </w:rPr>
        <w:t xml:space="preserve">. </w:t>
      </w:r>
      <w:r w:rsidR="00863E84">
        <w:rPr>
          <w:rFonts w:asciiTheme="majorBidi" w:hAnsiTheme="majorBidi" w:cstheme="majorBidi"/>
          <w:bCs/>
          <w:iCs/>
          <w:lang w:val="en-GB"/>
        </w:rPr>
        <w:t>In line with the</w:t>
      </w:r>
      <w:r w:rsidR="00E1063E">
        <w:rPr>
          <w:rFonts w:asciiTheme="majorBidi" w:hAnsiTheme="majorBidi" w:cstheme="majorBidi"/>
          <w:bCs/>
          <w:iCs/>
          <w:lang w:val="en-GB"/>
        </w:rPr>
        <w:t xml:space="preserve"> long-standing observation </w:t>
      </w:r>
      <w:r>
        <w:rPr>
          <w:rFonts w:asciiTheme="majorBidi" w:hAnsiTheme="majorBidi" w:cstheme="majorBidi"/>
          <w:bCs/>
          <w:iCs/>
          <w:lang w:val="en-GB"/>
        </w:rPr>
        <w:t>about</w:t>
      </w:r>
      <w:r w:rsidR="00E1063E">
        <w:rPr>
          <w:rFonts w:asciiTheme="majorBidi" w:hAnsiTheme="majorBidi" w:cstheme="majorBidi"/>
          <w:bCs/>
          <w:iCs/>
          <w:lang w:val="en-GB"/>
        </w:rPr>
        <w:t xml:space="preserve"> democra</w:t>
      </w:r>
      <w:r w:rsidR="00536698">
        <w:rPr>
          <w:rFonts w:asciiTheme="majorBidi" w:hAnsiTheme="majorBidi" w:cstheme="majorBidi"/>
          <w:bCs/>
          <w:iCs/>
          <w:lang w:val="en-GB"/>
        </w:rPr>
        <w:t>cy and scale</w:t>
      </w:r>
      <w:r w:rsidR="00863E84">
        <w:rPr>
          <w:rFonts w:asciiTheme="majorBidi" w:hAnsiTheme="majorBidi" w:cstheme="majorBidi"/>
          <w:bCs/>
          <w:iCs/>
          <w:lang w:val="en-GB"/>
        </w:rPr>
        <w:t xml:space="preserve">, </w:t>
      </w:r>
      <w:r w:rsidR="00E1063E">
        <w:rPr>
          <w:rFonts w:asciiTheme="majorBidi" w:hAnsiTheme="majorBidi" w:cstheme="majorBidi"/>
          <w:bCs/>
          <w:iCs/>
          <w:lang w:val="en-GB"/>
        </w:rPr>
        <w:t xml:space="preserve">proximity is a key </w:t>
      </w:r>
      <w:r w:rsidR="00052538">
        <w:rPr>
          <w:rFonts w:asciiTheme="majorBidi" w:hAnsiTheme="majorBidi" w:cstheme="majorBidi"/>
          <w:bCs/>
          <w:iCs/>
          <w:lang w:val="en-GB"/>
        </w:rPr>
        <w:t xml:space="preserve">enabler of broad democratic engagement </w:t>
      </w:r>
      <w:r w:rsidR="00536698">
        <w:rPr>
          <w:rFonts w:asciiTheme="majorBidi" w:hAnsiTheme="majorBidi" w:cstheme="majorBidi"/>
          <w:bCs/>
          <w:iCs/>
          <w:lang w:val="en-GB"/>
        </w:rPr>
        <w:t>in the decision-making process</w:t>
      </w:r>
      <w:r w:rsidR="00E1063E">
        <w:rPr>
          <w:rFonts w:asciiTheme="majorBidi" w:hAnsiTheme="majorBidi" w:cstheme="majorBidi"/>
          <w:bCs/>
          <w:iCs/>
          <w:lang w:val="en-GB"/>
        </w:rPr>
        <w:t xml:space="preserve"> (see </w:t>
      </w:r>
      <w:r w:rsidR="00536698">
        <w:rPr>
          <w:rFonts w:asciiTheme="majorBidi" w:hAnsiTheme="majorBidi" w:cstheme="majorBidi"/>
          <w:bCs/>
          <w:iCs/>
          <w:lang w:val="en-GB"/>
        </w:rPr>
        <w:t>Dahl 1994</w:t>
      </w:r>
      <w:r w:rsidR="00863E84">
        <w:rPr>
          <w:rFonts w:asciiTheme="majorBidi" w:hAnsiTheme="majorBidi" w:cstheme="majorBidi"/>
          <w:bCs/>
          <w:iCs/>
          <w:lang w:val="en-GB"/>
        </w:rPr>
        <w:t>)</w:t>
      </w:r>
      <w:r w:rsidR="00022AA2">
        <w:rPr>
          <w:rFonts w:asciiTheme="majorBidi" w:hAnsiTheme="majorBidi" w:cstheme="majorBidi"/>
          <w:bCs/>
          <w:iCs/>
          <w:lang w:val="en-GB"/>
        </w:rPr>
        <w:t>.</w:t>
      </w:r>
      <w:r w:rsidR="00E1063E">
        <w:rPr>
          <w:rFonts w:asciiTheme="majorBidi" w:hAnsiTheme="majorBidi" w:cstheme="majorBidi"/>
          <w:bCs/>
          <w:iCs/>
          <w:lang w:val="en-GB"/>
        </w:rPr>
        <w:t xml:space="preserve"> The context of the Forum</w:t>
      </w:r>
      <w:r w:rsidR="00022AA2">
        <w:rPr>
          <w:rFonts w:asciiTheme="majorBidi" w:hAnsiTheme="majorBidi" w:cstheme="majorBidi"/>
          <w:bCs/>
          <w:iCs/>
          <w:lang w:val="en-GB"/>
        </w:rPr>
        <w:t xml:space="preserve"> </w:t>
      </w:r>
      <w:r w:rsidR="00C9366E">
        <w:rPr>
          <w:rFonts w:asciiTheme="majorBidi" w:hAnsiTheme="majorBidi" w:cstheme="majorBidi"/>
          <w:bCs/>
          <w:iCs/>
          <w:lang w:val="en-GB"/>
        </w:rPr>
        <w:t xml:space="preserve">is, by its nature, </w:t>
      </w:r>
      <w:r w:rsidR="00863E84">
        <w:rPr>
          <w:rFonts w:asciiTheme="majorBidi" w:hAnsiTheme="majorBidi" w:cstheme="majorBidi"/>
          <w:bCs/>
          <w:iCs/>
          <w:lang w:val="en-GB"/>
        </w:rPr>
        <w:t xml:space="preserve">more </w:t>
      </w:r>
      <w:r w:rsidR="00C9366E">
        <w:rPr>
          <w:rFonts w:asciiTheme="majorBidi" w:hAnsiTheme="majorBidi" w:cstheme="majorBidi"/>
          <w:bCs/>
          <w:iCs/>
          <w:lang w:val="en-GB"/>
        </w:rPr>
        <w:t>remote from established democratic institutions, rituals and identities, especially when compared to the iconic status of the NHS in British politics.</w:t>
      </w:r>
      <w:r w:rsidR="00E2686B">
        <w:rPr>
          <w:rStyle w:val="EndnoteReference"/>
          <w:rFonts w:asciiTheme="majorBidi" w:hAnsiTheme="majorBidi" w:cstheme="majorBidi"/>
          <w:bCs/>
          <w:iCs/>
          <w:lang w:val="en-GB"/>
        </w:rPr>
        <w:endnoteReference w:id="5"/>
      </w:r>
      <w:r w:rsidR="00C9366E">
        <w:rPr>
          <w:rFonts w:asciiTheme="majorBidi" w:hAnsiTheme="majorBidi" w:cstheme="majorBidi"/>
          <w:bCs/>
          <w:iCs/>
          <w:lang w:val="en-GB"/>
        </w:rPr>
        <w:t xml:space="preserve"> </w:t>
      </w:r>
      <w:r w:rsidR="00E1063E">
        <w:rPr>
          <w:rFonts w:asciiTheme="majorBidi" w:hAnsiTheme="majorBidi" w:cstheme="majorBidi"/>
          <w:bCs/>
          <w:iCs/>
          <w:lang w:val="en-GB"/>
        </w:rPr>
        <w:t>The s</w:t>
      </w:r>
      <w:r w:rsidR="00054F7E">
        <w:rPr>
          <w:rFonts w:asciiTheme="majorBidi" w:hAnsiTheme="majorBidi" w:cstheme="majorBidi"/>
          <w:bCs/>
          <w:iCs/>
          <w:lang w:val="en-GB"/>
        </w:rPr>
        <w:t>econd</w:t>
      </w:r>
      <w:r w:rsidR="00E2686B">
        <w:rPr>
          <w:rFonts w:asciiTheme="majorBidi" w:hAnsiTheme="majorBidi" w:cstheme="majorBidi"/>
          <w:bCs/>
          <w:iCs/>
          <w:lang w:val="en-GB"/>
        </w:rPr>
        <w:t xml:space="preserve"> </w:t>
      </w:r>
      <w:r w:rsidR="00E1063E">
        <w:rPr>
          <w:rFonts w:asciiTheme="majorBidi" w:hAnsiTheme="majorBidi" w:cstheme="majorBidi"/>
          <w:bCs/>
          <w:iCs/>
          <w:lang w:val="en-GB"/>
        </w:rPr>
        <w:t>reason</w:t>
      </w:r>
      <w:r>
        <w:rPr>
          <w:rFonts w:asciiTheme="majorBidi" w:hAnsiTheme="majorBidi" w:cstheme="majorBidi"/>
          <w:bCs/>
          <w:iCs/>
          <w:lang w:val="en-GB"/>
        </w:rPr>
        <w:t xml:space="preserve"> </w:t>
      </w:r>
      <w:r w:rsidR="00C9366E">
        <w:rPr>
          <w:rFonts w:asciiTheme="majorBidi" w:hAnsiTheme="majorBidi" w:cstheme="majorBidi"/>
          <w:bCs/>
          <w:iCs/>
          <w:lang w:val="en-GB"/>
        </w:rPr>
        <w:t>is</w:t>
      </w:r>
      <w:r w:rsidR="00E1063E">
        <w:rPr>
          <w:rFonts w:asciiTheme="majorBidi" w:hAnsiTheme="majorBidi" w:cstheme="majorBidi"/>
          <w:bCs/>
          <w:iCs/>
          <w:lang w:val="en-GB"/>
        </w:rPr>
        <w:t xml:space="preserve"> </w:t>
      </w:r>
      <w:r w:rsidR="00C9366E">
        <w:rPr>
          <w:rFonts w:asciiTheme="majorBidi" w:hAnsiTheme="majorBidi" w:cstheme="majorBidi"/>
          <w:bCs/>
          <w:iCs/>
          <w:lang w:val="en-GB"/>
        </w:rPr>
        <w:t xml:space="preserve">the </w:t>
      </w:r>
      <w:r>
        <w:rPr>
          <w:rFonts w:asciiTheme="majorBidi" w:hAnsiTheme="majorBidi" w:cstheme="majorBidi"/>
          <w:bCs/>
          <w:iCs/>
          <w:lang w:val="en-GB"/>
        </w:rPr>
        <w:t>different trajectory of participation undertaken by</w:t>
      </w:r>
      <w:r w:rsidR="00C9366E">
        <w:rPr>
          <w:rFonts w:asciiTheme="majorBidi" w:hAnsiTheme="majorBidi" w:cstheme="majorBidi"/>
          <w:bCs/>
          <w:iCs/>
          <w:lang w:val="en-GB"/>
        </w:rPr>
        <w:t xml:space="preserve"> these two bodies. The Forum has, from its </w:t>
      </w:r>
      <w:r w:rsidR="00C9366E">
        <w:rPr>
          <w:rFonts w:asciiTheme="majorBidi" w:hAnsiTheme="majorBidi" w:cstheme="majorBidi"/>
          <w:bCs/>
          <w:iCs/>
          <w:lang w:val="en-GB"/>
        </w:rPr>
        <w:lastRenderedPageBreak/>
        <w:t xml:space="preserve">very inception, been subject to tight top-down control from within DG Justice. NHS Citizen, in contrast, has been contracted out to </w:t>
      </w:r>
      <w:r>
        <w:rPr>
          <w:rFonts w:asciiTheme="majorBidi" w:hAnsiTheme="majorBidi" w:cstheme="majorBidi"/>
          <w:bCs/>
          <w:iCs/>
          <w:lang w:val="en-GB"/>
        </w:rPr>
        <w:t>facilitation specialists</w:t>
      </w:r>
      <w:r w:rsidR="00C9366E">
        <w:rPr>
          <w:rFonts w:asciiTheme="majorBidi" w:hAnsiTheme="majorBidi" w:cstheme="majorBidi"/>
          <w:bCs/>
          <w:iCs/>
          <w:lang w:val="en-GB"/>
        </w:rPr>
        <w:t xml:space="preserve"> </w:t>
      </w:r>
      <w:r>
        <w:rPr>
          <w:rFonts w:asciiTheme="majorBidi" w:hAnsiTheme="majorBidi" w:cstheme="majorBidi"/>
          <w:bCs/>
          <w:iCs/>
          <w:lang w:val="en-GB"/>
        </w:rPr>
        <w:t>employing a bottom-up template of engagement</w:t>
      </w:r>
      <w:r w:rsidR="00C9366E">
        <w:rPr>
          <w:rFonts w:asciiTheme="majorBidi" w:hAnsiTheme="majorBidi" w:cstheme="majorBidi"/>
          <w:bCs/>
          <w:iCs/>
          <w:lang w:val="en-GB"/>
        </w:rPr>
        <w:t>.</w:t>
      </w:r>
      <w:r>
        <w:rPr>
          <w:rFonts w:asciiTheme="majorBidi" w:hAnsiTheme="majorBidi" w:cstheme="majorBidi"/>
          <w:bCs/>
          <w:iCs/>
          <w:lang w:val="en-GB"/>
        </w:rPr>
        <w:t xml:space="preserve"> </w:t>
      </w:r>
      <w:r w:rsidR="003D6C8C">
        <w:rPr>
          <w:rFonts w:asciiTheme="majorBidi" w:hAnsiTheme="majorBidi" w:cstheme="majorBidi"/>
          <w:bCs/>
          <w:iCs/>
          <w:lang w:val="en-GB"/>
        </w:rPr>
        <w:t>However, despite t</w:t>
      </w:r>
      <w:r w:rsidR="00C9366E">
        <w:rPr>
          <w:rFonts w:asciiTheme="majorBidi" w:hAnsiTheme="majorBidi" w:cstheme="majorBidi"/>
          <w:bCs/>
          <w:iCs/>
          <w:lang w:val="en-GB"/>
        </w:rPr>
        <w:t xml:space="preserve">hese contrasting </w:t>
      </w:r>
      <w:r>
        <w:rPr>
          <w:rFonts w:asciiTheme="majorBidi" w:hAnsiTheme="majorBidi" w:cstheme="majorBidi"/>
          <w:bCs/>
          <w:iCs/>
          <w:lang w:val="en-GB"/>
        </w:rPr>
        <w:t xml:space="preserve">contexts and </w:t>
      </w:r>
      <w:r w:rsidR="00C9366E">
        <w:rPr>
          <w:rFonts w:asciiTheme="majorBidi" w:hAnsiTheme="majorBidi" w:cstheme="majorBidi"/>
          <w:bCs/>
          <w:iCs/>
          <w:lang w:val="en-GB"/>
        </w:rPr>
        <w:t>trajectories</w:t>
      </w:r>
      <w:r>
        <w:rPr>
          <w:rFonts w:asciiTheme="majorBidi" w:hAnsiTheme="majorBidi" w:cstheme="majorBidi"/>
          <w:bCs/>
          <w:iCs/>
          <w:lang w:val="en-GB"/>
        </w:rPr>
        <w:t>,</w:t>
      </w:r>
      <w:r w:rsidR="00C9366E">
        <w:rPr>
          <w:rFonts w:asciiTheme="majorBidi" w:hAnsiTheme="majorBidi" w:cstheme="majorBidi"/>
          <w:bCs/>
          <w:iCs/>
          <w:lang w:val="en-GB"/>
        </w:rPr>
        <w:t xml:space="preserve"> </w:t>
      </w:r>
      <w:r w:rsidR="003D6C8C">
        <w:rPr>
          <w:rFonts w:asciiTheme="majorBidi" w:hAnsiTheme="majorBidi" w:cstheme="majorBidi"/>
          <w:bCs/>
          <w:iCs/>
          <w:lang w:val="en-GB"/>
        </w:rPr>
        <w:t xml:space="preserve">we will show that both cases nevertheless exhibit the same persistent dilemmas and vulnerabilities. The comparison therefore </w:t>
      </w:r>
      <w:r w:rsidR="00C9366E">
        <w:rPr>
          <w:rFonts w:asciiTheme="majorBidi" w:hAnsiTheme="majorBidi" w:cstheme="majorBidi"/>
          <w:bCs/>
          <w:iCs/>
          <w:lang w:val="en-GB"/>
        </w:rPr>
        <w:t>shed</w:t>
      </w:r>
      <w:r w:rsidR="003D6C8C">
        <w:rPr>
          <w:rFonts w:asciiTheme="majorBidi" w:hAnsiTheme="majorBidi" w:cstheme="majorBidi"/>
          <w:bCs/>
          <w:iCs/>
          <w:lang w:val="en-GB"/>
        </w:rPr>
        <w:t>s</w:t>
      </w:r>
      <w:r w:rsidR="00C9366E">
        <w:rPr>
          <w:rFonts w:asciiTheme="majorBidi" w:hAnsiTheme="majorBidi" w:cstheme="majorBidi"/>
          <w:bCs/>
          <w:iCs/>
          <w:lang w:val="en-GB"/>
        </w:rPr>
        <w:t xml:space="preserve"> especially important light on the challenges face</w:t>
      </w:r>
      <w:r w:rsidR="000C72E7">
        <w:rPr>
          <w:rFonts w:asciiTheme="majorBidi" w:hAnsiTheme="majorBidi" w:cstheme="majorBidi"/>
          <w:bCs/>
          <w:iCs/>
          <w:lang w:val="en-GB"/>
        </w:rPr>
        <w:t>d</w:t>
      </w:r>
      <w:r w:rsidR="00C9366E">
        <w:rPr>
          <w:rFonts w:asciiTheme="majorBidi" w:hAnsiTheme="majorBidi" w:cstheme="majorBidi"/>
          <w:bCs/>
          <w:iCs/>
          <w:lang w:val="en-GB"/>
        </w:rPr>
        <w:t xml:space="preserve"> </w:t>
      </w:r>
      <w:r w:rsidR="000C72E7">
        <w:rPr>
          <w:rFonts w:asciiTheme="majorBidi" w:hAnsiTheme="majorBidi" w:cstheme="majorBidi"/>
          <w:bCs/>
          <w:iCs/>
          <w:lang w:val="en-GB"/>
        </w:rPr>
        <w:t xml:space="preserve">by </w:t>
      </w:r>
      <w:r w:rsidR="00C9366E">
        <w:rPr>
          <w:rFonts w:asciiTheme="majorBidi" w:hAnsiTheme="majorBidi" w:cstheme="majorBidi"/>
          <w:bCs/>
          <w:iCs/>
          <w:lang w:val="en-GB"/>
        </w:rPr>
        <w:t xml:space="preserve">technocratic bodies seeking to shore up </w:t>
      </w:r>
      <w:r w:rsidR="008C2B51">
        <w:rPr>
          <w:rFonts w:asciiTheme="majorBidi" w:hAnsiTheme="majorBidi" w:cstheme="majorBidi"/>
          <w:bCs/>
          <w:iCs/>
          <w:lang w:val="en-GB"/>
        </w:rPr>
        <w:t>‘</w:t>
      </w:r>
      <w:r w:rsidR="00C9366E">
        <w:rPr>
          <w:rFonts w:asciiTheme="majorBidi" w:hAnsiTheme="majorBidi" w:cstheme="majorBidi"/>
          <w:bCs/>
          <w:iCs/>
          <w:lang w:val="en-GB"/>
        </w:rPr>
        <w:t>throughput legitimacy</w:t>
      </w:r>
      <w:r w:rsidR="008C2B51">
        <w:rPr>
          <w:rFonts w:asciiTheme="majorBidi" w:hAnsiTheme="majorBidi" w:cstheme="majorBidi"/>
          <w:bCs/>
          <w:iCs/>
          <w:lang w:val="en-GB"/>
        </w:rPr>
        <w:t>’</w:t>
      </w:r>
      <w:r w:rsidR="00C9366E">
        <w:rPr>
          <w:rFonts w:asciiTheme="majorBidi" w:hAnsiTheme="majorBidi" w:cstheme="majorBidi"/>
          <w:bCs/>
          <w:iCs/>
          <w:lang w:val="en-GB"/>
        </w:rPr>
        <w:t xml:space="preserve">. </w:t>
      </w:r>
    </w:p>
    <w:p w14:paraId="3376CAC0" w14:textId="77777777" w:rsidR="00C9366E" w:rsidRPr="00CB7511" w:rsidRDefault="00C9366E" w:rsidP="00172513">
      <w:pPr>
        <w:spacing w:line="360" w:lineRule="auto"/>
        <w:jc w:val="both"/>
        <w:rPr>
          <w:rFonts w:asciiTheme="majorBidi" w:hAnsiTheme="majorBidi" w:cstheme="majorBidi"/>
          <w:b/>
          <w:iCs/>
          <w:lang w:val="en-GB"/>
        </w:rPr>
      </w:pPr>
    </w:p>
    <w:p w14:paraId="29287266" w14:textId="2CD42C8C" w:rsidR="00F929D4" w:rsidRPr="00052538" w:rsidRDefault="00022AA2" w:rsidP="0025482D">
      <w:pPr>
        <w:spacing w:line="360" w:lineRule="auto"/>
        <w:jc w:val="both"/>
        <w:rPr>
          <w:rFonts w:asciiTheme="majorBidi" w:hAnsiTheme="majorBidi" w:cstheme="majorBidi"/>
          <w:bCs/>
          <w:iCs/>
        </w:rPr>
      </w:pPr>
      <w:r>
        <w:rPr>
          <w:rFonts w:asciiTheme="majorBidi" w:hAnsiTheme="majorBidi" w:cstheme="majorBidi"/>
          <w:bCs/>
          <w:iCs/>
          <w:lang w:val="en-GB"/>
        </w:rPr>
        <w:t xml:space="preserve">To be clear, this comparison was not </w:t>
      </w:r>
      <w:r w:rsidR="003D6C8C">
        <w:rPr>
          <w:rFonts w:asciiTheme="majorBidi" w:hAnsiTheme="majorBidi" w:cstheme="majorBidi"/>
          <w:bCs/>
          <w:iCs/>
          <w:lang w:val="en-GB"/>
        </w:rPr>
        <w:t>‘</w:t>
      </w:r>
      <w:r>
        <w:rPr>
          <w:rFonts w:asciiTheme="majorBidi" w:hAnsiTheme="majorBidi" w:cstheme="majorBidi"/>
          <w:bCs/>
          <w:iCs/>
          <w:lang w:val="en-GB"/>
        </w:rPr>
        <w:t>designed in</w:t>
      </w:r>
      <w:r w:rsidR="003D6C8C">
        <w:rPr>
          <w:rFonts w:asciiTheme="majorBidi" w:hAnsiTheme="majorBidi" w:cstheme="majorBidi"/>
          <w:bCs/>
          <w:iCs/>
          <w:lang w:val="en-GB"/>
        </w:rPr>
        <w:t>’ to a single</w:t>
      </w:r>
      <w:r>
        <w:rPr>
          <w:rFonts w:asciiTheme="majorBidi" w:hAnsiTheme="majorBidi" w:cstheme="majorBidi"/>
          <w:bCs/>
          <w:iCs/>
          <w:lang w:val="en-GB"/>
        </w:rPr>
        <w:t xml:space="preserve"> project</w:t>
      </w:r>
      <w:r w:rsidR="00483320">
        <w:rPr>
          <w:rFonts w:asciiTheme="majorBidi" w:hAnsiTheme="majorBidi" w:cstheme="majorBidi"/>
          <w:bCs/>
          <w:iCs/>
          <w:lang w:val="en-GB"/>
        </w:rPr>
        <w:t xml:space="preserve">—each </w:t>
      </w:r>
      <w:r w:rsidR="003D6C8C">
        <w:rPr>
          <w:rFonts w:asciiTheme="majorBidi" w:hAnsiTheme="majorBidi" w:cstheme="majorBidi"/>
          <w:bCs/>
          <w:iCs/>
          <w:lang w:val="en-GB"/>
        </w:rPr>
        <w:t xml:space="preserve">case </w:t>
      </w:r>
      <w:r w:rsidR="00483320">
        <w:rPr>
          <w:rFonts w:asciiTheme="majorBidi" w:hAnsiTheme="majorBidi" w:cstheme="majorBidi"/>
          <w:bCs/>
          <w:iCs/>
          <w:lang w:val="en-GB"/>
        </w:rPr>
        <w:t>was pursued separately in the initial stages.</w:t>
      </w:r>
      <w:r w:rsidR="003D6C8C">
        <w:rPr>
          <w:rFonts w:asciiTheme="majorBidi" w:hAnsiTheme="majorBidi" w:cstheme="majorBidi"/>
          <w:bCs/>
          <w:iCs/>
          <w:lang w:val="en-GB"/>
        </w:rPr>
        <w:t xml:space="preserve"> However, as these affinities (and divergences) emerged, it became clear that comparison would prove fruitful—</w:t>
      </w:r>
      <w:r w:rsidR="00685E65">
        <w:rPr>
          <w:rFonts w:asciiTheme="majorBidi" w:hAnsiTheme="majorBidi" w:cstheme="majorBidi"/>
          <w:bCs/>
          <w:iCs/>
          <w:lang w:val="en-GB"/>
        </w:rPr>
        <w:t>something</w:t>
      </w:r>
      <w:r w:rsidR="003D6C8C">
        <w:rPr>
          <w:rFonts w:asciiTheme="majorBidi" w:hAnsiTheme="majorBidi" w:cstheme="majorBidi"/>
          <w:bCs/>
          <w:iCs/>
          <w:lang w:val="en-GB"/>
        </w:rPr>
        <w:t xml:space="preserve"> entirely consistent with the interpretive approach to political analysis that underpins our collective research (see Yanow 2014). </w:t>
      </w:r>
      <w:r w:rsidR="00C9366E">
        <w:rPr>
          <w:rFonts w:asciiTheme="majorBidi" w:hAnsiTheme="majorBidi" w:cstheme="majorBidi"/>
          <w:bCs/>
          <w:iCs/>
          <w:lang w:val="en-GB"/>
        </w:rPr>
        <w:t xml:space="preserve">The empirical data for the Forum was gathered between 2011-2012 as part of an </w:t>
      </w:r>
      <w:r w:rsidR="001101F8">
        <w:rPr>
          <w:rFonts w:asciiTheme="majorBidi" w:hAnsiTheme="majorBidi" w:cstheme="majorBidi"/>
          <w:bCs/>
          <w:iCs/>
          <w:lang w:val="en-GB"/>
        </w:rPr>
        <w:t>intensive project</w:t>
      </w:r>
      <w:r w:rsidR="00C9366E">
        <w:rPr>
          <w:rStyle w:val="EndnoteReference"/>
          <w:rFonts w:asciiTheme="majorBidi" w:hAnsiTheme="majorBidi" w:cstheme="majorBidi"/>
          <w:bCs/>
          <w:iCs/>
          <w:lang w:val="en-GB"/>
        </w:rPr>
        <w:endnoteReference w:id="6"/>
      </w:r>
      <w:r w:rsidR="00C9366E">
        <w:rPr>
          <w:rFonts w:asciiTheme="majorBidi" w:hAnsiTheme="majorBidi" w:cstheme="majorBidi"/>
          <w:bCs/>
          <w:iCs/>
          <w:lang w:val="en-GB"/>
        </w:rPr>
        <w:t xml:space="preserve"> </w:t>
      </w:r>
      <w:r w:rsidR="003C6069">
        <w:rPr>
          <w:rFonts w:asciiTheme="majorBidi" w:hAnsiTheme="majorBidi" w:cstheme="majorBidi"/>
          <w:bCs/>
          <w:iCs/>
          <w:lang w:val="en-GB"/>
        </w:rPr>
        <w:t xml:space="preserve">as well as via informal conversations held </w:t>
      </w:r>
      <w:r w:rsidR="001101F8">
        <w:rPr>
          <w:rFonts w:asciiTheme="majorBidi" w:hAnsiTheme="majorBidi" w:cstheme="majorBidi"/>
          <w:bCs/>
          <w:iCs/>
          <w:lang w:val="en-GB"/>
        </w:rPr>
        <w:t xml:space="preserve">subsequently </w:t>
      </w:r>
      <w:r w:rsidR="003C6069">
        <w:rPr>
          <w:rFonts w:asciiTheme="majorBidi" w:hAnsiTheme="majorBidi" w:cstheme="majorBidi"/>
          <w:bCs/>
          <w:iCs/>
          <w:lang w:val="en-GB"/>
        </w:rPr>
        <w:t xml:space="preserve">with children’s NGOs during </w:t>
      </w:r>
      <w:r w:rsidR="00EB6F7F">
        <w:rPr>
          <w:rFonts w:asciiTheme="majorBidi" w:hAnsiTheme="majorBidi" w:cstheme="majorBidi"/>
          <w:bCs/>
          <w:iCs/>
          <w:lang w:val="en-GB"/>
        </w:rPr>
        <w:t>a knowledg</w:t>
      </w:r>
      <w:r w:rsidR="0025482D">
        <w:rPr>
          <w:rFonts w:asciiTheme="majorBidi" w:hAnsiTheme="majorBidi" w:cstheme="majorBidi"/>
          <w:bCs/>
          <w:iCs/>
          <w:lang w:val="en-GB"/>
        </w:rPr>
        <w:t>e exchange programme (</w:t>
      </w:r>
      <w:r w:rsidR="00DB63A8">
        <w:rPr>
          <w:rFonts w:asciiTheme="majorBidi" w:hAnsiTheme="majorBidi" w:cstheme="majorBidi"/>
          <w:bCs/>
          <w:iCs/>
          <w:lang w:val="en-GB"/>
        </w:rPr>
        <w:t xml:space="preserve">from 2013-2015, </w:t>
      </w:r>
      <w:r w:rsidR="0025482D">
        <w:rPr>
          <w:rFonts w:asciiTheme="majorBidi" w:hAnsiTheme="majorBidi" w:cstheme="majorBidi"/>
          <w:bCs/>
          <w:iCs/>
          <w:lang w:val="en-GB"/>
        </w:rPr>
        <w:t>see</w:t>
      </w:r>
      <w:r w:rsidR="00DB63A8">
        <w:rPr>
          <w:rFonts w:asciiTheme="majorBidi" w:hAnsiTheme="majorBidi" w:cstheme="majorBidi"/>
          <w:bCs/>
          <w:iCs/>
          <w:lang w:val="en-GB"/>
        </w:rPr>
        <w:t xml:space="preserve"> also Iusmen and Stalford 2016</w:t>
      </w:r>
      <w:r w:rsidR="00EB6F7F">
        <w:rPr>
          <w:rFonts w:asciiTheme="majorBidi" w:hAnsiTheme="majorBidi" w:cstheme="majorBidi"/>
          <w:bCs/>
          <w:iCs/>
          <w:lang w:val="en-GB"/>
        </w:rPr>
        <w:t xml:space="preserve">). </w:t>
      </w:r>
      <w:r w:rsidR="00D0616E">
        <w:rPr>
          <w:rFonts w:asciiTheme="majorBidi" w:hAnsiTheme="majorBidi" w:cstheme="majorBidi"/>
          <w:bCs/>
          <w:iCs/>
          <w:lang w:val="en-GB"/>
        </w:rPr>
        <w:t xml:space="preserve">The empirical data for the NHS England </w:t>
      </w:r>
      <w:r w:rsidR="00757760" w:rsidRPr="00757760">
        <w:rPr>
          <w:rFonts w:asciiTheme="majorBidi" w:hAnsiTheme="majorBidi" w:cstheme="majorBidi"/>
          <w:bCs/>
          <w:iCs/>
          <w:lang w:val="en-GB"/>
        </w:rPr>
        <w:t>case draws on a detailed documentary analysis of online resources, including formal documents, archived video footage, and social media outputs (all publicly available at: http://www.nhscitizen.org.uk/). It is also informed by observation drawn from attendance at three public meetings, and by in-depth discussions stemming from those meetings with key members of the NHS Citizen team.</w:t>
      </w:r>
      <w:r w:rsidR="00E2686B">
        <w:rPr>
          <w:rStyle w:val="EndnoteReference"/>
          <w:rFonts w:asciiTheme="majorBidi" w:hAnsiTheme="majorBidi" w:cstheme="majorBidi"/>
          <w:bCs/>
          <w:iCs/>
          <w:lang w:val="en-GB"/>
        </w:rPr>
        <w:endnoteReference w:id="7"/>
      </w:r>
      <w:r w:rsidR="00757760" w:rsidRPr="00757760">
        <w:rPr>
          <w:rFonts w:asciiTheme="majorBidi" w:hAnsiTheme="majorBidi" w:cstheme="majorBidi"/>
          <w:bCs/>
          <w:iCs/>
          <w:lang w:val="en-GB"/>
        </w:rPr>
        <w:t xml:space="preserve"> </w:t>
      </w:r>
    </w:p>
    <w:p w14:paraId="3AA7853F" w14:textId="77777777" w:rsidR="00054F7E" w:rsidRDefault="00054F7E" w:rsidP="00EB6F7F">
      <w:pPr>
        <w:spacing w:line="360" w:lineRule="auto"/>
        <w:jc w:val="both"/>
        <w:rPr>
          <w:rFonts w:asciiTheme="majorBidi" w:hAnsiTheme="majorBidi" w:cstheme="majorBidi"/>
          <w:bCs/>
          <w:iCs/>
          <w:lang w:val="en-GB"/>
        </w:rPr>
      </w:pPr>
    </w:p>
    <w:p w14:paraId="10A7B794" w14:textId="2B96E4DB" w:rsidR="003024D6" w:rsidRDefault="00A46B6B" w:rsidP="00685E65">
      <w:pPr>
        <w:spacing w:line="360" w:lineRule="auto"/>
        <w:jc w:val="both"/>
        <w:rPr>
          <w:rFonts w:asciiTheme="majorBidi" w:hAnsiTheme="majorBidi" w:cstheme="majorBidi"/>
          <w:bCs/>
          <w:iCs/>
          <w:lang w:val="en-GB"/>
        </w:rPr>
      </w:pPr>
      <w:r>
        <w:rPr>
          <w:rFonts w:asciiTheme="majorBidi" w:hAnsiTheme="majorBidi" w:cstheme="majorBidi"/>
          <w:bCs/>
          <w:iCs/>
          <w:lang w:val="en-GB"/>
        </w:rPr>
        <w:t xml:space="preserve">Using this wealth of data from across the cases, our focus </w:t>
      </w:r>
      <w:r w:rsidR="00805FA7">
        <w:rPr>
          <w:rFonts w:asciiTheme="majorBidi" w:hAnsiTheme="majorBidi" w:cstheme="majorBidi"/>
          <w:bCs/>
          <w:iCs/>
          <w:lang w:val="en-GB"/>
        </w:rPr>
        <w:t>is</w:t>
      </w:r>
      <w:r>
        <w:rPr>
          <w:rFonts w:asciiTheme="majorBidi" w:hAnsiTheme="majorBidi" w:cstheme="majorBidi"/>
          <w:bCs/>
          <w:iCs/>
          <w:lang w:val="en-GB"/>
        </w:rPr>
        <w:t xml:space="preserve"> on analysing the commonalities and differences in how these mechanisms </w:t>
      </w:r>
      <w:r w:rsidR="00685E65">
        <w:rPr>
          <w:rFonts w:asciiTheme="majorBidi" w:hAnsiTheme="majorBidi" w:cstheme="majorBidi"/>
          <w:bCs/>
          <w:iCs/>
          <w:lang w:val="en-GB"/>
        </w:rPr>
        <w:t>pursue</w:t>
      </w:r>
      <w:r>
        <w:rPr>
          <w:rFonts w:asciiTheme="majorBidi" w:hAnsiTheme="majorBidi" w:cstheme="majorBidi"/>
          <w:bCs/>
          <w:iCs/>
          <w:lang w:val="en-GB"/>
        </w:rPr>
        <w:t xml:space="preserve"> throughput legitimacy for the technocratic bodies in question.</w:t>
      </w:r>
      <w:r w:rsidR="003024D6">
        <w:rPr>
          <w:rFonts w:asciiTheme="majorBidi" w:hAnsiTheme="majorBidi" w:cstheme="majorBidi"/>
          <w:bCs/>
          <w:iCs/>
          <w:lang w:val="en-GB"/>
        </w:rPr>
        <w:t xml:space="preserve"> Drawing on criteria elucidated in Schmidt’s account, we operationalize </w:t>
      </w:r>
      <w:r>
        <w:rPr>
          <w:rFonts w:asciiTheme="majorBidi" w:hAnsiTheme="majorBidi" w:cstheme="majorBidi"/>
          <w:bCs/>
          <w:iCs/>
          <w:lang w:val="en-GB"/>
        </w:rPr>
        <w:t>‘</w:t>
      </w:r>
      <w:r w:rsidR="003024D6">
        <w:rPr>
          <w:rFonts w:asciiTheme="majorBidi" w:hAnsiTheme="majorBidi" w:cstheme="majorBidi"/>
          <w:bCs/>
          <w:iCs/>
          <w:lang w:val="en-GB"/>
        </w:rPr>
        <w:t>throughput legitimacy</w:t>
      </w:r>
      <w:r>
        <w:rPr>
          <w:rFonts w:asciiTheme="majorBidi" w:hAnsiTheme="majorBidi" w:cstheme="majorBidi"/>
          <w:bCs/>
          <w:iCs/>
          <w:lang w:val="en-GB"/>
        </w:rPr>
        <w:t>’</w:t>
      </w:r>
      <w:r w:rsidR="003024D6">
        <w:rPr>
          <w:rFonts w:asciiTheme="majorBidi" w:hAnsiTheme="majorBidi" w:cstheme="majorBidi"/>
          <w:bCs/>
          <w:iCs/>
          <w:lang w:val="en-GB"/>
        </w:rPr>
        <w:t xml:space="preserve"> as the </w:t>
      </w:r>
      <w:r w:rsidR="003024D6" w:rsidRPr="00E014CA">
        <w:rPr>
          <w:rFonts w:asciiTheme="majorBidi" w:hAnsiTheme="majorBidi" w:cstheme="majorBidi"/>
          <w:bCs/>
          <w:i/>
          <w:iCs/>
          <w:lang w:val="en-GB"/>
        </w:rPr>
        <w:t>quality of participation</w:t>
      </w:r>
      <w:r w:rsidR="003024D6">
        <w:rPr>
          <w:rFonts w:asciiTheme="majorBidi" w:hAnsiTheme="majorBidi" w:cstheme="majorBidi"/>
          <w:bCs/>
          <w:iCs/>
          <w:lang w:val="en-GB"/>
        </w:rPr>
        <w:t xml:space="preserve"> in the governance process as measured by: </w:t>
      </w:r>
      <w:r w:rsidR="003024D6">
        <w:rPr>
          <w:rFonts w:asciiTheme="majorBidi" w:hAnsiTheme="majorBidi" w:cstheme="majorBidi"/>
          <w:lang w:val="en-GB"/>
        </w:rPr>
        <w:t xml:space="preserve">a) </w:t>
      </w:r>
      <w:r>
        <w:rPr>
          <w:rFonts w:asciiTheme="majorBidi" w:hAnsiTheme="majorBidi" w:cstheme="majorBidi"/>
          <w:lang w:val="en-GB"/>
        </w:rPr>
        <w:t xml:space="preserve">input into agenda-setting, b) </w:t>
      </w:r>
      <w:r w:rsidR="00133896">
        <w:rPr>
          <w:rFonts w:asciiTheme="majorBidi" w:hAnsiTheme="majorBidi" w:cstheme="majorBidi"/>
          <w:lang w:val="en-GB"/>
        </w:rPr>
        <w:t xml:space="preserve">effect </w:t>
      </w:r>
      <w:r w:rsidR="00685E65">
        <w:rPr>
          <w:rFonts w:asciiTheme="majorBidi" w:hAnsiTheme="majorBidi" w:cstheme="majorBidi"/>
          <w:lang w:val="en-GB"/>
        </w:rPr>
        <w:t>on</w:t>
      </w:r>
      <w:r w:rsidR="003024D6">
        <w:rPr>
          <w:rFonts w:asciiTheme="majorBidi" w:hAnsiTheme="majorBidi" w:cstheme="majorBidi"/>
          <w:lang w:val="en-GB"/>
        </w:rPr>
        <w:t xml:space="preserve"> policy outcomes.</w:t>
      </w:r>
      <w:r w:rsidR="008651E0">
        <w:rPr>
          <w:rFonts w:asciiTheme="majorBidi" w:hAnsiTheme="majorBidi" w:cstheme="majorBidi"/>
          <w:lang w:val="en-GB"/>
        </w:rPr>
        <w:t xml:space="preserve"> The former renders the extent</w:t>
      </w:r>
      <w:r w:rsidR="003024D6">
        <w:rPr>
          <w:rFonts w:asciiTheme="majorBidi" w:hAnsiTheme="majorBidi" w:cstheme="majorBidi"/>
          <w:lang w:val="en-GB"/>
        </w:rPr>
        <w:t xml:space="preserve"> </w:t>
      </w:r>
      <w:r w:rsidR="008651E0">
        <w:rPr>
          <w:rFonts w:asciiTheme="majorBidi" w:hAnsiTheme="majorBidi" w:cstheme="majorBidi"/>
          <w:lang w:val="en-GB"/>
        </w:rPr>
        <w:t>to which stakeholders can shape the agenda of the participatory mechanisms: what topics are discussed and the concrete format of the participation itself. The latter focuses on the effects and consequences of stakeholder participation: namely how successfully the participation of stakeholders in policy debates feeds into the policy process.</w:t>
      </w:r>
    </w:p>
    <w:p w14:paraId="19AE8E83" w14:textId="77777777" w:rsidR="006E18EA" w:rsidRDefault="006E18EA" w:rsidP="00172513">
      <w:pPr>
        <w:spacing w:line="360" w:lineRule="auto"/>
        <w:jc w:val="both"/>
        <w:rPr>
          <w:rFonts w:asciiTheme="majorBidi" w:hAnsiTheme="majorBidi" w:cstheme="majorBidi"/>
          <w:bCs/>
          <w:iCs/>
          <w:lang w:val="en-GB"/>
        </w:rPr>
      </w:pPr>
    </w:p>
    <w:p w14:paraId="41BE7316" w14:textId="77777777" w:rsidR="00D06C98" w:rsidRDefault="00D06C98" w:rsidP="00172513">
      <w:pPr>
        <w:spacing w:line="360" w:lineRule="auto"/>
        <w:jc w:val="both"/>
        <w:rPr>
          <w:rFonts w:asciiTheme="majorBidi" w:hAnsiTheme="majorBidi" w:cstheme="majorBidi"/>
          <w:b/>
          <w:bCs/>
          <w:iCs/>
          <w:lang w:val="en-GB"/>
        </w:rPr>
      </w:pPr>
    </w:p>
    <w:p w14:paraId="15A83CB9" w14:textId="107B0B7B" w:rsidR="006E18EA" w:rsidRPr="00B10073" w:rsidRDefault="006E18EA" w:rsidP="00172513">
      <w:pPr>
        <w:spacing w:line="360" w:lineRule="auto"/>
        <w:jc w:val="both"/>
        <w:rPr>
          <w:rFonts w:asciiTheme="majorBidi" w:hAnsiTheme="majorBidi" w:cstheme="majorBidi"/>
          <w:bCs/>
          <w:iCs/>
          <w:lang w:val="en-GB"/>
        </w:rPr>
      </w:pPr>
      <w:r w:rsidRPr="00B10073">
        <w:rPr>
          <w:rFonts w:asciiTheme="majorBidi" w:hAnsiTheme="majorBidi" w:cstheme="majorBidi"/>
          <w:b/>
          <w:bCs/>
          <w:iCs/>
          <w:lang w:val="en-GB"/>
        </w:rPr>
        <w:t>2. European Commission and human rights: the case of children’s rights</w:t>
      </w:r>
    </w:p>
    <w:p w14:paraId="722E487D" w14:textId="77777777" w:rsidR="006E18EA" w:rsidRPr="00B10073" w:rsidRDefault="006E18EA" w:rsidP="00172513">
      <w:pPr>
        <w:spacing w:line="360" w:lineRule="auto"/>
        <w:jc w:val="both"/>
        <w:rPr>
          <w:rFonts w:asciiTheme="majorBidi" w:hAnsiTheme="majorBidi" w:cstheme="majorBidi"/>
          <w:bCs/>
          <w:iCs/>
          <w:lang w:val="en-GB"/>
        </w:rPr>
      </w:pPr>
    </w:p>
    <w:p w14:paraId="43361730" w14:textId="33A09CF9" w:rsidR="006E18EA" w:rsidRPr="00B10073" w:rsidRDefault="006E18EA" w:rsidP="00172513">
      <w:pPr>
        <w:spacing w:line="360" w:lineRule="auto"/>
        <w:jc w:val="both"/>
        <w:rPr>
          <w:rFonts w:asciiTheme="majorBidi" w:hAnsiTheme="majorBidi" w:cstheme="majorBidi"/>
          <w:bCs/>
          <w:iCs/>
          <w:lang w:val="en-GB"/>
        </w:rPr>
      </w:pPr>
      <w:r w:rsidRPr="00B10073">
        <w:rPr>
          <w:rFonts w:asciiTheme="majorBidi" w:eastAsia="MS Mincho" w:hAnsiTheme="majorBidi" w:cstheme="majorBidi"/>
          <w:bCs/>
          <w:iCs/>
          <w:lang w:val="en-GB"/>
        </w:rPr>
        <w:t>The European Commission</w:t>
      </w:r>
      <w:r w:rsidR="003B777C">
        <w:rPr>
          <w:rFonts w:asciiTheme="majorBidi" w:eastAsia="MS Mincho" w:hAnsiTheme="majorBidi" w:cstheme="majorBidi"/>
          <w:bCs/>
          <w:iCs/>
          <w:lang w:val="en-GB"/>
        </w:rPr>
        <w:t xml:space="preserve">’s </w:t>
      </w:r>
      <w:r w:rsidRPr="00B10073">
        <w:rPr>
          <w:rFonts w:asciiTheme="majorBidi" w:eastAsia="MS Mincho" w:hAnsiTheme="majorBidi" w:cstheme="majorBidi"/>
          <w:bCs/>
          <w:iCs/>
          <w:lang w:val="en-GB"/>
        </w:rPr>
        <w:t>policy agenda has expanded to include new issues related to human rights.</w:t>
      </w:r>
      <w:r w:rsidRPr="00B10073">
        <w:rPr>
          <w:rFonts w:asciiTheme="majorBidi" w:hAnsiTheme="majorBidi" w:cstheme="majorBidi"/>
          <w:bCs/>
          <w:iCs/>
          <w:lang w:val="en-GB"/>
        </w:rPr>
        <w:t xml:space="preserve"> Over the last decade the European Commission has taken decisive action to address the violation of children’s rights inside and outside the Union. By </w:t>
      </w:r>
      <w:r>
        <w:rPr>
          <w:rFonts w:asciiTheme="majorBidi" w:hAnsiTheme="majorBidi" w:cstheme="majorBidi"/>
          <w:bCs/>
          <w:iCs/>
          <w:lang w:val="en-GB"/>
        </w:rPr>
        <w:t>developin</w:t>
      </w:r>
      <w:r w:rsidRPr="00B10073">
        <w:rPr>
          <w:rFonts w:asciiTheme="majorBidi" w:hAnsiTheme="majorBidi" w:cstheme="majorBidi"/>
          <w:bCs/>
          <w:iCs/>
          <w:lang w:val="en-GB"/>
        </w:rPr>
        <w:t>g plan</w:t>
      </w:r>
      <w:r>
        <w:rPr>
          <w:rFonts w:asciiTheme="majorBidi" w:hAnsiTheme="majorBidi" w:cstheme="majorBidi"/>
          <w:bCs/>
          <w:iCs/>
          <w:lang w:val="en-GB"/>
        </w:rPr>
        <w:t>s</w:t>
      </w:r>
      <w:r w:rsidRPr="00B10073">
        <w:rPr>
          <w:rFonts w:asciiTheme="majorBidi" w:hAnsiTheme="majorBidi" w:cstheme="majorBidi"/>
          <w:bCs/>
          <w:iCs/>
          <w:lang w:val="en-GB"/>
        </w:rPr>
        <w:t xml:space="preserve"> of action </w:t>
      </w:r>
      <w:r>
        <w:rPr>
          <w:rFonts w:asciiTheme="majorBidi" w:hAnsiTheme="majorBidi" w:cstheme="majorBidi"/>
          <w:bCs/>
          <w:iCs/>
          <w:lang w:val="en-GB"/>
        </w:rPr>
        <w:t>–</w:t>
      </w:r>
      <w:r w:rsidRPr="00B10073">
        <w:rPr>
          <w:rFonts w:asciiTheme="majorBidi" w:hAnsiTheme="majorBidi" w:cstheme="majorBidi"/>
          <w:bCs/>
          <w:iCs/>
          <w:lang w:val="en-GB"/>
        </w:rPr>
        <w:t xml:space="preserve"> </w:t>
      </w:r>
      <w:r>
        <w:rPr>
          <w:rFonts w:asciiTheme="majorBidi" w:hAnsiTheme="majorBidi" w:cstheme="majorBidi"/>
          <w:bCs/>
          <w:iCs/>
          <w:lang w:val="en-GB"/>
        </w:rPr>
        <w:t xml:space="preserve">such as </w:t>
      </w:r>
      <w:r w:rsidRPr="00B10073">
        <w:rPr>
          <w:rFonts w:asciiTheme="majorBidi" w:hAnsiTheme="majorBidi" w:cstheme="majorBidi"/>
          <w:bCs/>
          <w:iCs/>
          <w:lang w:val="en-GB"/>
        </w:rPr>
        <w:t>the Communication</w:t>
      </w:r>
      <w:r>
        <w:rPr>
          <w:rFonts w:asciiTheme="majorBidi" w:hAnsiTheme="majorBidi" w:cstheme="majorBidi"/>
          <w:bCs/>
          <w:iCs/>
          <w:lang w:val="en-GB"/>
        </w:rPr>
        <w:t>s</w:t>
      </w:r>
      <w:r w:rsidRPr="00B10073">
        <w:rPr>
          <w:rFonts w:asciiTheme="majorBidi" w:hAnsiTheme="majorBidi" w:cstheme="majorBidi"/>
          <w:bCs/>
          <w:iCs/>
          <w:lang w:val="en-GB"/>
        </w:rPr>
        <w:t xml:space="preserve"> </w:t>
      </w:r>
      <w:r w:rsidRPr="00B10073">
        <w:rPr>
          <w:rFonts w:asciiTheme="majorBidi" w:hAnsiTheme="majorBidi" w:cstheme="majorBidi"/>
          <w:bCs/>
          <w:i/>
          <w:iCs/>
          <w:lang w:val="en-GB"/>
        </w:rPr>
        <w:t xml:space="preserve">Towards an EU Strategy on the Rights of the Child </w:t>
      </w:r>
      <w:r w:rsidRPr="00B10073">
        <w:rPr>
          <w:rFonts w:asciiTheme="majorBidi" w:hAnsiTheme="majorBidi" w:cstheme="majorBidi"/>
          <w:bCs/>
          <w:iCs/>
          <w:lang w:val="en-GB"/>
        </w:rPr>
        <w:t xml:space="preserve">(2006) and </w:t>
      </w:r>
      <w:r w:rsidRPr="00B10073">
        <w:rPr>
          <w:rFonts w:asciiTheme="majorBidi" w:hAnsiTheme="majorBidi" w:cstheme="majorBidi"/>
          <w:bCs/>
          <w:i/>
          <w:iCs/>
          <w:lang w:val="en-GB"/>
        </w:rPr>
        <w:t>An EU Agenda for the Rights of the Child</w:t>
      </w:r>
      <w:r w:rsidRPr="00B10073">
        <w:rPr>
          <w:rFonts w:asciiTheme="majorBidi" w:hAnsiTheme="majorBidi" w:cstheme="majorBidi"/>
          <w:bCs/>
          <w:iCs/>
          <w:lang w:val="en-GB"/>
        </w:rPr>
        <w:t xml:space="preserve"> (2011)</w:t>
      </w:r>
      <w:r w:rsidR="00514458">
        <w:rPr>
          <w:rFonts w:asciiTheme="majorBidi" w:hAnsiTheme="majorBidi" w:cstheme="majorBidi"/>
          <w:bCs/>
          <w:iCs/>
          <w:lang w:val="en-GB"/>
        </w:rPr>
        <w:t xml:space="preserve"> </w:t>
      </w:r>
      <w:r w:rsidR="00514458" w:rsidRPr="00514458">
        <w:rPr>
          <w:rFonts w:asciiTheme="majorBidi" w:hAnsiTheme="majorBidi" w:cstheme="majorBidi"/>
          <w:bCs/>
          <w:iCs/>
          <w:lang w:val="en-GB"/>
        </w:rPr>
        <w:t xml:space="preserve">– </w:t>
      </w:r>
      <w:r w:rsidRPr="00B10073">
        <w:rPr>
          <w:rFonts w:asciiTheme="majorBidi" w:hAnsiTheme="majorBidi" w:cstheme="majorBidi"/>
          <w:bCs/>
          <w:iCs/>
          <w:lang w:val="en-GB"/>
        </w:rPr>
        <w:t xml:space="preserve">the Commission </w:t>
      </w:r>
      <w:r>
        <w:rPr>
          <w:rFonts w:asciiTheme="majorBidi" w:hAnsiTheme="majorBidi" w:cstheme="majorBidi"/>
          <w:bCs/>
          <w:iCs/>
          <w:lang w:val="en-GB"/>
        </w:rPr>
        <w:t>adopted</w:t>
      </w:r>
      <w:r w:rsidRPr="00B10073">
        <w:rPr>
          <w:rFonts w:asciiTheme="majorBidi" w:hAnsiTheme="majorBidi" w:cstheme="majorBidi"/>
          <w:bCs/>
          <w:iCs/>
          <w:lang w:val="en-GB"/>
        </w:rPr>
        <w:t xml:space="preserve"> a set of measures aimed at advancing child rights in line with the UN Convention on the Rights of the Child (CRC) principles. Despite having legal mandate to address child rights issues only in those sectors falling within the EU’s</w:t>
      </w:r>
      <w:r>
        <w:rPr>
          <w:rFonts w:asciiTheme="majorBidi" w:hAnsiTheme="majorBidi" w:cstheme="majorBidi"/>
          <w:bCs/>
          <w:iCs/>
          <w:lang w:val="en-GB"/>
        </w:rPr>
        <w:t xml:space="preserve"> jurisdiction</w:t>
      </w:r>
      <w:r w:rsidRPr="00B10073">
        <w:rPr>
          <w:rFonts w:asciiTheme="majorBidi" w:hAnsiTheme="majorBidi" w:cstheme="majorBidi"/>
          <w:bCs/>
          <w:iCs/>
          <w:lang w:val="en-GB"/>
        </w:rPr>
        <w:t xml:space="preserve">, the EU, steered by the Commission’s agenda-setting powers, has adopted a wide range of hard and soft law measures aimed at upholding the protection of child rights at the EU and national levels. </w:t>
      </w:r>
      <w:r>
        <w:rPr>
          <w:rFonts w:asciiTheme="majorBidi" w:hAnsiTheme="majorBidi" w:cstheme="majorBidi"/>
          <w:bCs/>
          <w:iCs/>
          <w:lang w:val="en-GB"/>
        </w:rPr>
        <w:t>T</w:t>
      </w:r>
      <w:r w:rsidRPr="00B10073">
        <w:rPr>
          <w:rFonts w:asciiTheme="majorBidi" w:hAnsiTheme="majorBidi" w:cstheme="majorBidi"/>
          <w:bCs/>
          <w:iCs/>
          <w:lang w:val="en-GB"/>
        </w:rPr>
        <w:t xml:space="preserve">he EU has no ‘general competence’ (European Commission 2011) in addressing children’s rights, as the primary responsibility for this area rests with the Member States. Nonetheless, the Union has recently become a </w:t>
      </w:r>
      <w:r>
        <w:rPr>
          <w:rFonts w:asciiTheme="majorBidi" w:hAnsiTheme="majorBidi" w:cstheme="majorBidi"/>
          <w:bCs/>
          <w:iCs/>
          <w:lang w:val="en-GB"/>
        </w:rPr>
        <w:t xml:space="preserve">key child rights </w:t>
      </w:r>
      <w:r w:rsidRPr="00B10073">
        <w:rPr>
          <w:rFonts w:asciiTheme="majorBidi" w:hAnsiTheme="majorBidi" w:cstheme="majorBidi"/>
          <w:bCs/>
          <w:iCs/>
          <w:lang w:val="en-GB"/>
        </w:rPr>
        <w:t xml:space="preserve">actor </w:t>
      </w:r>
      <w:r w:rsidR="00443BB9">
        <w:rPr>
          <w:rFonts w:asciiTheme="majorBidi" w:hAnsiTheme="majorBidi" w:cstheme="majorBidi"/>
          <w:bCs/>
          <w:iCs/>
          <w:lang w:val="en-GB"/>
        </w:rPr>
        <w:t>(Iusmen and Stalford 2016</w:t>
      </w:r>
      <w:r>
        <w:rPr>
          <w:rFonts w:asciiTheme="majorBidi" w:hAnsiTheme="majorBidi" w:cstheme="majorBidi"/>
          <w:bCs/>
          <w:iCs/>
          <w:lang w:val="en-GB"/>
        </w:rPr>
        <w:t xml:space="preserve">) </w:t>
      </w:r>
      <w:r w:rsidRPr="00B10073">
        <w:rPr>
          <w:rFonts w:asciiTheme="majorBidi" w:hAnsiTheme="majorBidi" w:cstheme="majorBidi"/>
          <w:bCs/>
          <w:iCs/>
          <w:lang w:val="en-GB"/>
        </w:rPr>
        <w:t xml:space="preserve">taking action aimed at addressing child rights violations or at supporting national efforts to do so. </w:t>
      </w:r>
    </w:p>
    <w:p w14:paraId="4441BC5D" w14:textId="77777777" w:rsidR="006E18EA" w:rsidRPr="00B10073" w:rsidRDefault="006E18EA" w:rsidP="00172513">
      <w:pPr>
        <w:spacing w:line="360" w:lineRule="auto"/>
        <w:jc w:val="both"/>
        <w:rPr>
          <w:rFonts w:asciiTheme="majorBidi" w:hAnsiTheme="majorBidi" w:cstheme="majorBidi"/>
          <w:bCs/>
          <w:iCs/>
          <w:lang w:val="en-GB"/>
        </w:rPr>
      </w:pPr>
    </w:p>
    <w:p w14:paraId="07D73FDE" w14:textId="7B025ED5" w:rsidR="006E18EA" w:rsidRPr="00B10073" w:rsidRDefault="006E18EA" w:rsidP="00E177C3">
      <w:pPr>
        <w:spacing w:line="360" w:lineRule="auto"/>
        <w:jc w:val="both"/>
        <w:rPr>
          <w:rFonts w:asciiTheme="majorBidi" w:hAnsiTheme="majorBidi" w:cstheme="majorBidi"/>
          <w:bCs/>
          <w:iCs/>
          <w:lang w:val="en-GB"/>
        </w:rPr>
      </w:pPr>
      <w:r>
        <w:rPr>
          <w:rFonts w:asciiTheme="majorBidi" w:hAnsiTheme="majorBidi" w:cstheme="majorBidi"/>
          <w:bCs/>
          <w:iCs/>
          <w:lang w:val="en-GB"/>
        </w:rPr>
        <w:t>The Commission’s</w:t>
      </w:r>
      <w:r w:rsidRPr="00B10073">
        <w:rPr>
          <w:rFonts w:asciiTheme="majorBidi" w:hAnsiTheme="majorBidi" w:cstheme="majorBidi"/>
          <w:bCs/>
          <w:iCs/>
          <w:lang w:val="en-GB"/>
        </w:rPr>
        <w:t xml:space="preserve"> engagement with child rights issues, however, entails the Union’s involvement with policy matters that usually constitute the remit of national authorities. All EU Member States have signed and ratified the main international instrument upholding the protection of child rights, namely the CRC, and therefore, they have the legal obligation to reform their institutional, legislative and policy structures to reflect the provisions and principles enshrined in the Convention. Nevertheless, the Commission’s actions aimed at protecting children’s rights, and therefore encroaching on issues broadly regarded to constitute national responsibility, have been met with disapproval from the Member States</w:t>
      </w:r>
      <w:r w:rsidRPr="00B10073">
        <w:rPr>
          <w:rStyle w:val="EndnoteReference"/>
          <w:rFonts w:asciiTheme="majorBidi" w:hAnsiTheme="majorBidi" w:cstheme="majorBidi"/>
          <w:bCs/>
          <w:iCs/>
          <w:lang w:val="en-GB"/>
        </w:rPr>
        <w:endnoteReference w:id="8"/>
      </w:r>
      <w:r w:rsidRPr="00B10073">
        <w:rPr>
          <w:rFonts w:asciiTheme="majorBidi" w:hAnsiTheme="majorBidi" w:cstheme="majorBidi"/>
          <w:bCs/>
          <w:iCs/>
          <w:lang w:val="en-GB"/>
        </w:rPr>
        <w:t>. Therefore, the Commission had to engage the key stakeholders, particularly civil society organisations and children’s NGOs, in order to craft a sense of</w:t>
      </w:r>
      <w:r>
        <w:rPr>
          <w:rFonts w:asciiTheme="majorBidi" w:hAnsiTheme="majorBidi" w:cstheme="majorBidi"/>
          <w:bCs/>
          <w:iCs/>
          <w:lang w:val="en-GB"/>
        </w:rPr>
        <w:t xml:space="preserve"> legitimacy </w:t>
      </w:r>
      <w:r w:rsidR="00D617F9">
        <w:rPr>
          <w:rFonts w:asciiTheme="majorBidi" w:hAnsiTheme="majorBidi" w:cstheme="majorBidi"/>
          <w:bCs/>
          <w:iCs/>
          <w:lang w:val="en-GB"/>
        </w:rPr>
        <w:t xml:space="preserve">for </w:t>
      </w:r>
      <w:r>
        <w:rPr>
          <w:rFonts w:asciiTheme="majorBidi" w:hAnsiTheme="majorBidi" w:cstheme="majorBidi"/>
          <w:bCs/>
          <w:iCs/>
          <w:lang w:val="en-GB"/>
        </w:rPr>
        <w:t>its actions addressing child rights matters.</w:t>
      </w:r>
      <w:r w:rsidRPr="00B10073">
        <w:rPr>
          <w:rFonts w:asciiTheme="majorBidi" w:hAnsiTheme="majorBidi" w:cstheme="majorBidi"/>
          <w:bCs/>
          <w:iCs/>
          <w:lang w:val="en-GB"/>
        </w:rPr>
        <w:t xml:space="preserve"> Indeed, usually the engagement of civil society actors in EU policymaking process plays a </w:t>
      </w:r>
      <w:r w:rsidRPr="00290B9A">
        <w:rPr>
          <w:rFonts w:asciiTheme="majorBidi" w:hAnsiTheme="majorBidi" w:cstheme="majorBidi"/>
          <w:bCs/>
          <w:lang w:val="en-GB"/>
        </w:rPr>
        <w:t>legitimating</w:t>
      </w:r>
      <w:r w:rsidR="00054F7E">
        <w:rPr>
          <w:rFonts w:asciiTheme="majorBidi" w:hAnsiTheme="majorBidi" w:cstheme="majorBidi"/>
          <w:bCs/>
          <w:iCs/>
          <w:lang w:val="en-GB"/>
        </w:rPr>
        <w:t xml:space="preserve"> role (</w:t>
      </w:r>
      <w:r w:rsidRPr="00B10073">
        <w:rPr>
          <w:rFonts w:asciiTheme="majorBidi" w:hAnsiTheme="majorBidi" w:cstheme="majorBidi"/>
          <w:bCs/>
          <w:iCs/>
          <w:lang w:val="en-GB"/>
        </w:rPr>
        <w:t>Smismans 2006)</w:t>
      </w:r>
      <w:r>
        <w:rPr>
          <w:rFonts w:asciiTheme="majorBidi" w:hAnsiTheme="majorBidi" w:cstheme="majorBidi"/>
          <w:bCs/>
          <w:iCs/>
          <w:lang w:val="en-GB"/>
        </w:rPr>
        <w:t xml:space="preserve"> </w:t>
      </w:r>
      <w:r w:rsidRPr="00B10073">
        <w:rPr>
          <w:rFonts w:asciiTheme="majorBidi" w:hAnsiTheme="majorBidi" w:cstheme="majorBidi"/>
          <w:bCs/>
          <w:iCs/>
          <w:lang w:val="en-GB"/>
        </w:rPr>
        <w:t xml:space="preserve">particularly in those policy sectors where the EU has limited legal mandate, such as children’s rights. </w:t>
      </w:r>
    </w:p>
    <w:p w14:paraId="67B9EB62" w14:textId="77777777" w:rsidR="006E18EA" w:rsidRPr="00B10073" w:rsidRDefault="006E18EA" w:rsidP="00172513">
      <w:pPr>
        <w:spacing w:line="360" w:lineRule="auto"/>
        <w:jc w:val="both"/>
        <w:rPr>
          <w:rFonts w:asciiTheme="majorBidi" w:hAnsiTheme="majorBidi" w:cstheme="majorBidi"/>
          <w:b/>
          <w:lang w:val="en-GB"/>
        </w:rPr>
      </w:pPr>
    </w:p>
    <w:p w14:paraId="55D5CE5D" w14:textId="77777777" w:rsidR="006E18EA" w:rsidRPr="00B10073" w:rsidRDefault="006E18EA" w:rsidP="00172513">
      <w:pPr>
        <w:spacing w:line="360" w:lineRule="auto"/>
        <w:jc w:val="both"/>
        <w:rPr>
          <w:rFonts w:asciiTheme="majorBidi" w:eastAsia="Calibri" w:hAnsiTheme="majorBidi" w:cstheme="majorBidi"/>
          <w:iCs/>
          <w:lang w:val="en-GB"/>
        </w:rPr>
      </w:pPr>
    </w:p>
    <w:p w14:paraId="30C41CE1" w14:textId="15ADEEB1" w:rsidR="006E18EA" w:rsidRDefault="006E18EA" w:rsidP="00C91776">
      <w:pPr>
        <w:spacing w:line="360" w:lineRule="auto"/>
        <w:jc w:val="both"/>
        <w:rPr>
          <w:rFonts w:asciiTheme="majorBidi" w:eastAsia="Calibri" w:hAnsiTheme="majorBidi" w:cstheme="majorBidi"/>
          <w:iCs/>
        </w:rPr>
      </w:pPr>
      <w:r w:rsidRPr="00B10073">
        <w:rPr>
          <w:rFonts w:asciiTheme="majorBidi" w:eastAsia="Calibri" w:hAnsiTheme="majorBidi" w:cstheme="majorBidi"/>
          <w:iCs/>
          <w:lang w:val="en-GB"/>
        </w:rPr>
        <w:t xml:space="preserve">Having endorsed the protection of children’s rights as a cross-sectoral issue to be addressed </w:t>
      </w:r>
      <w:r>
        <w:rPr>
          <w:rFonts w:asciiTheme="majorBidi" w:eastAsia="Calibri" w:hAnsiTheme="majorBidi" w:cstheme="majorBidi"/>
          <w:iCs/>
          <w:lang w:val="en-GB"/>
        </w:rPr>
        <w:t xml:space="preserve">by </w:t>
      </w:r>
      <w:r w:rsidRPr="00B10073">
        <w:rPr>
          <w:rFonts w:asciiTheme="majorBidi" w:eastAsia="Calibri" w:hAnsiTheme="majorBidi" w:cstheme="majorBidi"/>
          <w:iCs/>
          <w:lang w:val="en-GB"/>
        </w:rPr>
        <w:t xml:space="preserve">EU policies, </w:t>
      </w:r>
      <w:r>
        <w:rPr>
          <w:rFonts w:asciiTheme="majorBidi" w:eastAsia="Calibri" w:hAnsiTheme="majorBidi" w:cstheme="majorBidi"/>
          <w:iCs/>
          <w:lang w:val="en-GB"/>
        </w:rPr>
        <w:t xml:space="preserve">EU institutions adopted a </w:t>
      </w:r>
      <w:r w:rsidRPr="00B10073">
        <w:rPr>
          <w:rFonts w:asciiTheme="majorBidi" w:eastAsia="Calibri" w:hAnsiTheme="majorBidi" w:cstheme="majorBidi"/>
          <w:iCs/>
          <w:lang w:val="en-GB"/>
        </w:rPr>
        <w:t>wide range of measures</w:t>
      </w:r>
      <w:r w:rsidRPr="00B10073">
        <w:rPr>
          <w:rFonts w:asciiTheme="majorBidi" w:eastAsia="Calibri" w:hAnsiTheme="majorBidi" w:cstheme="majorBidi"/>
          <w:bCs/>
          <w:iCs/>
          <w:vertAlign w:val="superscript"/>
          <w:lang w:val="en-GB"/>
        </w:rPr>
        <w:endnoteReference w:id="9"/>
      </w:r>
      <w:r w:rsidRPr="00B10073">
        <w:rPr>
          <w:rFonts w:asciiTheme="majorBidi" w:eastAsia="Calibri" w:hAnsiTheme="majorBidi" w:cstheme="majorBidi"/>
          <w:bCs/>
          <w:iCs/>
          <w:lang w:val="en-GB"/>
        </w:rPr>
        <w:t xml:space="preserve"> </w:t>
      </w:r>
      <w:r w:rsidRPr="00B10073">
        <w:rPr>
          <w:rFonts w:asciiTheme="majorBidi" w:eastAsia="Calibri" w:hAnsiTheme="majorBidi" w:cstheme="majorBidi"/>
          <w:iCs/>
          <w:lang w:val="en-GB"/>
        </w:rPr>
        <w:t>across a range of policy sectors – for instance, health, migration, social inclusion, education to note just a few – in order to address specific child rights violations, such as trafficking, poverty and social exclusion, or discrimination. It was primarily the E</w:t>
      </w:r>
      <w:r w:rsidR="00F844C1">
        <w:rPr>
          <w:rFonts w:asciiTheme="majorBidi" w:eastAsia="Calibri" w:hAnsiTheme="majorBidi" w:cstheme="majorBidi"/>
          <w:iCs/>
          <w:lang w:val="en-GB"/>
        </w:rPr>
        <w:t xml:space="preserve">uropean Commission </w:t>
      </w:r>
      <w:r w:rsidRPr="00B10073">
        <w:rPr>
          <w:rFonts w:asciiTheme="majorBidi" w:eastAsia="Calibri" w:hAnsiTheme="majorBidi" w:cstheme="majorBidi"/>
          <w:iCs/>
          <w:lang w:val="en-GB"/>
        </w:rPr>
        <w:t>that spearheaded the new EU child rights policy</w:t>
      </w:r>
      <w:r w:rsidR="00C04502">
        <w:rPr>
          <w:rFonts w:asciiTheme="majorBidi" w:eastAsia="Calibri" w:hAnsiTheme="majorBidi" w:cstheme="majorBidi"/>
          <w:iCs/>
          <w:lang w:val="en-GB"/>
        </w:rPr>
        <w:t xml:space="preserve"> </w:t>
      </w:r>
      <w:r w:rsidR="00C04502" w:rsidRPr="00C04502">
        <w:rPr>
          <w:rFonts w:asciiTheme="majorBidi" w:eastAsia="Calibri" w:hAnsiTheme="majorBidi" w:cstheme="majorBidi"/>
          <w:iCs/>
          <w:lang w:val="en-GB"/>
        </w:rPr>
        <w:t>(Iusmen 2013)</w:t>
      </w:r>
      <w:r w:rsidRPr="00B10073">
        <w:rPr>
          <w:rFonts w:asciiTheme="majorBidi" w:eastAsia="Calibri" w:hAnsiTheme="majorBidi" w:cstheme="majorBidi"/>
          <w:iCs/>
          <w:lang w:val="en-GB"/>
        </w:rPr>
        <w:t xml:space="preserve">. Yet, given that the Member States were unwilling to embrace the Commission’s new role, as a champion for the European </w:t>
      </w:r>
      <w:r w:rsidR="00DE0757">
        <w:rPr>
          <w:rFonts w:asciiTheme="majorBidi" w:eastAsia="Calibri" w:hAnsiTheme="majorBidi" w:cstheme="majorBidi"/>
          <w:iCs/>
          <w:lang w:val="en-GB"/>
        </w:rPr>
        <w:t>children’s rights (Stalford 2012</w:t>
      </w:r>
      <w:r w:rsidRPr="00B10073">
        <w:rPr>
          <w:rFonts w:asciiTheme="majorBidi" w:eastAsia="Calibri" w:hAnsiTheme="majorBidi" w:cstheme="majorBidi"/>
          <w:iCs/>
          <w:lang w:val="en-GB"/>
        </w:rPr>
        <w:t xml:space="preserve">), the Commission had to devise mechanisms that would render its </w:t>
      </w:r>
      <w:r>
        <w:rPr>
          <w:rFonts w:asciiTheme="majorBidi" w:eastAsia="Calibri" w:hAnsiTheme="majorBidi" w:cstheme="majorBidi"/>
          <w:iCs/>
          <w:lang w:val="en-GB"/>
        </w:rPr>
        <w:t xml:space="preserve">actions in child rights matters </w:t>
      </w:r>
      <w:r w:rsidRPr="00B10073">
        <w:rPr>
          <w:rFonts w:asciiTheme="majorBidi" w:eastAsia="Calibri" w:hAnsiTheme="majorBidi" w:cstheme="majorBidi"/>
          <w:iCs/>
          <w:lang w:val="en-GB"/>
        </w:rPr>
        <w:t>more appealing to the key stakeholders, including national governments.</w:t>
      </w:r>
      <w:r>
        <w:rPr>
          <w:rFonts w:asciiTheme="majorBidi" w:eastAsia="Calibri" w:hAnsiTheme="majorBidi" w:cstheme="majorBidi"/>
          <w:iCs/>
          <w:lang w:val="en-GB"/>
        </w:rPr>
        <w:t xml:space="preserve"> </w:t>
      </w:r>
      <w:r w:rsidRPr="00B10073">
        <w:rPr>
          <w:rFonts w:asciiTheme="majorBidi" w:eastAsia="Calibri" w:hAnsiTheme="majorBidi" w:cstheme="majorBidi"/>
          <w:iCs/>
          <w:lang w:val="en-GB"/>
        </w:rPr>
        <w:t xml:space="preserve">One way of achieving this in practice was by developing bespoke </w:t>
      </w:r>
      <w:r w:rsidR="00EB35EF">
        <w:rPr>
          <w:rFonts w:asciiTheme="majorBidi" w:eastAsia="Calibri" w:hAnsiTheme="majorBidi" w:cstheme="majorBidi"/>
          <w:iCs/>
          <w:lang w:val="en-GB"/>
        </w:rPr>
        <w:t>participatory</w:t>
      </w:r>
      <w:r w:rsidRPr="00B10073">
        <w:rPr>
          <w:rFonts w:asciiTheme="majorBidi" w:eastAsia="Calibri" w:hAnsiTheme="majorBidi" w:cstheme="majorBidi"/>
          <w:iCs/>
          <w:lang w:val="en-GB"/>
        </w:rPr>
        <w:t xml:space="preserve"> mechanisms that would e</w:t>
      </w:r>
      <w:r w:rsidR="00EB35EF">
        <w:rPr>
          <w:rFonts w:asciiTheme="majorBidi" w:eastAsia="Calibri" w:hAnsiTheme="majorBidi" w:cstheme="majorBidi"/>
          <w:iCs/>
          <w:lang w:val="en-GB"/>
        </w:rPr>
        <w:t>ngage</w:t>
      </w:r>
      <w:r w:rsidRPr="00B10073">
        <w:rPr>
          <w:rFonts w:asciiTheme="majorBidi" w:eastAsia="Calibri" w:hAnsiTheme="majorBidi" w:cstheme="majorBidi"/>
          <w:iCs/>
          <w:lang w:val="en-GB"/>
        </w:rPr>
        <w:t xml:space="preserve"> civil society actors and NGOs in policy formulation. </w:t>
      </w:r>
      <w:r w:rsidR="00EB35EF">
        <w:rPr>
          <w:rFonts w:asciiTheme="majorBidi" w:eastAsia="Calibri" w:hAnsiTheme="majorBidi" w:cstheme="majorBidi"/>
          <w:iCs/>
          <w:lang w:val="en-GB"/>
        </w:rPr>
        <w:t>At the Commission level, t</w:t>
      </w:r>
      <w:r w:rsidRPr="00B10073">
        <w:rPr>
          <w:rFonts w:asciiTheme="majorBidi" w:eastAsia="Calibri" w:hAnsiTheme="majorBidi" w:cstheme="majorBidi"/>
          <w:iCs/>
          <w:lang w:val="en-GB"/>
        </w:rPr>
        <w:t xml:space="preserve">his process of stakeholder engagement gained momentum after the Commission’s </w:t>
      </w:r>
      <w:r w:rsidRPr="00B10073">
        <w:rPr>
          <w:rFonts w:asciiTheme="majorBidi" w:eastAsia="Calibri" w:hAnsiTheme="majorBidi" w:cstheme="majorBidi"/>
          <w:i/>
          <w:lang w:val="en-GB"/>
        </w:rPr>
        <w:t>White Paper on European Governance</w:t>
      </w:r>
      <w:r w:rsidRPr="00B10073">
        <w:rPr>
          <w:rFonts w:asciiTheme="majorBidi" w:eastAsia="Calibri" w:hAnsiTheme="majorBidi" w:cstheme="majorBidi"/>
          <w:iCs/>
          <w:lang w:val="en-GB"/>
        </w:rPr>
        <w:t xml:space="preserve"> (2001) which paved the way for the development of</w:t>
      </w:r>
      <w:r w:rsidR="00C91776">
        <w:rPr>
          <w:rFonts w:asciiTheme="majorBidi" w:eastAsia="Calibri" w:hAnsiTheme="majorBidi" w:cstheme="majorBidi"/>
          <w:iCs/>
          <w:lang w:val="en-GB"/>
        </w:rPr>
        <w:t xml:space="preserve"> regular </w:t>
      </w:r>
      <w:r w:rsidR="0025482D">
        <w:rPr>
          <w:rFonts w:asciiTheme="majorBidi" w:eastAsia="Calibri" w:hAnsiTheme="majorBidi" w:cstheme="majorBidi"/>
          <w:iCs/>
          <w:lang w:val="en-GB"/>
        </w:rPr>
        <w:t>consultations with stakeholders</w:t>
      </w:r>
      <w:r w:rsidRPr="00B10073">
        <w:rPr>
          <w:rFonts w:asciiTheme="majorBidi" w:eastAsia="Calibri" w:hAnsiTheme="majorBidi" w:cstheme="majorBidi"/>
          <w:iCs/>
        </w:rPr>
        <w:t xml:space="preserve">. </w:t>
      </w:r>
    </w:p>
    <w:p w14:paraId="6C8E25D3" w14:textId="77777777" w:rsidR="00C04502" w:rsidRDefault="00C04502" w:rsidP="00172513">
      <w:pPr>
        <w:spacing w:line="360" w:lineRule="auto"/>
        <w:jc w:val="both"/>
        <w:rPr>
          <w:rFonts w:asciiTheme="majorBidi" w:eastAsia="Calibri" w:hAnsiTheme="majorBidi" w:cstheme="majorBidi"/>
          <w:iCs/>
          <w:lang w:val="en-GB"/>
        </w:rPr>
      </w:pPr>
    </w:p>
    <w:p w14:paraId="244DF64E" w14:textId="77777777" w:rsidR="00C04502" w:rsidRPr="00B10073" w:rsidRDefault="00C04502" w:rsidP="00172513">
      <w:pPr>
        <w:spacing w:line="360" w:lineRule="auto"/>
        <w:jc w:val="both"/>
        <w:rPr>
          <w:rFonts w:asciiTheme="majorBidi" w:eastAsia="Calibri" w:hAnsiTheme="majorBidi" w:cstheme="majorBidi"/>
          <w:iCs/>
          <w:lang w:val="en-GB"/>
        </w:rPr>
      </w:pPr>
    </w:p>
    <w:p w14:paraId="2EFDFEF8" w14:textId="76E279A9" w:rsidR="006E18EA" w:rsidRDefault="006E18EA" w:rsidP="00172513">
      <w:pPr>
        <w:spacing w:line="360" w:lineRule="auto"/>
        <w:jc w:val="both"/>
        <w:rPr>
          <w:rFonts w:asciiTheme="majorBidi" w:hAnsiTheme="majorBidi" w:cstheme="majorBidi"/>
          <w:bCs/>
          <w:i/>
          <w:iCs/>
          <w:lang w:val="en-GB"/>
        </w:rPr>
      </w:pPr>
      <w:r w:rsidRPr="00B10073">
        <w:rPr>
          <w:rFonts w:asciiTheme="majorBidi" w:hAnsiTheme="majorBidi" w:cstheme="majorBidi"/>
          <w:bCs/>
          <w:i/>
          <w:iCs/>
          <w:lang w:val="en-GB"/>
        </w:rPr>
        <w:t>European Forum on the Rights of the Child</w:t>
      </w:r>
    </w:p>
    <w:p w14:paraId="11B1C98F" w14:textId="77777777" w:rsidR="00C04502" w:rsidRPr="00B10073" w:rsidRDefault="00C04502" w:rsidP="00172513">
      <w:pPr>
        <w:spacing w:line="360" w:lineRule="auto"/>
        <w:jc w:val="both"/>
        <w:rPr>
          <w:rFonts w:asciiTheme="majorBidi" w:hAnsiTheme="majorBidi" w:cstheme="majorBidi"/>
          <w:b/>
          <w:lang w:val="en-GB"/>
        </w:rPr>
      </w:pPr>
    </w:p>
    <w:p w14:paraId="5C889BBA" w14:textId="33B2B87A" w:rsidR="006E18EA" w:rsidRPr="00B10073" w:rsidRDefault="006E18EA" w:rsidP="00443BB9">
      <w:pPr>
        <w:spacing w:line="360" w:lineRule="auto"/>
        <w:jc w:val="both"/>
        <w:rPr>
          <w:rFonts w:asciiTheme="majorBidi" w:hAnsiTheme="majorBidi" w:cstheme="majorBidi"/>
          <w:bCs/>
          <w:lang w:val="en-GB"/>
        </w:rPr>
      </w:pPr>
      <w:r w:rsidRPr="00B10073">
        <w:rPr>
          <w:rFonts w:asciiTheme="majorBidi" w:hAnsiTheme="majorBidi" w:cstheme="majorBidi"/>
          <w:bCs/>
          <w:lang w:val="en-GB"/>
        </w:rPr>
        <w:t>In 2008 the Commission set up a European Forum on the Rights of the Child</w:t>
      </w:r>
      <w:r>
        <w:rPr>
          <w:rFonts w:asciiTheme="majorBidi" w:hAnsiTheme="majorBidi" w:cstheme="majorBidi"/>
          <w:bCs/>
          <w:lang w:val="en-GB"/>
        </w:rPr>
        <w:t>,</w:t>
      </w:r>
      <w:r w:rsidRPr="00B10073">
        <w:rPr>
          <w:rFonts w:asciiTheme="majorBidi" w:hAnsiTheme="majorBidi" w:cstheme="majorBidi"/>
          <w:bCs/>
          <w:lang w:val="en-GB"/>
        </w:rPr>
        <w:t xml:space="preserve"> which was specifically </w:t>
      </w:r>
      <w:r>
        <w:rPr>
          <w:rFonts w:asciiTheme="majorBidi" w:hAnsiTheme="majorBidi" w:cstheme="majorBidi"/>
          <w:bCs/>
          <w:lang w:val="en-GB"/>
        </w:rPr>
        <w:t xml:space="preserve">aimed at involving </w:t>
      </w:r>
      <w:r w:rsidRPr="00B10073">
        <w:rPr>
          <w:rFonts w:asciiTheme="majorBidi" w:hAnsiTheme="majorBidi" w:cstheme="majorBidi"/>
          <w:bCs/>
          <w:lang w:val="en-GB"/>
        </w:rPr>
        <w:t>the key stakeholders</w:t>
      </w:r>
      <w:r>
        <w:rPr>
          <w:rStyle w:val="EndnoteReference"/>
          <w:rFonts w:asciiTheme="majorBidi" w:hAnsiTheme="majorBidi" w:cstheme="majorBidi"/>
          <w:bCs/>
          <w:lang w:val="en-GB"/>
        </w:rPr>
        <w:endnoteReference w:id="10"/>
      </w:r>
      <w:r w:rsidRPr="00B10073">
        <w:rPr>
          <w:rFonts w:asciiTheme="majorBidi" w:hAnsiTheme="majorBidi" w:cstheme="majorBidi"/>
          <w:bCs/>
          <w:lang w:val="en-GB"/>
        </w:rPr>
        <w:t xml:space="preserve"> in the policy-making process (European Commission 2008</w:t>
      </w:r>
      <w:r w:rsidR="007F6E8F">
        <w:rPr>
          <w:rFonts w:asciiTheme="majorBidi" w:hAnsiTheme="majorBidi" w:cstheme="majorBidi"/>
          <w:bCs/>
          <w:lang w:val="en-GB"/>
        </w:rPr>
        <w:t xml:space="preserve">: </w:t>
      </w:r>
      <w:r>
        <w:rPr>
          <w:rFonts w:asciiTheme="majorBidi" w:hAnsiTheme="majorBidi" w:cstheme="majorBidi"/>
          <w:bCs/>
          <w:lang w:val="en-GB"/>
        </w:rPr>
        <w:t>3</w:t>
      </w:r>
      <w:r w:rsidRPr="00B10073">
        <w:rPr>
          <w:rFonts w:asciiTheme="majorBidi" w:hAnsiTheme="majorBidi" w:cstheme="majorBidi"/>
          <w:bCs/>
          <w:lang w:val="en-GB"/>
        </w:rPr>
        <w:t xml:space="preserve">). By bringing together the main children’s </w:t>
      </w:r>
      <w:r>
        <w:rPr>
          <w:rFonts w:asciiTheme="majorBidi" w:hAnsiTheme="majorBidi" w:cstheme="majorBidi"/>
          <w:bCs/>
          <w:lang w:val="en-GB"/>
        </w:rPr>
        <w:t xml:space="preserve">rights organisations </w:t>
      </w:r>
      <w:r w:rsidRPr="00B10073">
        <w:rPr>
          <w:rFonts w:asciiTheme="majorBidi" w:hAnsiTheme="majorBidi" w:cstheme="majorBidi"/>
          <w:bCs/>
          <w:lang w:val="en-GB"/>
        </w:rPr>
        <w:t xml:space="preserve">as well as transnational networks, the Forum on the Rights of the Child was intended to play an advisory role to the Commission services on specific child rights policy issues.  </w:t>
      </w:r>
      <w:r>
        <w:rPr>
          <w:rFonts w:asciiTheme="majorBidi" w:hAnsiTheme="majorBidi" w:cstheme="majorBidi"/>
          <w:bCs/>
          <w:lang w:val="en-GB"/>
        </w:rPr>
        <w:t>T</w:t>
      </w:r>
      <w:r w:rsidRPr="00B10073">
        <w:rPr>
          <w:rFonts w:asciiTheme="majorBidi" w:hAnsiTheme="majorBidi" w:cstheme="majorBidi"/>
          <w:bCs/>
          <w:lang w:val="en-GB"/>
        </w:rPr>
        <w:t xml:space="preserve">he Forum was </w:t>
      </w:r>
      <w:r>
        <w:rPr>
          <w:rFonts w:asciiTheme="majorBidi" w:hAnsiTheme="majorBidi" w:cstheme="majorBidi"/>
          <w:bCs/>
          <w:lang w:val="en-GB"/>
        </w:rPr>
        <w:t>expect</w:t>
      </w:r>
      <w:r w:rsidRPr="00B10073">
        <w:rPr>
          <w:rFonts w:asciiTheme="majorBidi" w:hAnsiTheme="majorBidi" w:cstheme="majorBidi"/>
          <w:bCs/>
          <w:lang w:val="en-GB"/>
        </w:rPr>
        <w:t>ed to provide a space to exchange knowledge and examples of best practice</w:t>
      </w:r>
      <w:r>
        <w:rPr>
          <w:rFonts w:asciiTheme="majorBidi" w:hAnsiTheme="majorBidi" w:cstheme="majorBidi"/>
          <w:bCs/>
          <w:lang w:val="en-GB"/>
        </w:rPr>
        <w:t xml:space="preserve"> among stakeholders, which</w:t>
      </w:r>
      <w:r w:rsidRPr="00B10073">
        <w:rPr>
          <w:rFonts w:asciiTheme="majorBidi" w:hAnsiTheme="majorBidi" w:cstheme="majorBidi"/>
          <w:bCs/>
          <w:lang w:val="en-GB"/>
        </w:rPr>
        <w:t xml:space="preserve"> would feed into the policy process </w:t>
      </w:r>
      <w:r>
        <w:rPr>
          <w:rFonts w:asciiTheme="majorBidi" w:hAnsiTheme="majorBidi" w:cstheme="majorBidi"/>
          <w:bCs/>
          <w:lang w:val="en-GB"/>
        </w:rPr>
        <w:t>(European Commission 2006</w:t>
      </w:r>
      <w:r w:rsidR="00767BA7">
        <w:rPr>
          <w:rFonts w:asciiTheme="majorBidi" w:hAnsiTheme="majorBidi" w:cstheme="majorBidi"/>
          <w:bCs/>
          <w:lang w:val="en-GB"/>
        </w:rPr>
        <w:t xml:space="preserve">: </w:t>
      </w:r>
      <w:r w:rsidRPr="00B10073">
        <w:rPr>
          <w:rFonts w:asciiTheme="majorBidi" w:hAnsiTheme="majorBidi" w:cstheme="majorBidi"/>
          <w:bCs/>
          <w:lang w:val="en-GB"/>
        </w:rPr>
        <w:t>1). Therefore, the Forum was designed, at least on paper, as a consultative</w:t>
      </w:r>
      <w:r>
        <w:rPr>
          <w:rFonts w:asciiTheme="majorBidi" w:hAnsiTheme="majorBidi" w:cstheme="majorBidi"/>
          <w:bCs/>
          <w:lang w:val="en-GB"/>
        </w:rPr>
        <w:t xml:space="preserve">, </w:t>
      </w:r>
      <w:r w:rsidRPr="00B10073">
        <w:rPr>
          <w:rFonts w:asciiTheme="majorBidi" w:hAnsiTheme="majorBidi" w:cstheme="majorBidi"/>
          <w:bCs/>
          <w:lang w:val="en-GB"/>
        </w:rPr>
        <w:t xml:space="preserve">participatory mechanism that would facilitate the policy deliberation and input by civil society actors. The engagement of leading child rights organisations in processes of policy debate and formulation would have also attached </w:t>
      </w:r>
      <w:r>
        <w:rPr>
          <w:rFonts w:asciiTheme="majorBidi" w:hAnsiTheme="majorBidi" w:cstheme="majorBidi"/>
          <w:bCs/>
          <w:lang w:val="en-GB"/>
        </w:rPr>
        <w:t xml:space="preserve">‘throughput’ </w:t>
      </w:r>
      <w:r w:rsidRPr="00B10073">
        <w:rPr>
          <w:rFonts w:asciiTheme="majorBidi" w:hAnsiTheme="majorBidi" w:cstheme="majorBidi"/>
          <w:bCs/>
          <w:lang w:val="en-GB"/>
        </w:rPr>
        <w:t xml:space="preserve">legitimacy to </w:t>
      </w:r>
      <w:r>
        <w:rPr>
          <w:rFonts w:asciiTheme="majorBidi" w:hAnsiTheme="majorBidi" w:cstheme="majorBidi"/>
          <w:bCs/>
          <w:lang w:val="en-GB"/>
        </w:rPr>
        <w:t xml:space="preserve">how </w:t>
      </w:r>
      <w:r w:rsidR="00527BCE">
        <w:rPr>
          <w:rFonts w:asciiTheme="majorBidi" w:hAnsiTheme="majorBidi" w:cstheme="majorBidi"/>
          <w:bCs/>
          <w:lang w:val="en-GB"/>
        </w:rPr>
        <w:t xml:space="preserve">the </w:t>
      </w:r>
      <w:r w:rsidRPr="00B10073">
        <w:rPr>
          <w:rFonts w:asciiTheme="majorBidi" w:hAnsiTheme="majorBidi" w:cstheme="majorBidi"/>
          <w:bCs/>
          <w:lang w:val="en-GB"/>
        </w:rPr>
        <w:t xml:space="preserve">Commission </w:t>
      </w:r>
      <w:r>
        <w:rPr>
          <w:rFonts w:asciiTheme="majorBidi" w:hAnsiTheme="majorBidi" w:cstheme="majorBidi"/>
          <w:bCs/>
          <w:lang w:val="en-GB"/>
        </w:rPr>
        <w:t xml:space="preserve">addresses </w:t>
      </w:r>
      <w:r w:rsidRPr="00B10073">
        <w:rPr>
          <w:rFonts w:asciiTheme="majorBidi" w:hAnsiTheme="majorBidi" w:cstheme="majorBidi"/>
          <w:bCs/>
          <w:lang w:val="en-GB"/>
        </w:rPr>
        <w:t>complex and sensitive</w:t>
      </w:r>
      <w:r>
        <w:rPr>
          <w:rFonts w:asciiTheme="majorBidi" w:hAnsiTheme="majorBidi" w:cstheme="majorBidi"/>
          <w:bCs/>
          <w:lang w:val="en-GB"/>
        </w:rPr>
        <w:t xml:space="preserve"> child rights</w:t>
      </w:r>
      <w:r w:rsidRPr="00B10073">
        <w:rPr>
          <w:rFonts w:asciiTheme="majorBidi" w:hAnsiTheme="majorBidi" w:cstheme="majorBidi"/>
          <w:bCs/>
          <w:lang w:val="en-GB"/>
        </w:rPr>
        <w:t xml:space="preserve"> matters. Therefore, the Child Rights Forum was </w:t>
      </w:r>
      <w:r w:rsidRPr="00B10073">
        <w:rPr>
          <w:rFonts w:asciiTheme="majorBidi" w:hAnsiTheme="majorBidi" w:cstheme="majorBidi"/>
          <w:bCs/>
          <w:lang w:val="en-GB"/>
        </w:rPr>
        <w:lastRenderedPageBreak/>
        <w:t>aimed at establishing a participatory mechanism which could</w:t>
      </w:r>
      <w:r>
        <w:rPr>
          <w:rFonts w:asciiTheme="majorBidi" w:hAnsiTheme="majorBidi" w:cstheme="majorBidi"/>
          <w:bCs/>
          <w:lang w:val="en-GB"/>
        </w:rPr>
        <w:t xml:space="preserve"> legitimise –via openness to and inclusiveness of civil society </w:t>
      </w:r>
      <w:r w:rsidR="00527BCE">
        <w:rPr>
          <w:rFonts w:asciiTheme="majorBidi" w:hAnsiTheme="majorBidi" w:cstheme="majorBidi"/>
          <w:bCs/>
          <w:lang w:val="en-GB"/>
        </w:rPr>
        <w:t>actors, according to Schmidt (2013)</w:t>
      </w:r>
      <w:r>
        <w:rPr>
          <w:rFonts w:asciiTheme="majorBidi" w:hAnsiTheme="majorBidi" w:cstheme="majorBidi"/>
          <w:bCs/>
          <w:lang w:val="en-GB"/>
        </w:rPr>
        <w:t xml:space="preserve"> </w:t>
      </w:r>
      <w:r w:rsidR="007F6E8F" w:rsidRPr="007F6E8F">
        <w:rPr>
          <w:rFonts w:asciiTheme="majorBidi" w:hAnsiTheme="majorBidi" w:cstheme="majorBidi"/>
          <w:bCs/>
          <w:lang w:val="en-GB"/>
        </w:rPr>
        <w:t>–</w:t>
      </w:r>
      <w:r w:rsidR="00527BCE">
        <w:rPr>
          <w:rFonts w:asciiTheme="majorBidi" w:hAnsiTheme="majorBidi" w:cstheme="majorBidi"/>
          <w:bCs/>
          <w:lang w:val="en-GB"/>
        </w:rPr>
        <w:t xml:space="preserve">the governance process regarding EU </w:t>
      </w:r>
      <w:r>
        <w:rPr>
          <w:rFonts w:asciiTheme="majorBidi" w:hAnsiTheme="majorBidi" w:cstheme="majorBidi"/>
          <w:bCs/>
          <w:lang w:val="en-GB"/>
        </w:rPr>
        <w:t xml:space="preserve">child rights matters. </w:t>
      </w:r>
    </w:p>
    <w:p w14:paraId="2A850EE4" w14:textId="77777777" w:rsidR="006E18EA" w:rsidRPr="00B10073" w:rsidRDefault="006E18EA" w:rsidP="00172513">
      <w:pPr>
        <w:spacing w:line="360" w:lineRule="auto"/>
        <w:jc w:val="both"/>
        <w:rPr>
          <w:rFonts w:asciiTheme="majorBidi" w:hAnsiTheme="majorBidi" w:cstheme="majorBidi"/>
          <w:bCs/>
          <w:lang w:val="en-GB"/>
        </w:rPr>
      </w:pPr>
    </w:p>
    <w:p w14:paraId="2ACDA07C" w14:textId="50083B6D" w:rsidR="006E18EA" w:rsidRDefault="006E18EA" w:rsidP="00172513">
      <w:pPr>
        <w:spacing w:line="360" w:lineRule="auto"/>
        <w:jc w:val="both"/>
        <w:rPr>
          <w:rFonts w:asciiTheme="majorBidi" w:hAnsiTheme="majorBidi" w:cstheme="majorBidi"/>
          <w:bCs/>
          <w:lang w:val="en-GB"/>
        </w:rPr>
      </w:pPr>
      <w:r>
        <w:rPr>
          <w:rFonts w:asciiTheme="majorBidi" w:hAnsiTheme="majorBidi" w:cstheme="majorBidi"/>
          <w:bCs/>
          <w:lang w:val="en-GB"/>
        </w:rPr>
        <w:t>The Forum is convened by DG</w:t>
      </w:r>
      <w:r w:rsidRPr="00B10073">
        <w:rPr>
          <w:rFonts w:asciiTheme="majorBidi" w:hAnsiTheme="majorBidi" w:cstheme="majorBidi"/>
          <w:bCs/>
          <w:lang w:val="en-GB"/>
        </w:rPr>
        <w:t xml:space="preserve"> Justice and its agenda is decided mainly by the policy priorities of this Commission</w:t>
      </w:r>
      <w:r>
        <w:rPr>
          <w:rFonts w:asciiTheme="majorBidi" w:hAnsiTheme="majorBidi" w:cstheme="majorBidi"/>
          <w:bCs/>
          <w:lang w:val="en-GB"/>
        </w:rPr>
        <w:t xml:space="preserve"> DG </w:t>
      </w:r>
      <w:r w:rsidRPr="00B10073">
        <w:rPr>
          <w:rFonts w:asciiTheme="majorBidi" w:hAnsiTheme="majorBidi" w:cstheme="majorBidi"/>
          <w:bCs/>
          <w:vertAlign w:val="superscript"/>
          <w:lang w:val="en-GB"/>
        </w:rPr>
        <w:endnoteReference w:id="11"/>
      </w:r>
      <w:r w:rsidRPr="00B10073">
        <w:rPr>
          <w:rFonts w:asciiTheme="majorBidi" w:hAnsiTheme="majorBidi" w:cstheme="majorBidi"/>
          <w:bCs/>
          <w:lang w:val="en-GB"/>
        </w:rPr>
        <w:t>. The Forum meetings –which run annually - have provided limited opportunities for stakeholder participants to influence the Forum agenda and feed into the policy debates</w:t>
      </w:r>
      <w:r w:rsidR="00443BB9">
        <w:rPr>
          <w:rFonts w:asciiTheme="majorBidi" w:hAnsiTheme="majorBidi" w:cstheme="majorBidi"/>
          <w:bCs/>
          <w:lang w:val="en-GB"/>
        </w:rPr>
        <w:t xml:space="preserve"> (Grugel and Iusmen 2013)</w:t>
      </w:r>
      <w:r w:rsidRPr="00B10073">
        <w:rPr>
          <w:rFonts w:asciiTheme="majorBidi" w:hAnsiTheme="majorBidi" w:cstheme="majorBidi"/>
          <w:bCs/>
          <w:lang w:val="en-GB"/>
        </w:rPr>
        <w:t xml:space="preserve">. </w:t>
      </w:r>
      <w:r w:rsidR="00F723C5">
        <w:rPr>
          <w:rFonts w:asciiTheme="majorBidi" w:hAnsiTheme="majorBidi" w:cstheme="majorBidi"/>
          <w:bCs/>
          <w:lang w:val="en-GB"/>
        </w:rPr>
        <w:t xml:space="preserve">Thus, children’s NGOs have no </w:t>
      </w:r>
      <w:r w:rsidR="00F723C5" w:rsidRPr="00F723C5">
        <w:rPr>
          <w:rFonts w:asciiTheme="majorBidi" w:hAnsiTheme="majorBidi" w:cstheme="majorBidi"/>
          <w:bCs/>
          <w:i/>
          <w:lang w:val="en-GB"/>
        </w:rPr>
        <w:t>input into the agenda-setting</w:t>
      </w:r>
      <w:r w:rsidR="00F723C5">
        <w:rPr>
          <w:rFonts w:asciiTheme="majorBidi" w:hAnsiTheme="majorBidi" w:cstheme="majorBidi"/>
          <w:bCs/>
          <w:lang w:val="en-GB"/>
        </w:rPr>
        <w:t xml:space="preserve"> of the Forum. </w:t>
      </w:r>
      <w:r w:rsidRPr="00B10073">
        <w:rPr>
          <w:rFonts w:asciiTheme="majorBidi" w:hAnsiTheme="majorBidi" w:cstheme="majorBidi"/>
          <w:bCs/>
          <w:lang w:val="en-GB"/>
        </w:rPr>
        <w:t xml:space="preserve">Although the Forum was intended to provide a participatory </w:t>
      </w:r>
      <w:r>
        <w:rPr>
          <w:rFonts w:asciiTheme="majorBidi" w:hAnsiTheme="majorBidi" w:cstheme="majorBidi"/>
          <w:bCs/>
          <w:lang w:val="en-GB"/>
        </w:rPr>
        <w:t xml:space="preserve">setting </w:t>
      </w:r>
      <w:r w:rsidR="00B822BE">
        <w:rPr>
          <w:rFonts w:asciiTheme="majorBidi" w:hAnsiTheme="majorBidi" w:cstheme="majorBidi"/>
          <w:bCs/>
          <w:lang w:val="en-GB"/>
        </w:rPr>
        <w:t>for</w:t>
      </w:r>
      <w:r w:rsidRPr="00B10073">
        <w:rPr>
          <w:rFonts w:asciiTheme="majorBidi" w:hAnsiTheme="majorBidi" w:cstheme="majorBidi"/>
          <w:bCs/>
          <w:lang w:val="en-GB"/>
        </w:rPr>
        <w:t xml:space="preserve"> </w:t>
      </w:r>
      <w:r>
        <w:rPr>
          <w:rFonts w:asciiTheme="majorBidi" w:hAnsiTheme="majorBidi" w:cstheme="majorBidi"/>
          <w:bCs/>
          <w:lang w:val="en-GB"/>
        </w:rPr>
        <w:t xml:space="preserve">all key </w:t>
      </w:r>
      <w:r w:rsidRPr="00B10073">
        <w:rPr>
          <w:rFonts w:asciiTheme="majorBidi" w:hAnsiTheme="majorBidi" w:cstheme="majorBidi"/>
          <w:bCs/>
          <w:lang w:val="en-GB"/>
        </w:rPr>
        <w:t>civil society actors, the institutional design of the Forum obstructed the emergence of a</w:t>
      </w:r>
      <w:r>
        <w:rPr>
          <w:rFonts w:asciiTheme="majorBidi" w:hAnsiTheme="majorBidi" w:cstheme="majorBidi"/>
          <w:bCs/>
          <w:lang w:val="en-GB"/>
        </w:rPr>
        <w:t xml:space="preserve"> genuinely open and inclusive </w:t>
      </w:r>
      <w:r w:rsidRPr="00B10073">
        <w:rPr>
          <w:rFonts w:asciiTheme="majorBidi" w:hAnsiTheme="majorBidi" w:cstheme="majorBidi"/>
          <w:bCs/>
          <w:lang w:val="en-GB"/>
        </w:rPr>
        <w:t xml:space="preserve">environment </w:t>
      </w:r>
      <w:r>
        <w:rPr>
          <w:rFonts w:asciiTheme="majorBidi" w:hAnsiTheme="majorBidi" w:cstheme="majorBidi"/>
          <w:bCs/>
          <w:lang w:val="en-GB"/>
        </w:rPr>
        <w:t xml:space="preserve">whereby </w:t>
      </w:r>
      <w:r w:rsidRPr="00B10073">
        <w:rPr>
          <w:rFonts w:asciiTheme="majorBidi" w:hAnsiTheme="majorBidi" w:cstheme="majorBidi"/>
          <w:bCs/>
          <w:lang w:val="en-GB"/>
        </w:rPr>
        <w:t>civil society actors</w:t>
      </w:r>
      <w:r>
        <w:rPr>
          <w:rFonts w:asciiTheme="majorBidi" w:hAnsiTheme="majorBidi" w:cstheme="majorBidi"/>
          <w:bCs/>
          <w:lang w:val="en-GB"/>
        </w:rPr>
        <w:t xml:space="preserve"> can feed into the policy process (Grugel and Iusmen 2013)</w:t>
      </w:r>
      <w:r w:rsidR="0034452D">
        <w:rPr>
          <w:rFonts w:asciiTheme="majorBidi" w:hAnsiTheme="majorBidi" w:cstheme="majorBidi"/>
          <w:bCs/>
          <w:lang w:val="en-GB"/>
        </w:rPr>
        <w:t>.</w:t>
      </w:r>
    </w:p>
    <w:p w14:paraId="410B72DF" w14:textId="77777777" w:rsidR="006E18EA" w:rsidRPr="00B10073" w:rsidRDefault="006E18EA" w:rsidP="00172513">
      <w:pPr>
        <w:spacing w:line="360" w:lineRule="auto"/>
        <w:jc w:val="both"/>
        <w:rPr>
          <w:rFonts w:asciiTheme="majorBidi" w:hAnsiTheme="majorBidi" w:cstheme="majorBidi"/>
          <w:bCs/>
          <w:lang w:val="en-GB"/>
        </w:rPr>
      </w:pPr>
    </w:p>
    <w:p w14:paraId="62A98A6F" w14:textId="6300115A" w:rsidR="006E18EA" w:rsidRPr="00B10073" w:rsidRDefault="006E18EA" w:rsidP="00443BB9">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Over time, the main child rights NGOs have become disengaged and </w:t>
      </w:r>
      <w:r>
        <w:rPr>
          <w:rFonts w:asciiTheme="majorBidi" w:hAnsiTheme="majorBidi" w:cstheme="majorBidi"/>
          <w:bCs/>
          <w:lang w:val="en-GB"/>
        </w:rPr>
        <w:t xml:space="preserve">critical of </w:t>
      </w:r>
      <w:r w:rsidRPr="00B10073">
        <w:rPr>
          <w:rFonts w:asciiTheme="majorBidi" w:hAnsiTheme="majorBidi" w:cstheme="majorBidi"/>
          <w:bCs/>
          <w:lang w:val="en-GB"/>
        </w:rPr>
        <w:t>DG Justice’s approach to stakeholder participation in the Forum meetings</w:t>
      </w:r>
      <w:r>
        <w:rPr>
          <w:rFonts w:asciiTheme="majorBidi" w:hAnsiTheme="majorBidi" w:cstheme="majorBidi"/>
          <w:bCs/>
          <w:lang w:val="en-GB"/>
        </w:rPr>
        <w:t xml:space="preserve"> (Grugel and Iusmen 2013)</w:t>
      </w:r>
      <w:r w:rsidRPr="00B10073">
        <w:rPr>
          <w:rFonts w:asciiTheme="majorBidi" w:hAnsiTheme="majorBidi" w:cstheme="majorBidi"/>
          <w:bCs/>
          <w:lang w:val="en-GB"/>
        </w:rPr>
        <w:t xml:space="preserve">. One of the reasons for this disengagement is the Forum’s lack of </w:t>
      </w:r>
      <w:r w:rsidR="00F723C5">
        <w:rPr>
          <w:rFonts w:asciiTheme="majorBidi" w:hAnsiTheme="majorBidi" w:cstheme="majorBidi"/>
          <w:bCs/>
          <w:lang w:val="en-GB"/>
        </w:rPr>
        <w:t xml:space="preserve">concrete initiatives </w:t>
      </w:r>
      <w:r w:rsidRPr="00B10073">
        <w:rPr>
          <w:rFonts w:asciiTheme="majorBidi" w:hAnsiTheme="majorBidi" w:cstheme="majorBidi"/>
          <w:bCs/>
          <w:lang w:val="en-GB"/>
        </w:rPr>
        <w:t xml:space="preserve">to translate the Forum discussions into policy outcomes. </w:t>
      </w:r>
      <w:r w:rsidRPr="00685E65">
        <w:rPr>
          <w:rFonts w:asciiTheme="majorBidi" w:hAnsiTheme="majorBidi" w:cstheme="majorBidi"/>
          <w:bCs/>
          <w:lang w:val="en-GB"/>
        </w:rPr>
        <w:t xml:space="preserve">To this end, child rights NGOs and networks consider that their expertise and practical knowledge of child rights issues has no bearing on the policy measures adopted by the Commission </w:t>
      </w:r>
      <w:r w:rsidR="00443BB9">
        <w:rPr>
          <w:rFonts w:asciiTheme="majorBidi" w:hAnsiTheme="majorBidi" w:cstheme="majorBidi"/>
          <w:bCs/>
          <w:lang w:val="en-GB"/>
        </w:rPr>
        <w:t xml:space="preserve">(Grugel and Iusmen 2013) </w:t>
      </w:r>
      <w:r w:rsidRPr="00685E65">
        <w:rPr>
          <w:rFonts w:asciiTheme="majorBidi" w:hAnsiTheme="majorBidi" w:cstheme="majorBidi"/>
          <w:bCs/>
          <w:lang w:val="en-GB"/>
        </w:rPr>
        <w:t xml:space="preserve">due to the disconnect between the outcomes of the Forum meetings and </w:t>
      </w:r>
      <w:r w:rsidR="00443BB9">
        <w:rPr>
          <w:rFonts w:asciiTheme="majorBidi" w:hAnsiTheme="majorBidi" w:cstheme="majorBidi"/>
          <w:bCs/>
          <w:lang w:val="en-GB"/>
        </w:rPr>
        <w:t xml:space="preserve">the </w:t>
      </w:r>
      <w:r w:rsidRPr="00685E65">
        <w:rPr>
          <w:rFonts w:asciiTheme="majorBidi" w:hAnsiTheme="majorBidi" w:cstheme="majorBidi"/>
          <w:bCs/>
          <w:lang w:val="en-GB"/>
        </w:rPr>
        <w:t>Commission policy process</w:t>
      </w:r>
      <w:r w:rsidRPr="0032364C">
        <w:rPr>
          <w:rFonts w:asciiTheme="majorBidi" w:hAnsiTheme="majorBidi" w:cstheme="majorBidi"/>
          <w:bCs/>
          <w:vertAlign w:val="superscript"/>
          <w:lang w:val="en-GB"/>
        </w:rPr>
        <w:endnoteReference w:id="12"/>
      </w:r>
      <w:r w:rsidRPr="0032364C">
        <w:rPr>
          <w:rFonts w:asciiTheme="majorBidi" w:hAnsiTheme="majorBidi" w:cstheme="majorBidi"/>
          <w:bCs/>
          <w:lang w:val="en-GB"/>
        </w:rPr>
        <w:t>.</w:t>
      </w:r>
      <w:r w:rsidR="0032364C">
        <w:rPr>
          <w:rFonts w:asciiTheme="majorBidi" w:hAnsiTheme="majorBidi" w:cstheme="majorBidi"/>
          <w:bCs/>
          <w:lang w:val="en-GB"/>
        </w:rPr>
        <w:t xml:space="preserve"> For instance, some stakeholders stated that </w:t>
      </w:r>
      <w:r w:rsidR="00016969">
        <w:rPr>
          <w:rFonts w:asciiTheme="majorBidi" w:hAnsiTheme="majorBidi" w:cstheme="majorBidi"/>
          <w:bCs/>
          <w:lang w:val="en-GB"/>
        </w:rPr>
        <w:t xml:space="preserve">for </w:t>
      </w:r>
      <w:r w:rsidR="0032364C">
        <w:rPr>
          <w:rFonts w:asciiTheme="majorBidi" w:hAnsiTheme="majorBidi" w:cstheme="majorBidi"/>
          <w:bCs/>
          <w:lang w:val="en-GB"/>
        </w:rPr>
        <w:t xml:space="preserve">the Forum </w:t>
      </w:r>
      <w:r w:rsidR="00016969">
        <w:rPr>
          <w:rFonts w:asciiTheme="majorBidi" w:hAnsiTheme="majorBidi" w:cstheme="majorBidi"/>
          <w:bCs/>
          <w:lang w:val="en-GB"/>
        </w:rPr>
        <w:t xml:space="preserve">meetings </w:t>
      </w:r>
      <w:r w:rsidR="0032364C">
        <w:rPr>
          <w:rFonts w:asciiTheme="majorBidi" w:hAnsiTheme="majorBidi" w:cstheme="majorBidi"/>
          <w:bCs/>
          <w:lang w:val="en-GB"/>
        </w:rPr>
        <w:t>they ‘just turn up, make presentations, and then go home’</w:t>
      </w:r>
      <w:r w:rsidR="0032364C">
        <w:rPr>
          <w:rStyle w:val="EndnoteReference"/>
          <w:rFonts w:asciiTheme="majorBidi" w:hAnsiTheme="majorBidi" w:cstheme="majorBidi"/>
          <w:bCs/>
          <w:lang w:val="en-GB"/>
        </w:rPr>
        <w:endnoteReference w:id="13"/>
      </w:r>
      <w:r w:rsidR="0032364C">
        <w:rPr>
          <w:rFonts w:asciiTheme="majorBidi" w:hAnsiTheme="majorBidi" w:cstheme="majorBidi"/>
          <w:bCs/>
          <w:lang w:val="en-GB"/>
        </w:rPr>
        <w:t xml:space="preserve"> </w:t>
      </w:r>
      <w:r w:rsidR="00016969">
        <w:rPr>
          <w:rFonts w:asciiTheme="majorBidi" w:hAnsiTheme="majorBidi" w:cstheme="majorBidi"/>
          <w:bCs/>
          <w:lang w:val="en-GB"/>
        </w:rPr>
        <w:t xml:space="preserve">every year </w:t>
      </w:r>
      <w:r w:rsidR="0032364C">
        <w:rPr>
          <w:rFonts w:asciiTheme="majorBidi" w:hAnsiTheme="majorBidi" w:cstheme="majorBidi"/>
          <w:bCs/>
          <w:lang w:val="en-GB"/>
        </w:rPr>
        <w:t>as there is no follow-up to the Forum meetings. Indeed, as stakeholders put it, the Forum meetings focus on reporting policy –what has been done- rather than on what should be done in the future</w:t>
      </w:r>
      <w:r w:rsidR="0032364C">
        <w:rPr>
          <w:rStyle w:val="EndnoteReference"/>
          <w:rFonts w:asciiTheme="majorBidi" w:hAnsiTheme="majorBidi" w:cstheme="majorBidi"/>
          <w:bCs/>
          <w:lang w:val="en-GB"/>
        </w:rPr>
        <w:endnoteReference w:id="14"/>
      </w:r>
      <w:r w:rsidR="0032364C">
        <w:rPr>
          <w:rFonts w:asciiTheme="majorBidi" w:hAnsiTheme="majorBidi" w:cstheme="majorBidi"/>
          <w:bCs/>
          <w:lang w:val="en-GB"/>
        </w:rPr>
        <w:t>.</w:t>
      </w:r>
      <w:r w:rsidRPr="00B10073">
        <w:rPr>
          <w:rFonts w:asciiTheme="majorBidi" w:hAnsiTheme="majorBidi" w:cstheme="majorBidi"/>
          <w:bCs/>
          <w:lang w:val="en-GB"/>
        </w:rPr>
        <w:t xml:space="preserve"> The lack of </w:t>
      </w:r>
      <w:r w:rsidR="00F723C5" w:rsidRPr="00355B56">
        <w:rPr>
          <w:rFonts w:asciiTheme="majorBidi" w:hAnsiTheme="majorBidi" w:cstheme="majorBidi"/>
          <w:bCs/>
          <w:iCs/>
          <w:lang w:val="en-GB"/>
        </w:rPr>
        <w:t xml:space="preserve">policy </w:t>
      </w:r>
      <w:r w:rsidRPr="00355B56">
        <w:rPr>
          <w:rFonts w:asciiTheme="majorBidi" w:hAnsiTheme="majorBidi" w:cstheme="majorBidi"/>
          <w:bCs/>
          <w:iCs/>
          <w:lang w:val="en-GB"/>
        </w:rPr>
        <w:t>input into</w:t>
      </w:r>
      <w:r w:rsidR="00F723C5" w:rsidRPr="00355B56">
        <w:rPr>
          <w:rFonts w:asciiTheme="majorBidi" w:hAnsiTheme="majorBidi" w:cstheme="majorBidi"/>
          <w:bCs/>
          <w:iCs/>
          <w:lang w:val="en-GB"/>
        </w:rPr>
        <w:t xml:space="preserve"> the decision-making</w:t>
      </w:r>
      <w:r w:rsidR="00F723C5">
        <w:rPr>
          <w:rFonts w:asciiTheme="majorBidi" w:hAnsiTheme="majorBidi" w:cstheme="majorBidi"/>
          <w:bCs/>
          <w:lang w:val="en-GB"/>
        </w:rPr>
        <w:t xml:space="preserve"> process</w:t>
      </w:r>
      <w:r w:rsidR="00355B56">
        <w:rPr>
          <w:rFonts w:asciiTheme="majorBidi" w:hAnsiTheme="majorBidi" w:cstheme="majorBidi"/>
          <w:bCs/>
          <w:lang w:val="en-GB"/>
        </w:rPr>
        <w:t xml:space="preserve"> and therefore </w:t>
      </w:r>
      <w:r w:rsidR="00A62D4E">
        <w:rPr>
          <w:rFonts w:asciiTheme="majorBidi" w:hAnsiTheme="majorBidi" w:cstheme="majorBidi"/>
          <w:bCs/>
          <w:lang w:val="en-GB"/>
        </w:rPr>
        <w:t>the absence</w:t>
      </w:r>
      <w:r w:rsidR="00355B56">
        <w:rPr>
          <w:rFonts w:asciiTheme="majorBidi" w:hAnsiTheme="majorBidi" w:cstheme="majorBidi"/>
          <w:bCs/>
          <w:lang w:val="en-GB"/>
        </w:rPr>
        <w:t xml:space="preserve"> of </w:t>
      </w:r>
      <w:r w:rsidR="00F723C5">
        <w:rPr>
          <w:rFonts w:asciiTheme="majorBidi" w:hAnsiTheme="majorBidi" w:cstheme="majorBidi"/>
          <w:bCs/>
          <w:lang w:val="en-GB"/>
        </w:rPr>
        <w:t xml:space="preserve">concrete </w:t>
      </w:r>
      <w:r w:rsidR="00F723C5" w:rsidRPr="00E014CA">
        <w:rPr>
          <w:rFonts w:asciiTheme="majorBidi" w:hAnsiTheme="majorBidi" w:cstheme="majorBidi"/>
          <w:bCs/>
          <w:i/>
          <w:lang w:val="en-GB"/>
        </w:rPr>
        <w:t>policy outcomes</w:t>
      </w:r>
      <w:r w:rsidR="00F723C5">
        <w:rPr>
          <w:rFonts w:asciiTheme="majorBidi" w:hAnsiTheme="majorBidi" w:cstheme="majorBidi"/>
          <w:bCs/>
          <w:lang w:val="en-GB"/>
        </w:rPr>
        <w:t xml:space="preserve"> emerging from </w:t>
      </w:r>
      <w:r w:rsidRPr="00B10073">
        <w:rPr>
          <w:rFonts w:asciiTheme="majorBidi" w:hAnsiTheme="majorBidi" w:cstheme="majorBidi"/>
          <w:bCs/>
          <w:lang w:val="en-GB"/>
        </w:rPr>
        <w:t xml:space="preserve">the </w:t>
      </w:r>
      <w:r>
        <w:rPr>
          <w:rFonts w:asciiTheme="majorBidi" w:hAnsiTheme="majorBidi" w:cstheme="majorBidi"/>
          <w:bCs/>
          <w:lang w:val="en-GB"/>
        </w:rPr>
        <w:t>Forum</w:t>
      </w:r>
      <w:r w:rsidR="00F723C5">
        <w:rPr>
          <w:rFonts w:asciiTheme="majorBidi" w:hAnsiTheme="majorBidi" w:cstheme="majorBidi"/>
          <w:bCs/>
          <w:lang w:val="en-GB"/>
        </w:rPr>
        <w:t xml:space="preserve"> meetings</w:t>
      </w:r>
      <w:r>
        <w:rPr>
          <w:rFonts w:asciiTheme="majorBidi" w:hAnsiTheme="majorBidi" w:cstheme="majorBidi"/>
          <w:bCs/>
          <w:lang w:val="en-GB"/>
        </w:rPr>
        <w:t xml:space="preserve">, </w:t>
      </w:r>
      <w:r w:rsidRPr="00B10073">
        <w:rPr>
          <w:rFonts w:asciiTheme="majorBidi" w:hAnsiTheme="majorBidi" w:cstheme="majorBidi"/>
          <w:bCs/>
          <w:lang w:val="en-GB"/>
        </w:rPr>
        <w:t>alienates the</w:t>
      </w:r>
      <w:r>
        <w:rPr>
          <w:rFonts w:asciiTheme="majorBidi" w:hAnsiTheme="majorBidi" w:cstheme="majorBidi"/>
          <w:bCs/>
          <w:lang w:val="en-GB"/>
        </w:rPr>
        <w:t xml:space="preserve"> civil society actors</w:t>
      </w:r>
      <w:r w:rsidR="00443BB9">
        <w:rPr>
          <w:rFonts w:asciiTheme="majorBidi" w:hAnsiTheme="majorBidi" w:cstheme="majorBidi"/>
          <w:bCs/>
          <w:lang w:val="en-GB"/>
        </w:rPr>
        <w:t xml:space="preserve"> (Grugel and Iusmen 2013)</w:t>
      </w:r>
      <w:r>
        <w:rPr>
          <w:rFonts w:asciiTheme="majorBidi" w:hAnsiTheme="majorBidi" w:cstheme="majorBidi"/>
          <w:bCs/>
          <w:lang w:val="en-GB"/>
        </w:rPr>
        <w:t xml:space="preserve"> a</w:t>
      </w:r>
      <w:r w:rsidRPr="00B10073">
        <w:rPr>
          <w:rFonts w:asciiTheme="majorBidi" w:hAnsiTheme="majorBidi" w:cstheme="majorBidi"/>
          <w:bCs/>
          <w:lang w:val="en-GB"/>
        </w:rPr>
        <w:t xml:space="preserve">nd thus, </w:t>
      </w:r>
      <w:r w:rsidR="009536E4" w:rsidRPr="00B10073">
        <w:rPr>
          <w:rFonts w:asciiTheme="majorBidi" w:hAnsiTheme="majorBidi" w:cstheme="majorBidi"/>
          <w:bCs/>
          <w:lang w:val="en-GB"/>
        </w:rPr>
        <w:t>d</w:t>
      </w:r>
      <w:r w:rsidR="009536E4">
        <w:rPr>
          <w:rFonts w:asciiTheme="majorBidi" w:hAnsiTheme="majorBidi" w:cstheme="majorBidi"/>
          <w:bCs/>
          <w:lang w:val="en-GB"/>
        </w:rPr>
        <w:t>iminishes</w:t>
      </w:r>
      <w:r w:rsidR="009536E4" w:rsidRPr="00B10073">
        <w:rPr>
          <w:rFonts w:asciiTheme="majorBidi" w:hAnsiTheme="majorBidi" w:cstheme="majorBidi"/>
          <w:bCs/>
          <w:lang w:val="en-GB"/>
        </w:rPr>
        <w:t xml:space="preserve"> </w:t>
      </w:r>
      <w:r w:rsidRPr="00B10073">
        <w:rPr>
          <w:rFonts w:asciiTheme="majorBidi" w:hAnsiTheme="majorBidi" w:cstheme="majorBidi"/>
          <w:bCs/>
          <w:lang w:val="en-GB"/>
        </w:rPr>
        <w:t xml:space="preserve">the Forum’s </w:t>
      </w:r>
      <w:r>
        <w:rPr>
          <w:rFonts w:asciiTheme="majorBidi" w:hAnsiTheme="majorBidi" w:cstheme="majorBidi"/>
          <w:bCs/>
          <w:lang w:val="en-GB"/>
        </w:rPr>
        <w:t xml:space="preserve">role </w:t>
      </w:r>
      <w:r w:rsidRPr="00B10073">
        <w:rPr>
          <w:rFonts w:asciiTheme="majorBidi" w:hAnsiTheme="majorBidi" w:cstheme="majorBidi"/>
          <w:bCs/>
          <w:lang w:val="en-GB"/>
        </w:rPr>
        <w:t xml:space="preserve">as a meaningful participatory and </w:t>
      </w:r>
      <w:r>
        <w:rPr>
          <w:rFonts w:asciiTheme="majorBidi" w:hAnsiTheme="majorBidi" w:cstheme="majorBidi"/>
          <w:bCs/>
          <w:lang w:val="en-GB"/>
        </w:rPr>
        <w:t>inclusive</w:t>
      </w:r>
      <w:r w:rsidRPr="00B10073">
        <w:rPr>
          <w:rFonts w:asciiTheme="majorBidi" w:hAnsiTheme="majorBidi" w:cstheme="majorBidi"/>
          <w:bCs/>
          <w:lang w:val="en-GB"/>
        </w:rPr>
        <w:t xml:space="preserve"> mechanism</w:t>
      </w:r>
      <w:r>
        <w:rPr>
          <w:rFonts w:asciiTheme="majorBidi" w:hAnsiTheme="majorBidi" w:cstheme="majorBidi"/>
          <w:bCs/>
          <w:lang w:val="en-GB"/>
        </w:rPr>
        <w:t>, which could attach throughput legitimacy to Commission actions</w:t>
      </w:r>
      <w:r w:rsidRPr="00B10073">
        <w:rPr>
          <w:rFonts w:asciiTheme="majorBidi" w:hAnsiTheme="majorBidi" w:cstheme="majorBidi"/>
          <w:bCs/>
          <w:lang w:val="en-GB"/>
        </w:rPr>
        <w:t xml:space="preserve">.  What civil society actors attending the Forum achieve in practice is </w:t>
      </w:r>
      <w:r w:rsidRPr="00B10073">
        <w:rPr>
          <w:rFonts w:asciiTheme="majorBidi" w:hAnsiTheme="majorBidi" w:cstheme="majorBidi"/>
          <w:bCs/>
          <w:i/>
          <w:lang w:val="en-GB"/>
        </w:rPr>
        <w:t xml:space="preserve">participating in the participation </w:t>
      </w:r>
      <w:r w:rsidRPr="00B10073">
        <w:rPr>
          <w:rFonts w:asciiTheme="majorBidi" w:hAnsiTheme="majorBidi" w:cstheme="majorBidi"/>
          <w:bCs/>
          <w:lang w:val="en-GB"/>
        </w:rPr>
        <w:t xml:space="preserve">as the Commission has the proof of having involved the key </w:t>
      </w:r>
      <w:r>
        <w:rPr>
          <w:rFonts w:asciiTheme="majorBidi" w:hAnsiTheme="majorBidi" w:cstheme="majorBidi"/>
          <w:bCs/>
          <w:lang w:val="en-GB"/>
        </w:rPr>
        <w:t xml:space="preserve">child rights stakeholders </w:t>
      </w:r>
      <w:r w:rsidRPr="00B10073">
        <w:rPr>
          <w:rFonts w:asciiTheme="majorBidi" w:hAnsiTheme="majorBidi" w:cstheme="majorBidi"/>
          <w:bCs/>
          <w:lang w:val="en-GB"/>
        </w:rPr>
        <w:t xml:space="preserve">in the policy consultation process. This </w:t>
      </w:r>
      <w:r>
        <w:rPr>
          <w:rFonts w:asciiTheme="majorBidi" w:hAnsiTheme="majorBidi" w:cstheme="majorBidi"/>
          <w:bCs/>
          <w:lang w:val="en-GB"/>
        </w:rPr>
        <w:t xml:space="preserve">cosmetic </w:t>
      </w:r>
      <w:r w:rsidRPr="00B10073">
        <w:rPr>
          <w:rFonts w:asciiTheme="majorBidi" w:hAnsiTheme="majorBidi" w:cstheme="majorBidi"/>
          <w:bCs/>
          <w:lang w:val="en-GB"/>
        </w:rPr>
        <w:t xml:space="preserve">mechanism of participation reflects what Arnstein (1969) called as </w:t>
      </w:r>
      <w:r w:rsidRPr="00B10073">
        <w:rPr>
          <w:rFonts w:asciiTheme="majorBidi" w:hAnsiTheme="majorBidi" w:cstheme="majorBidi"/>
          <w:bCs/>
          <w:lang w:val="en-GB"/>
        </w:rPr>
        <w:lastRenderedPageBreak/>
        <w:t>‘window-dressing’ ritual of participation, whereby</w:t>
      </w:r>
      <w:r w:rsidR="00F723C5">
        <w:rPr>
          <w:rFonts w:asciiTheme="majorBidi" w:hAnsiTheme="majorBidi" w:cstheme="majorBidi"/>
          <w:bCs/>
          <w:lang w:val="en-GB"/>
        </w:rPr>
        <w:t xml:space="preserve"> participants</w:t>
      </w:r>
      <w:r w:rsidRPr="00B10073">
        <w:rPr>
          <w:rFonts w:asciiTheme="majorBidi" w:hAnsiTheme="majorBidi" w:cstheme="majorBidi"/>
          <w:bCs/>
          <w:lang w:val="en-GB"/>
        </w:rPr>
        <w:t xml:space="preserve">’ input is limited or has no value whatsoever. Indeed, as </w:t>
      </w:r>
      <w:r>
        <w:rPr>
          <w:rFonts w:asciiTheme="majorBidi" w:hAnsiTheme="majorBidi" w:cstheme="majorBidi"/>
          <w:bCs/>
          <w:lang w:val="en-GB"/>
        </w:rPr>
        <w:t xml:space="preserve">Arnstein </w:t>
      </w:r>
      <w:r w:rsidRPr="00B10073">
        <w:rPr>
          <w:rFonts w:asciiTheme="majorBidi" w:hAnsiTheme="majorBidi" w:cstheme="majorBidi"/>
          <w:bCs/>
          <w:lang w:val="en-GB"/>
        </w:rPr>
        <w:t xml:space="preserve">rightly noted, this ‘window-dressing’ participation provides stakeholders with a sense that they have participated and, at the same time, provides policy-makers </w:t>
      </w:r>
      <w:r>
        <w:rPr>
          <w:rFonts w:asciiTheme="majorBidi" w:hAnsiTheme="majorBidi" w:cstheme="majorBidi"/>
          <w:bCs/>
          <w:lang w:val="en-GB"/>
        </w:rPr>
        <w:t xml:space="preserve">with </w:t>
      </w:r>
      <w:r w:rsidRPr="00B10073">
        <w:rPr>
          <w:rFonts w:asciiTheme="majorBidi" w:hAnsiTheme="majorBidi" w:cstheme="majorBidi"/>
          <w:bCs/>
          <w:lang w:val="en-GB"/>
        </w:rPr>
        <w:t xml:space="preserve">the evidence that they have taken the necessary steps in involving the people, or civil society actors, in the </w:t>
      </w:r>
      <w:r>
        <w:rPr>
          <w:rFonts w:asciiTheme="majorBidi" w:hAnsiTheme="majorBidi" w:cstheme="majorBidi"/>
          <w:bCs/>
          <w:lang w:val="en-GB"/>
        </w:rPr>
        <w:t xml:space="preserve">decision </w:t>
      </w:r>
      <w:r w:rsidRPr="00B10073">
        <w:rPr>
          <w:rFonts w:asciiTheme="majorBidi" w:hAnsiTheme="majorBidi" w:cstheme="majorBidi"/>
          <w:bCs/>
          <w:lang w:val="en-GB"/>
        </w:rPr>
        <w:t>process that affects them. In other words, th</w:t>
      </w:r>
      <w:r w:rsidR="00F723C5">
        <w:rPr>
          <w:rFonts w:asciiTheme="majorBidi" w:hAnsiTheme="majorBidi" w:cstheme="majorBidi"/>
          <w:bCs/>
          <w:lang w:val="en-GB"/>
        </w:rPr>
        <w:t>is</w:t>
      </w:r>
      <w:r w:rsidRPr="00B10073">
        <w:rPr>
          <w:rFonts w:asciiTheme="majorBidi" w:hAnsiTheme="majorBidi" w:cstheme="majorBidi"/>
          <w:bCs/>
          <w:lang w:val="en-GB"/>
        </w:rPr>
        <w:t xml:space="preserve"> ‘window-dressing’</w:t>
      </w:r>
      <w:r w:rsidR="00F723C5">
        <w:rPr>
          <w:rFonts w:asciiTheme="majorBidi" w:hAnsiTheme="majorBidi" w:cstheme="majorBidi"/>
          <w:bCs/>
          <w:lang w:val="en-GB"/>
        </w:rPr>
        <w:t xml:space="preserve"> or facade</w:t>
      </w:r>
      <w:r w:rsidRPr="00B10073">
        <w:rPr>
          <w:rFonts w:asciiTheme="majorBidi" w:hAnsiTheme="majorBidi" w:cstheme="majorBidi"/>
          <w:bCs/>
          <w:lang w:val="en-GB"/>
        </w:rPr>
        <w:t xml:space="preserve"> participation is deliberately designed and intended to </w:t>
      </w:r>
      <w:r w:rsidR="00F723C5" w:rsidRPr="00B10073">
        <w:rPr>
          <w:rFonts w:asciiTheme="majorBidi" w:hAnsiTheme="majorBidi" w:cstheme="majorBidi"/>
          <w:bCs/>
          <w:lang w:val="en-GB"/>
        </w:rPr>
        <w:t xml:space="preserve">generate </w:t>
      </w:r>
      <w:r w:rsidR="00F723C5">
        <w:rPr>
          <w:rFonts w:asciiTheme="majorBidi" w:hAnsiTheme="majorBidi" w:cstheme="majorBidi"/>
          <w:bCs/>
          <w:lang w:val="en-GB"/>
        </w:rPr>
        <w:t>the</w:t>
      </w:r>
      <w:r>
        <w:rPr>
          <w:rFonts w:asciiTheme="majorBidi" w:hAnsiTheme="majorBidi" w:cstheme="majorBidi"/>
          <w:bCs/>
          <w:lang w:val="en-GB"/>
        </w:rPr>
        <w:t xml:space="preserve"> </w:t>
      </w:r>
      <w:r w:rsidR="00CC62BB">
        <w:rPr>
          <w:rFonts w:asciiTheme="majorBidi" w:hAnsiTheme="majorBidi" w:cstheme="majorBidi"/>
          <w:bCs/>
          <w:lang w:val="en-GB"/>
        </w:rPr>
        <w:t xml:space="preserve">throughput </w:t>
      </w:r>
      <w:r w:rsidRPr="00B10073">
        <w:rPr>
          <w:rFonts w:asciiTheme="majorBidi" w:hAnsiTheme="majorBidi" w:cstheme="majorBidi"/>
          <w:bCs/>
          <w:lang w:val="en-GB"/>
        </w:rPr>
        <w:t xml:space="preserve">legitimacy </w:t>
      </w:r>
      <w:r>
        <w:rPr>
          <w:rFonts w:asciiTheme="majorBidi" w:hAnsiTheme="majorBidi" w:cstheme="majorBidi"/>
          <w:bCs/>
          <w:lang w:val="en-GB"/>
        </w:rPr>
        <w:t xml:space="preserve">of the governance process </w:t>
      </w:r>
      <w:r w:rsidRPr="00B10073">
        <w:rPr>
          <w:rFonts w:asciiTheme="majorBidi" w:hAnsiTheme="majorBidi" w:cstheme="majorBidi"/>
          <w:bCs/>
          <w:lang w:val="en-GB"/>
        </w:rPr>
        <w:t>by having all the right ingredients of a participatory setting, but lacking the essential condition</w:t>
      </w:r>
      <w:r w:rsidR="00CC62BB">
        <w:rPr>
          <w:rFonts w:asciiTheme="majorBidi" w:hAnsiTheme="majorBidi" w:cstheme="majorBidi"/>
          <w:bCs/>
          <w:lang w:val="en-GB"/>
        </w:rPr>
        <w:t>s</w:t>
      </w:r>
      <w:r w:rsidRPr="00B10073">
        <w:rPr>
          <w:rFonts w:asciiTheme="majorBidi" w:hAnsiTheme="majorBidi" w:cstheme="majorBidi"/>
          <w:bCs/>
          <w:lang w:val="en-GB"/>
        </w:rPr>
        <w:t xml:space="preserve">: </w:t>
      </w:r>
      <w:r w:rsidR="00CC62BB">
        <w:rPr>
          <w:rFonts w:asciiTheme="majorBidi" w:hAnsiTheme="majorBidi" w:cstheme="majorBidi"/>
          <w:bCs/>
          <w:lang w:val="en-GB"/>
        </w:rPr>
        <w:t xml:space="preserve">namely the ability to </w:t>
      </w:r>
      <w:r w:rsidR="006E29E1">
        <w:rPr>
          <w:rFonts w:asciiTheme="majorBidi" w:hAnsiTheme="majorBidi" w:cstheme="majorBidi"/>
          <w:bCs/>
          <w:lang w:val="en-GB"/>
        </w:rPr>
        <w:t xml:space="preserve">shape </w:t>
      </w:r>
      <w:r w:rsidR="00CC62BB">
        <w:rPr>
          <w:rFonts w:asciiTheme="majorBidi" w:hAnsiTheme="majorBidi" w:cstheme="majorBidi"/>
          <w:bCs/>
          <w:lang w:val="en-GB"/>
        </w:rPr>
        <w:t xml:space="preserve">the agenda and policy outcomes. </w:t>
      </w:r>
    </w:p>
    <w:p w14:paraId="18517458" w14:textId="77777777" w:rsidR="006E18EA" w:rsidRPr="00B10073" w:rsidRDefault="006E18EA" w:rsidP="00172513">
      <w:pPr>
        <w:spacing w:line="360" w:lineRule="auto"/>
        <w:jc w:val="both"/>
        <w:rPr>
          <w:rFonts w:asciiTheme="majorBidi" w:hAnsiTheme="majorBidi" w:cstheme="majorBidi"/>
          <w:bCs/>
          <w:lang w:val="en-GB"/>
        </w:rPr>
      </w:pPr>
    </w:p>
    <w:p w14:paraId="4F9E4C95" w14:textId="6D72C966" w:rsidR="006E18EA" w:rsidRDefault="006E18EA" w:rsidP="00172513">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The Commission–driven civil society participation via the Forum has had mixed results. While the Forum meetings are </w:t>
      </w:r>
      <w:r>
        <w:rPr>
          <w:rFonts w:asciiTheme="majorBidi" w:hAnsiTheme="majorBidi" w:cstheme="majorBidi"/>
          <w:bCs/>
          <w:lang w:val="en-GB"/>
        </w:rPr>
        <w:t xml:space="preserve">attended by </w:t>
      </w:r>
      <w:r w:rsidRPr="00B10073">
        <w:rPr>
          <w:rFonts w:asciiTheme="majorBidi" w:hAnsiTheme="majorBidi" w:cstheme="majorBidi"/>
          <w:bCs/>
          <w:lang w:val="en-GB"/>
        </w:rPr>
        <w:t>a significant number of civil society</w:t>
      </w:r>
      <w:r>
        <w:rPr>
          <w:rFonts w:asciiTheme="majorBidi" w:hAnsiTheme="majorBidi" w:cstheme="majorBidi"/>
          <w:bCs/>
          <w:lang w:val="en-GB"/>
        </w:rPr>
        <w:t xml:space="preserve"> actors</w:t>
      </w:r>
      <w:r w:rsidRPr="00B10073">
        <w:rPr>
          <w:rFonts w:asciiTheme="majorBidi" w:hAnsiTheme="majorBidi" w:cstheme="majorBidi"/>
          <w:bCs/>
          <w:lang w:val="en-GB"/>
        </w:rPr>
        <w:t xml:space="preserve">, the format and outcome of stakeholder participation cast doubts on </w:t>
      </w:r>
      <w:r>
        <w:rPr>
          <w:rFonts w:asciiTheme="majorBidi" w:hAnsiTheme="majorBidi" w:cstheme="majorBidi"/>
          <w:bCs/>
          <w:lang w:val="en-GB"/>
        </w:rPr>
        <w:t xml:space="preserve">the </w:t>
      </w:r>
      <w:r w:rsidRPr="00B10073">
        <w:rPr>
          <w:rFonts w:asciiTheme="majorBidi" w:hAnsiTheme="majorBidi" w:cstheme="majorBidi"/>
          <w:bCs/>
          <w:lang w:val="en-GB"/>
        </w:rPr>
        <w:t xml:space="preserve">effectiveness of </w:t>
      </w:r>
      <w:r>
        <w:rPr>
          <w:rFonts w:asciiTheme="majorBidi" w:hAnsiTheme="majorBidi" w:cstheme="majorBidi"/>
          <w:bCs/>
          <w:lang w:val="en-GB"/>
        </w:rPr>
        <w:t xml:space="preserve">this institutional mechanism </w:t>
      </w:r>
      <w:r w:rsidRPr="00B10073">
        <w:rPr>
          <w:rFonts w:asciiTheme="majorBidi" w:hAnsiTheme="majorBidi" w:cstheme="majorBidi"/>
          <w:bCs/>
          <w:lang w:val="en-GB"/>
        </w:rPr>
        <w:t xml:space="preserve">in eliciting </w:t>
      </w:r>
      <w:r>
        <w:rPr>
          <w:rFonts w:asciiTheme="majorBidi" w:hAnsiTheme="majorBidi" w:cstheme="majorBidi"/>
          <w:bCs/>
          <w:lang w:val="en-GB"/>
        </w:rPr>
        <w:t xml:space="preserve">throughput </w:t>
      </w:r>
      <w:r w:rsidRPr="00B10073">
        <w:rPr>
          <w:rFonts w:asciiTheme="majorBidi" w:hAnsiTheme="majorBidi" w:cstheme="majorBidi"/>
          <w:bCs/>
          <w:lang w:val="en-GB"/>
        </w:rPr>
        <w:t xml:space="preserve">legitimacy. </w:t>
      </w:r>
      <w:r>
        <w:rPr>
          <w:rFonts w:asciiTheme="majorBidi" w:hAnsiTheme="majorBidi" w:cstheme="majorBidi"/>
          <w:bCs/>
          <w:lang w:val="en-GB"/>
        </w:rPr>
        <w:t xml:space="preserve">Although stakeholder </w:t>
      </w:r>
      <w:r w:rsidR="005644EB">
        <w:rPr>
          <w:rFonts w:asciiTheme="majorBidi" w:hAnsiTheme="majorBidi" w:cstheme="majorBidi"/>
          <w:bCs/>
          <w:lang w:val="en-GB"/>
        </w:rPr>
        <w:t>participation</w:t>
      </w:r>
      <w:r>
        <w:rPr>
          <w:rFonts w:asciiTheme="majorBidi" w:hAnsiTheme="majorBidi" w:cstheme="majorBidi"/>
          <w:bCs/>
          <w:lang w:val="en-GB"/>
        </w:rPr>
        <w:t xml:space="preserve"> in the policy process occurs on paper, in practice, due to its restricted inclusiveness</w:t>
      </w:r>
      <w:r w:rsidR="005644EB">
        <w:rPr>
          <w:rFonts w:asciiTheme="majorBidi" w:hAnsiTheme="majorBidi" w:cstheme="majorBidi"/>
          <w:bCs/>
          <w:lang w:val="en-GB"/>
        </w:rPr>
        <w:t xml:space="preserve"> of civil society actors in the decision process</w:t>
      </w:r>
      <w:r>
        <w:rPr>
          <w:rFonts w:asciiTheme="majorBidi" w:hAnsiTheme="majorBidi" w:cstheme="majorBidi"/>
          <w:bCs/>
          <w:lang w:val="en-GB"/>
        </w:rPr>
        <w:t xml:space="preserve">, the Forum has not succeeded in generating throughput legitimacy. </w:t>
      </w:r>
    </w:p>
    <w:p w14:paraId="0AAE298B" w14:textId="77777777" w:rsidR="006E18EA" w:rsidRPr="00B10073" w:rsidRDefault="006E18EA" w:rsidP="00172513">
      <w:pPr>
        <w:spacing w:line="360" w:lineRule="auto"/>
        <w:jc w:val="both"/>
        <w:rPr>
          <w:rFonts w:asciiTheme="majorBidi" w:hAnsiTheme="majorBidi" w:cstheme="majorBidi"/>
          <w:bCs/>
          <w:lang w:val="en-GB"/>
        </w:rPr>
      </w:pPr>
    </w:p>
    <w:p w14:paraId="0B2C4268" w14:textId="77777777" w:rsidR="006E18EA" w:rsidRPr="00B10073" w:rsidRDefault="006E18EA" w:rsidP="00172513">
      <w:pPr>
        <w:spacing w:line="360" w:lineRule="auto"/>
        <w:jc w:val="both"/>
        <w:rPr>
          <w:rFonts w:asciiTheme="majorBidi" w:hAnsiTheme="majorBidi" w:cstheme="majorBidi"/>
          <w:bCs/>
          <w:lang w:val="en-GB"/>
        </w:rPr>
      </w:pPr>
    </w:p>
    <w:p w14:paraId="2BD15B19" w14:textId="03B87C34" w:rsidR="006E18EA" w:rsidRPr="00B10073" w:rsidRDefault="006E18EA" w:rsidP="00172513">
      <w:pPr>
        <w:spacing w:line="360" w:lineRule="auto"/>
        <w:jc w:val="both"/>
        <w:rPr>
          <w:rFonts w:asciiTheme="majorBidi" w:hAnsiTheme="majorBidi" w:cstheme="majorBidi"/>
          <w:b/>
          <w:bCs/>
          <w:iCs/>
          <w:lang w:val="en-GB"/>
        </w:rPr>
      </w:pPr>
      <w:r w:rsidRPr="00B10073">
        <w:rPr>
          <w:rFonts w:asciiTheme="majorBidi" w:hAnsiTheme="majorBidi" w:cstheme="majorBidi"/>
          <w:b/>
          <w:bCs/>
          <w:iCs/>
          <w:lang w:val="en-GB"/>
        </w:rPr>
        <w:t>3. NHS England</w:t>
      </w:r>
    </w:p>
    <w:p w14:paraId="19A089F4" w14:textId="77777777" w:rsidR="006E18EA" w:rsidRPr="00B10073" w:rsidRDefault="006E18EA" w:rsidP="00172513">
      <w:pPr>
        <w:spacing w:line="360" w:lineRule="auto"/>
        <w:jc w:val="both"/>
        <w:rPr>
          <w:rFonts w:asciiTheme="majorBidi" w:hAnsiTheme="majorBidi" w:cstheme="majorBidi"/>
          <w:bCs/>
          <w:iCs/>
          <w:lang w:val="en-GB"/>
        </w:rPr>
      </w:pPr>
    </w:p>
    <w:p w14:paraId="3ED90E23" w14:textId="54D281DE" w:rsidR="006E18EA" w:rsidRPr="00B10073" w:rsidRDefault="006E18EA" w:rsidP="00EB6F7F">
      <w:pPr>
        <w:spacing w:line="360" w:lineRule="auto"/>
        <w:jc w:val="both"/>
        <w:rPr>
          <w:rFonts w:asciiTheme="majorBidi" w:hAnsiTheme="majorBidi" w:cstheme="majorBidi"/>
          <w:bCs/>
          <w:iCs/>
          <w:lang w:val="en-GB"/>
        </w:rPr>
      </w:pPr>
      <w:r w:rsidRPr="00B10073">
        <w:rPr>
          <w:rFonts w:asciiTheme="majorBidi" w:hAnsiTheme="majorBidi" w:cstheme="majorBidi"/>
          <w:bCs/>
          <w:iCs/>
          <w:lang w:val="en-GB"/>
        </w:rPr>
        <w:t xml:space="preserve">The second case focuses on NHS Citizen, a new initiative that has emerged during the formation of NHS England as an arms-lengthy agency devoted to the administration of health services across England. NHS Citizen is an ambitious experiment that is, at the time of writing, only just exiting its initial 18-month ‘design phase’. Compared with the Forum, it is a fledgling project. But </w:t>
      </w:r>
      <w:r>
        <w:rPr>
          <w:rFonts w:asciiTheme="majorBidi" w:hAnsiTheme="majorBidi" w:cstheme="majorBidi"/>
          <w:bCs/>
          <w:iCs/>
          <w:lang w:val="en-GB"/>
        </w:rPr>
        <w:t>the contingency and uncertainty that this entails</w:t>
      </w:r>
      <w:r w:rsidR="00EB6F7F">
        <w:rPr>
          <w:rFonts w:asciiTheme="majorBidi" w:hAnsiTheme="majorBidi" w:cstheme="majorBidi"/>
          <w:bCs/>
          <w:iCs/>
          <w:lang w:val="en-GB"/>
        </w:rPr>
        <w:t xml:space="preserve"> </w:t>
      </w:r>
      <w:r>
        <w:rPr>
          <w:rFonts w:asciiTheme="majorBidi" w:hAnsiTheme="majorBidi" w:cstheme="majorBidi"/>
          <w:bCs/>
          <w:iCs/>
          <w:lang w:val="en-GB"/>
        </w:rPr>
        <w:t>reveal equally</w:t>
      </w:r>
      <w:r w:rsidRPr="00B10073">
        <w:rPr>
          <w:rFonts w:asciiTheme="majorBidi" w:hAnsiTheme="majorBidi" w:cstheme="majorBidi"/>
          <w:bCs/>
          <w:iCs/>
          <w:lang w:val="en-GB"/>
        </w:rPr>
        <w:t xml:space="preserve"> important lessons about the pursuit of </w:t>
      </w:r>
      <w:r w:rsidR="00EB6F7F">
        <w:rPr>
          <w:rFonts w:asciiTheme="majorBidi" w:hAnsiTheme="majorBidi" w:cstheme="majorBidi"/>
          <w:bCs/>
          <w:iCs/>
          <w:lang w:val="en-GB"/>
        </w:rPr>
        <w:t>participatory mechanisms</w:t>
      </w:r>
      <w:r w:rsidRPr="00B10073">
        <w:rPr>
          <w:rFonts w:asciiTheme="majorBidi" w:hAnsiTheme="majorBidi" w:cstheme="majorBidi"/>
          <w:bCs/>
          <w:iCs/>
          <w:lang w:val="en-GB"/>
        </w:rPr>
        <w:t xml:space="preserve"> to feed into, and legitimate, technocratic administration.</w:t>
      </w:r>
    </w:p>
    <w:p w14:paraId="08DE5C9B" w14:textId="77777777" w:rsidR="006E18EA" w:rsidRPr="00B10073" w:rsidRDefault="006E18EA" w:rsidP="00172513">
      <w:pPr>
        <w:spacing w:line="360" w:lineRule="auto"/>
        <w:jc w:val="both"/>
        <w:rPr>
          <w:rFonts w:asciiTheme="majorBidi" w:hAnsiTheme="majorBidi" w:cstheme="majorBidi"/>
          <w:b/>
          <w:lang w:val="en-GB"/>
        </w:rPr>
      </w:pPr>
    </w:p>
    <w:p w14:paraId="2D6A599F" w14:textId="69F629A9" w:rsidR="006E18EA" w:rsidRPr="00B10073" w:rsidRDefault="006E18EA" w:rsidP="00BD359A">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As with </w:t>
      </w:r>
      <w:r>
        <w:rPr>
          <w:rFonts w:asciiTheme="majorBidi" w:hAnsiTheme="majorBidi" w:cstheme="majorBidi"/>
          <w:bCs/>
          <w:lang w:val="en-GB"/>
        </w:rPr>
        <w:t>the</w:t>
      </w:r>
      <w:r w:rsidRPr="00B10073">
        <w:rPr>
          <w:rFonts w:asciiTheme="majorBidi" w:hAnsiTheme="majorBidi" w:cstheme="majorBidi"/>
          <w:bCs/>
          <w:lang w:val="en-GB"/>
        </w:rPr>
        <w:t xml:space="preserve"> Forum </w:t>
      </w:r>
      <w:r>
        <w:rPr>
          <w:rFonts w:asciiTheme="majorBidi" w:hAnsiTheme="majorBidi" w:cstheme="majorBidi"/>
          <w:bCs/>
          <w:lang w:val="en-GB"/>
        </w:rPr>
        <w:t>case</w:t>
      </w:r>
      <w:r w:rsidRPr="00B10073">
        <w:rPr>
          <w:rFonts w:asciiTheme="majorBidi" w:hAnsiTheme="majorBidi" w:cstheme="majorBidi"/>
          <w:bCs/>
          <w:lang w:val="en-GB"/>
        </w:rPr>
        <w:t xml:space="preserve">, the key to understanding NHS Citizen lies in its institutional origins, amid the </w:t>
      </w:r>
      <w:r w:rsidR="009536E4">
        <w:rPr>
          <w:rFonts w:asciiTheme="majorBidi" w:hAnsiTheme="majorBidi" w:cstheme="majorBidi"/>
          <w:bCs/>
          <w:lang w:val="en-GB"/>
        </w:rPr>
        <w:t xml:space="preserve">then </w:t>
      </w:r>
      <w:r w:rsidRPr="00B10073">
        <w:rPr>
          <w:rFonts w:asciiTheme="majorBidi" w:hAnsiTheme="majorBidi" w:cstheme="majorBidi"/>
          <w:bCs/>
          <w:lang w:val="en-GB"/>
        </w:rPr>
        <w:t xml:space="preserve">Coalition Government’s recent controversial reforms to the National Health Service. While public debate has focused on marketisation, a key administrative reform was </w:t>
      </w:r>
      <w:r>
        <w:rPr>
          <w:rFonts w:asciiTheme="majorBidi" w:hAnsiTheme="majorBidi" w:cstheme="majorBidi"/>
          <w:bCs/>
          <w:lang w:val="en-GB"/>
        </w:rPr>
        <w:t>of the transformation of the NHS into</w:t>
      </w:r>
      <w:r w:rsidRPr="00B10073">
        <w:rPr>
          <w:rFonts w:asciiTheme="majorBidi" w:hAnsiTheme="majorBidi" w:cstheme="majorBidi"/>
          <w:bCs/>
          <w:lang w:val="en-GB"/>
        </w:rPr>
        <w:t xml:space="preserve"> an arms-length </w:t>
      </w:r>
      <w:r w:rsidRPr="00B10073">
        <w:rPr>
          <w:rFonts w:asciiTheme="majorBidi" w:hAnsiTheme="majorBidi" w:cstheme="majorBidi"/>
          <w:bCs/>
          <w:lang w:val="en-GB"/>
        </w:rPr>
        <w:lastRenderedPageBreak/>
        <w:t xml:space="preserve">agency—NHS England—responsible for administration of </w:t>
      </w:r>
      <w:r>
        <w:rPr>
          <w:rFonts w:asciiTheme="majorBidi" w:hAnsiTheme="majorBidi" w:cstheme="majorBidi"/>
          <w:bCs/>
          <w:lang w:val="en-GB"/>
        </w:rPr>
        <w:t>health services across England</w:t>
      </w:r>
      <w:r w:rsidRPr="00B10073">
        <w:rPr>
          <w:rFonts w:asciiTheme="majorBidi" w:hAnsiTheme="majorBidi" w:cstheme="majorBidi"/>
          <w:bCs/>
          <w:lang w:val="en-GB"/>
        </w:rPr>
        <w:t xml:space="preserve">. NHS England was to be overseen by a 17-strong Board of </w:t>
      </w:r>
      <w:r>
        <w:rPr>
          <w:rFonts w:asciiTheme="majorBidi" w:hAnsiTheme="majorBidi" w:cstheme="majorBidi"/>
          <w:bCs/>
          <w:lang w:val="en-GB"/>
        </w:rPr>
        <w:t>Directors</w:t>
      </w:r>
      <w:r w:rsidRPr="00B10073">
        <w:rPr>
          <w:rFonts w:asciiTheme="majorBidi" w:hAnsiTheme="majorBidi" w:cstheme="majorBidi"/>
          <w:bCs/>
          <w:lang w:val="en-GB"/>
        </w:rPr>
        <w:t xml:space="preserve">. Though there was some homage to public oversight in the form of </w:t>
      </w:r>
      <w:r>
        <w:rPr>
          <w:rFonts w:asciiTheme="majorBidi" w:hAnsiTheme="majorBidi" w:cstheme="majorBidi"/>
          <w:bCs/>
          <w:lang w:val="en-GB"/>
        </w:rPr>
        <w:t xml:space="preserve">a handful of </w:t>
      </w:r>
      <w:r w:rsidRPr="00B10073">
        <w:rPr>
          <w:rFonts w:asciiTheme="majorBidi" w:hAnsiTheme="majorBidi" w:cstheme="majorBidi"/>
          <w:bCs/>
          <w:lang w:val="en-GB"/>
        </w:rPr>
        <w:t>Non-Executive Directors</w:t>
      </w:r>
      <w:r>
        <w:rPr>
          <w:rFonts w:asciiTheme="majorBidi" w:hAnsiTheme="majorBidi" w:cstheme="majorBidi"/>
          <w:bCs/>
          <w:lang w:val="en-GB"/>
        </w:rPr>
        <w:t xml:space="preserve"> drawn from the community, the board primarily comprises</w:t>
      </w:r>
      <w:r w:rsidRPr="00B10073">
        <w:rPr>
          <w:rFonts w:asciiTheme="majorBidi" w:hAnsiTheme="majorBidi" w:cstheme="majorBidi"/>
          <w:bCs/>
          <w:lang w:val="en-GB"/>
        </w:rPr>
        <w:t xml:space="preserve"> Very Senior Managers. These are actors prized for </w:t>
      </w:r>
      <w:r>
        <w:rPr>
          <w:rFonts w:asciiTheme="majorBidi" w:hAnsiTheme="majorBidi" w:cstheme="majorBidi"/>
          <w:bCs/>
          <w:lang w:val="en-GB"/>
        </w:rPr>
        <w:t>their administrative capacity.</w:t>
      </w:r>
      <w:r w:rsidRPr="00B10073">
        <w:rPr>
          <w:rFonts w:asciiTheme="majorBidi" w:hAnsiTheme="majorBidi" w:cstheme="majorBidi"/>
          <w:bCs/>
          <w:lang w:val="en-GB"/>
        </w:rPr>
        <w:t xml:space="preserve"> As such, the agency’s initial focus</w:t>
      </w:r>
      <w:r w:rsidR="00BD359A">
        <w:rPr>
          <w:rFonts w:asciiTheme="majorBidi" w:hAnsiTheme="majorBidi" w:cstheme="majorBidi"/>
          <w:bCs/>
          <w:lang w:val="en-GB"/>
        </w:rPr>
        <w:t xml:space="preserve"> </w:t>
      </w:r>
      <w:r w:rsidRPr="00B10073">
        <w:rPr>
          <w:rFonts w:asciiTheme="majorBidi" w:hAnsiTheme="majorBidi" w:cstheme="majorBidi"/>
          <w:bCs/>
          <w:lang w:val="en-GB"/>
        </w:rPr>
        <w:t xml:space="preserve">was on output legitimacy. It was to streamline health services, administering a more efficient and cost-effective system of delivery. </w:t>
      </w:r>
    </w:p>
    <w:p w14:paraId="7757994B" w14:textId="77777777" w:rsidR="006E18EA" w:rsidRPr="00B10073" w:rsidRDefault="006E18EA" w:rsidP="00172513">
      <w:pPr>
        <w:spacing w:line="360" w:lineRule="auto"/>
        <w:jc w:val="both"/>
        <w:rPr>
          <w:rFonts w:asciiTheme="majorBidi" w:hAnsiTheme="majorBidi" w:cstheme="majorBidi"/>
          <w:bCs/>
          <w:lang w:val="en-GB"/>
        </w:rPr>
      </w:pPr>
    </w:p>
    <w:p w14:paraId="1194BDEF" w14:textId="0BCF56A4" w:rsidR="006E18EA" w:rsidRPr="00B10073" w:rsidRDefault="006E18EA" w:rsidP="00EB6F7F">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However, as the shift to arms-length governance was rolled out, the perceived legitimacy of the </w:t>
      </w:r>
      <w:r>
        <w:rPr>
          <w:rFonts w:asciiTheme="majorBidi" w:hAnsiTheme="majorBidi" w:cstheme="majorBidi"/>
          <w:bCs/>
          <w:lang w:val="en-GB"/>
        </w:rPr>
        <w:t>process</w:t>
      </w:r>
      <w:r w:rsidRPr="00B10073">
        <w:rPr>
          <w:rFonts w:asciiTheme="majorBidi" w:hAnsiTheme="majorBidi" w:cstheme="majorBidi"/>
          <w:bCs/>
          <w:lang w:val="en-GB"/>
        </w:rPr>
        <w:t xml:space="preserve">—especially in the context of the controversial policy debate into which it was born—was called into question, most pointedly by influential </w:t>
      </w:r>
      <w:r>
        <w:rPr>
          <w:rFonts w:asciiTheme="majorBidi" w:hAnsiTheme="majorBidi" w:cstheme="majorBidi"/>
          <w:bCs/>
          <w:lang w:val="en-GB"/>
        </w:rPr>
        <w:t>Non-Executive Directors on the B</w:t>
      </w:r>
      <w:r w:rsidRPr="00B10073">
        <w:rPr>
          <w:rFonts w:asciiTheme="majorBidi" w:hAnsiTheme="majorBidi" w:cstheme="majorBidi"/>
          <w:bCs/>
          <w:lang w:val="en-GB"/>
        </w:rPr>
        <w:t>oard.</w:t>
      </w:r>
      <w:r w:rsidRPr="00B10073">
        <w:rPr>
          <w:rStyle w:val="EndnoteReference"/>
          <w:rFonts w:asciiTheme="majorBidi" w:hAnsiTheme="majorBidi" w:cstheme="majorBidi"/>
          <w:bCs/>
          <w:lang w:val="en-GB"/>
        </w:rPr>
        <w:endnoteReference w:id="15"/>
      </w:r>
      <w:r w:rsidRPr="00B10073">
        <w:rPr>
          <w:rFonts w:asciiTheme="majorBidi" w:hAnsiTheme="majorBidi" w:cstheme="majorBidi"/>
          <w:bCs/>
          <w:lang w:val="en-GB"/>
        </w:rPr>
        <w:t xml:space="preserve"> </w:t>
      </w:r>
      <w:r>
        <w:rPr>
          <w:rFonts w:asciiTheme="majorBidi" w:hAnsiTheme="majorBidi" w:cstheme="majorBidi"/>
          <w:bCs/>
          <w:lang w:val="en-GB"/>
        </w:rPr>
        <w:t>The language of Schmidt’s ‘throughput legitimacy’—‘accountability’, ‘transparency’, ‘inclusion’ and ‘openness to civil society’—permeated the informal discussions and official documents.</w:t>
      </w:r>
      <w:r>
        <w:rPr>
          <w:rStyle w:val="EndnoteReference"/>
          <w:rFonts w:asciiTheme="majorBidi" w:hAnsiTheme="majorBidi" w:cstheme="majorBidi"/>
          <w:bCs/>
          <w:lang w:val="en-GB"/>
        </w:rPr>
        <w:endnoteReference w:id="16"/>
      </w:r>
      <w:r>
        <w:rPr>
          <w:rFonts w:asciiTheme="majorBidi" w:hAnsiTheme="majorBidi" w:cstheme="majorBidi"/>
          <w:bCs/>
          <w:lang w:val="en-GB"/>
        </w:rPr>
        <w:t xml:space="preserve"> In practice, these</w:t>
      </w:r>
      <w:r w:rsidRPr="00B10073">
        <w:rPr>
          <w:rFonts w:asciiTheme="majorBidi" w:hAnsiTheme="majorBidi" w:cstheme="majorBidi"/>
          <w:bCs/>
          <w:lang w:val="en-GB"/>
        </w:rPr>
        <w:t xml:space="preserve"> calls </w:t>
      </w:r>
      <w:r>
        <w:rPr>
          <w:rFonts w:asciiTheme="majorBidi" w:hAnsiTheme="majorBidi" w:cstheme="majorBidi"/>
          <w:bCs/>
          <w:lang w:val="en-GB"/>
        </w:rPr>
        <w:t>for change became concentrated</w:t>
      </w:r>
      <w:r w:rsidRPr="00B10073">
        <w:rPr>
          <w:rFonts w:asciiTheme="majorBidi" w:hAnsiTheme="majorBidi" w:cstheme="majorBidi"/>
          <w:bCs/>
          <w:lang w:val="en-GB"/>
        </w:rPr>
        <w:t xml:space="preserve"> </w:t>
      </w:r>
      <w:r>
        <w:rPr>
          <w:rFonts w:asciiTheme="majorBidi" w:hAnsiTheme="majorBidi" w:cstheme="majorBidi"/>
          <w:bCs/>
          <w:lang w:val="en-GB"/>
        </w:rPr>
        <w:t xml:space="preserve">around the notion of </w:t>
      </w:r>
      <w:r w:rsidRPr="00B10073">
        <w:rPr>
          <w:rFonts w:asciiTheme="majorBidi" w:hAnsiTheme="majorBidi" w:cstheme="majorBidi"/>
          <w:bCs/>
          <w:lang w:val="en-GB"/>
        </w:rPr>
        <w:t>a participatory innovation</w:t>
      </w:r>
      <w:r>
        <w:rPr>
          <w:rFonts w:asciiTheme="majorBidi" w:hAnsiTheme="majorBidi" w:cstheme="majorBidi"/>
          <w:bCs/>
          <w:lang w:val="en-GB"/>
        </w:rPr>
        <w:t>.</w:t>
      </w:r>
    </w:p>
    <w:p w14:paraId="056390EB" w14:textId="77777777" w:rsidR="006E18EA" w:rsidRPr="00B10073" w:rsidRDefault="006E18EA" w:rsidP="00172513">
      <w:pPr>
        <w:spacing w:line="360" w:lineRule="auto"/>
        <w:jc w:val="both"/>
        <w:rPr>
          <w:rFonts w:asciiTheme="majorBidi" w:hAnsiTheme="majorBidi" w:cstheme="majorBidi"/>
          <w:bCs/>
          <w:lang w:val="en-GB"/>
        </w:rPr>
      </w:pPr>
    </w:p>
    <w:p w14:paraId="1B7BBC49" w14:textId="427EE0DC" w:rsidR="006E18EA" w:rsidRPr="00B10073" w:rsidRDefault="006E18EA" w:rsidP="00172513">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In response, the Board committed to pursuing </w:t>
      </w:r>
      <w:r>
        <w:rPr>
          <w:rFonts w:asciiTheme="majorBidi" w:hAnsiTheme="majorBidi" w:cstheme="majorBidi"/>
          <w:bCs/>
          <w:lang w:val="en-GB"/>
        </w:rPr>
        <w:t>greater participa</w:t>
      </w:r>
      <w:r w:rsidRPr="00B10073">
        <w:rPr>
          <w:rFonts w:asciiTheme="majorBidi" w:hAnsiTheme="majorBidi" w:cstheme="majorBidi"/>
          <w:bCs/>
          <w:lang w:val="en-GB"/>
        </w:rPr>
        <w:t>t</w:t>
      </w:r>
      <w:r>
        <w:rPr>
          <w:rFonts w:asciiTheme="majorBidi" w:hAnsiTheme="majorBidi" w:cstheme="majorBidi"/>
          <w:bCs/>
          <w:lang w:val="en-GB"/>
        </w:rPr>
        <w:t>ion with citizens and civil society actors</w:t>
      </w:r>
      <w:r w:rsidRPr="00B10073">
        <w:rPr>
          <w:rFonts w:asciiTheme="majorBidi" w:hAnsiTheme="majorBidi" w:cstheme="majorBidi"/>
          <w:bCs/>
          <w:lang w:val="en-GB"/>
        </w:rPr>
        <w:t xml:space="preserve">. As with the Forum </w:t>
      </w:r>
      <w:r>
        <w:rPr>
          <w:rFonts w:asciiTheme="majorBidi" w:hAnsiTheme="majorBidi" w:cstheme="majorBidi"/>
          <w:bCs/>
          <w:lang w:val="en-GB"/>
        </w:rPr>
        <w:t>case</w:t>
      </w:r>
      <w:r w:rsidRPr="00B10073">
        <w:rPr>
          <w:rFonts w:asciiTheme="majorBidi" w:hAnsiTheme="majorBidi" w:cstheme="majorBidi"/>
          <w:bCs/>
          <w:lang w:val="en-GB"/>
        </w:rPr>
        <w:t>, this commitment was met with confusion and uncertainty among many of the Board members as well as actors across the broader organization.</w:t>
      </w:r>
      <w:r>
        <w:rPr>
          <w:rStyle w:val="EndnoteReference"/>
          <w:rFonts w:asciiTheme="majorBidi" w:hAnsiTheme="majorBidi" w:cstheme="majorBidi"/>
          <w:bCs/>
          <w:lang w:val="en-GB"/>
        </w:rPr>
        <w:endnoteReference w:id="17"/>
      </w:r>
      <w:r w:rsidRPr="00B10073">
        <w:rPr>
          <w:rFonts w:asciiTheme="majorBidi" w:hAnsiTheme="majorBidi" w:cstheme="majorBidi"/>
          <w:bCs/>
          <w:lang w:val="en-GB"/>
        </w:rPr>
        <w:t xml:space="preserve"> There were already a number of mechanisms of consumer </w:t>
      </w:r>
      <w:r>
        <w:rPr>
          <w:rFonts w:asciiTheme="majorBidi" w:hAnsiTheme="majorBidi" w:cstheme="majorBidi"/>
          <w:bCs/>
          <w:lang w:val="en-GB"/>
        </w:rPr>
        <w:t xml:space="preserve">feedback </w:t>
      </w:r>
      <w:r w:rsidRPr="00B10073">
        <w:rPr>
          <w:rFonts w:asciiTheme="majorBidi" w:hAnsiTheme="majorBidi" w:cstheme="majorBidi"/>
          <w:bCs/>
          <w:lang w:val="en-GB"/>
        </w:rPr>
        <w:t xml:space="preserve">and public </w:t>
      </w:r>
      <w:r>
        <w:rPr>
          <w:rFonts w:asciiTheme="majorBidi" w:hAnsiTheme="majorBidi" w:cstheme="majorBidi"/>
          <w:bCs/>
          <w:lang w:val="en-GB"/>
        </w:rPr>
        <w:t xml:space="preserve">participation </w:t>
      </w:r>
      <w:r w:rsidRPr="00B10073">
        <w:rPr>
          <w:rFonts w:asciiTheme="majorBidi" w:hAnsiTheme="majorBidi" w:cstheme="majorBidi"/>
          <w:bCs/>
          <w:lang w:val="en-GB"/>
        </w:rPr>
        <w:t>in health governance across multiple levels of government</w:t>
      </w:r>
      <w:r>
        <w:rPr>
          <w:rFonts w:asciiTheme="majorBidi" w:hAnsiTheme="majorBidi" w:cstheme="majorBidi"/>
          <w:bCs/>
          <w:lang w:val="en-GB"/>
        </w:rPr>
        <w:t>. M</w:t>
      </w:r>
      <w:r w:rsidRPr="00B10073">
        <w:rPr>
          <w:rFonts w:asciiTheme="majorBidi" w:hAnsiTheme="majorBidi" w:cstheme="majorBidi"/>
          <w:bCs/>
          <w:lang w:val="en-GB"/>
        </w:rPr>
        <w:t xml:space="preserve">any questioned (and continue to question) the value of </w:t>
      </w:r>
      <w:r>
        <w:rPr>
          <w:rFonts w:asciiTheme="majorBidi" w:hAnsiTheme="majorBidi" w:cstheme="majorBidi"/>
          <w:bCs/>
          <w:lang w:val="en-GB"/>
        </w:rPr>
        <w:t>another initiative</w:t>
      </w:r>
      <w:r w:rsidRPr="00B10073">
        <w:rPr>
          <w:rFonts w:asciiTheme="majorBidi" w:hAnsiTheme="majorBidi" w:cstheme="majorBidi"/>
          <w:bCs/>
          <w:lang w:val="en-GB"/>
        </w:rPr>
        <w:t xml:space="preserve">, particularly in </w:t>
      </w:r>
      <w:r>
        <w:rPr>
          <w:rFonts w:asciiTheme="majorBidi" w:hAnsiTheme="majorBidi" w:cstheme="majorBidi"/>
          <w:bCs/>
          <w:lang w:val="en-GB"/>
        </w:rPr>
        <w:t>light</w:t>
      </w:r>
      <w:r w:rsidRPr="00B10073">
        <w:rPr>
          <w:rFonts w:asciiTheme="majorBidi" w:hAnsiTheme="majorBidi" w:cstheme="majorBidi"/>
          <w:bCs/>
          <w:lang w:val="en-GB"/>
        </w:rPr>
        <w:t xml:space="preserve"> of NHS England’s technocratic focus.</w:t>
      </w:r>
      <w:r w:rsidRPr="00131141">
        <w:rPr>
          <w:rStyle w:val="EndnoteReference"/>
          <w:rFonts w:asciiTheme="majorBidi" w:hAnsiTheme="majorBidi" w:cstheme="majorBidi"/>
          <w:bCs/>
          <w:lang w:val="en-GB"/>
        </w:rPr>
        <w:t xml:space="preserve"> </w:t>
      </w:r>
      <w:r>
        <w:rPr>
          <w:rFonts w:asciiTheme="majorBidi" w:hAnsiTheme="majorBidi" w:cstheme="majorBidi"/>
          <w:bCs/>
          <w:lang w:val="en-GB"/>
        </w:rPr>
        <w:t>Born</w:t>
      </w:r>
      <w:r w:rsidRPr="00B10073">
        <w:rPr>
          <w:rFonts w:asciiTheme="majorBidi" w:hAnsiTheme="majorBidi" w:cstheme="majorBidi"/>
          <w:bCs/>
          <w:lang w:val="en-GB"/>
        </w:rPr>
        <w:t xml:space="preserve"> of this confusion and contestation was a decision to pilot a provisional scheme now known as NHS Citizen—a participatory innovation charged with canvassing citizen input on health services, developing and making sense of this input, and then reporting it to the Board for action at a public assembly.</w:t>
      </w:r>
      <w:r w:rsidR="003C0786">
        <w:rPr>
          <w:rStyle w:val="EndnoteReference"/>
          <w:rFonts w:asciiTheme="majorBidi" w:hAnsiTheme="majorBidi" w:cstheme="majorBidi"/>
          <w:bCs/>
          <w:lang w:val="en-GB"/>
        </w:rPr>
        <w:endnoteReference w:id="18"/>
      </w:r>
    </w:p>
    <w:p w14:paraId="267240DF" w14:textId="77777777" w:rsidR="006E18EA" w:rsidRPr="00B10073" w:rsidRDefault="006E18EA" w:rsidP="00172513">
      <w:pPr>
        <w:spacing w:line="360" w:lineRule="auto"/>
        <w:jc w:val="both"/>
        <w:rPr>
          <w:rFonts w:asciiTheme="majorBidi" w:hAnsiTheme="majorBidi" w:cstheme="majorBidi"/>
          <w:bCs/>
          <w:lang w:val="en-GB"/>
        </w:rPr>
      </w:pPr>
    </w:p>
    <w:p w14:paraId="45F53C20" w14:textId="5F22A952" w:rsidR="006E18EA" w:rsidRDefault="006E18EA" w:rsidP="00685E65">
      <w:pPr>
        <w:spacing w:line="360" w:lineRule="auto"/>
        <w:jc w:val="both"/>
        <w:rPr>
          <w:rFonts w:asciiTheme="majorBidi" w:hAnsiTheme="majorBidi" w:cstheme="majorBidi"/>
          <w:bCs/>
          <w:lang w:val="en-GB"/>
        </w:rPr>
      </w:pPr>
      <w:r w:rsidRPr="00B10073">
        <w:rPr>
          <w:rFonts w:asciiTheme="majorBidi" w:hAnsiTheme="majorBidi" w:cstheme="majorBidi"/>
          <w:bCs/>
          <w:lang w:val="en-GB"/>
        </w:rPr>
        <w:t>Central to the development of the NHS Citizen initiative was a decision to</w:t>
      </w:r>
      <w:r>
        <w:rPr>
          <w:rFonts w:asciiTheme="majorBidi" w:hAnsiTheme="majorBidi" w:cstheme="majorBidi"/>
          <w:bCs/>
          <w:lang w:val="en-GB"/>
        </w:rPr>
        <w:t xml:space="preserve"> </w:t>
      </w:r>
      <w:r w:rsidRPr="00B10073">
        <w:rPr>
          <w:rFonts w:asciiTheme="majorBidi" w:hAnsiTheme="majorBidi" w:cstheme="majorBidi"/>
          <w:bCs/>
          <w:lang w:val="en-GB"/>
        </w:rPr>
        <w:t>outsource the task to a consortium of organisations in the ‘democratic sector’ (The Democratic Society; Public-I; The Tavistock Institute; and Involve).</w:t>
      </w:r>
      <w:r w:rsidR="001145F1">
        <w:rPr>
          <w:rStyle w:val="EndnoteReference"/>
          <w:rFonts w:asciiTheme="majorBidi" w:hAnsiTheme="majorBidi" w:cstheme="majorBidi"/>
          <w:bCs/>
          <w:lang w:val="en-GB"/>
        </w:rPr>
        <w:endnoteReference w:id="19"/>
      </w:r>
      <w:r w:rsidRPr="00B10073">
        <w:rPr>
          <w:rFonts w:asciiTheme="majorBidi" w:hAnsiTheme="majorBidi" w:cstheme="majorBidi"/>
          <w:bCs/>
          <w:lang w:val="en-GB"/>
        </w:rPr>
        <w:t xml:space="preserve"> </w:t>
      </w:r>
      <w:r>
        <w:rPr>
          <w:rFonts w:asciiTheme="majorBidi" w:hAnsiTheme="majorBidi" w:cstheme="majorBidi"/>
          <w:bCs/>
          <w:lang w:val="en-GB"/>
        </w:rPr>
        <w:t>As such, NHS Citizen has evolve</w:t>
      </w:r>
      <w:r w:rsidR="00685E65">
        <w:rPr>
          <w:rFonts w:asciiTheme="majorBidi" w:hAnsiTheme="majorBidi" w:cstheme="majorBidi"/>
          <w:bCs/>
          <w:lang w:val="en-GB"/>
        </w:rPr>
        <w:t>d</w:t>
      </w:r>
      <w:r>
        <w:rPr>
          <w:rFonts w:asciiTheme="majorBidi" w:hAnsiTheme="majorBidi" w:cstheme="majorBidi"/>
          <w:bCs/>
          <w:lang w:val="en-GB"/>
        </w:rPr>
        <w:t xml:space="preserve"> </w:t>
      </w:r>
      <w:r w:rsidRPr="00B10073">
        <w:rPr>
          <w:rFonts w:asciiTheme="majorBidi" w:hAnsiTheme="majorBidi" w:cstheme="majorBidi"/>
          <w:bCs/>
          <w:lang w:val="en-GB"/>
        </w:rPr>
        <w:t xml:space="preserve">in the context of deep and ongoing co-production between </w:t>
      </w:r>
      <w:r>
        <w:rPr>
          <w:rFonts w:asciiTheme="majorBidi" w:hAnsiTheme="majorBidi" w:cstheme="majorBidi"/>
          <w:bCs/>
          <w:lang w:val="en-GB"/>
        </w:rPr>
        <w:t>these partner organizations and the NHS England Public Voice team</w:t>
      </w:r>
      <w:r w:rsidR="00685E65">
        <w:rPr>
          <w:rFonts w:asciiTheme="majorBidi" w:hAnsiTheme="majorBidi" w:cstheme="majorBidi"/>
          <w:bCs/>
          <w:lang w:val="en-GB"/>
        </w:rPr>
        <w:t>, sparking a</w:t>
      </w:r>
      <w:r w:rsidRPr="00B10073">
        <w:rPr>
          <w:rFonts w:asciiTheme="majorBidi" w:hAnsiTheme="majorBidi" w:cstheme="majorBidi"/>
          <w:bCs/>
          <w:lang w:val="en-GB"/>
        </w:rPr>
        <w:t xml:space="preserve"> collaborative </w:t>
      </w:r>
      <w:r w:rsidRPr="00B10073">
        <w:rPr>
          <w:rFonts w:asciiTheme="majorBidi" w:hAnsiTheme="majorBidi" w:cstheme="majorBidi"/>
          <w:bCs/>
          <w:lang w:val="en-GB"/>
        </w:rPr>
        <w:lastRenderedPageBreak/>
        <w:t xml:space="preserve">culture of ‘planning in the open’. All paperwork associated with NHS Citizen is published on the website as ‘working documents’. </w:t>
      </w:r>
      <w:r>
        <w:rPr>
          <w:rFonts w:asciiTheme="majorBidi" w:hAnsiTheme="majorBidi" w:cstheme="majorBidi"/>
          <w:bCs/>
          <w:lang w:val="en-GB"/>
        </w:rPr>
        <w:t>The outputs of participation</w:t>
      </w:r>
      <w:r w:rsidRPr="00B10073">
        <w:rPr>
          <w:rFonts w:asciiTheme="majorBidi" w:hAnsiTheme="majorBidi" w:cstheme="majorBidi"/>
          <w:bCs/>
          <w:lang w:val="en-GB"/>
        </w:rPr>
        <w:t xml:space="preserve"> are publicised in eye-catching and interactive ways. Regular design meetings are open to anyone from the public, and are webcast and archived. There is also an aggressive social media profile, with regular blog posts and tweeting from events and meetings.</w:t>
      </w:r>
    </w:p>
    <w:p w14:paraId="4F05C695" w14:textId="77777777" w:rsidR="006E18EA" w:rsidRDefault="006E18EA" w:rsidP="00172513">
      <w:pPr>
        <w:spacing w:line="360" w:lineRule="auto"/>
        <w:jc w:val="both"/>
        <w:rPr>
          <w:rFonts w:asciiTheme="majorBidi" w:hAnsiTheme="majorBidi" w:cstheme="majorBidi"/>
          <w:bCs/>
          <w:lang w:val="en-GB"/>
        </w:rPr>
      </w:pPr>
    </w:p>
    <w:p w14:paraId="372BE77E" w14:textId="62C84DC8" w:rsidR="006E18EA" w:rsidRPr="00B10073" w:rsidRDefault="006E18EA">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As a result, the agenda for discussion remains, for the most part, tentative and subject to </w:t>
      </w:r>
      <w:r>
        <w:rPr>
          <w:rFonts w:asciiTheme="majorBidi" w:hAnsiTheme="majorBidi" w:cstheme="majorBidi"/>
          <w:bCs/>
          <w:lang w:val="en-GB"/>
        </w:rPr>
        <w:t>r</w:t>
      </w:r>
      <w:r w:rsidRPr="00B10073">
        <w:rPr>
          <w:rFonts w:asciiTheme="majorBidi" w:hAnsiTheme="majorBidi" w:cstheme="majorBidi"/>
          <w:bCs/>
          <w:lang w:val="en-GB"/>
        </w:rPr>
        <w:t>e</w:t>
      </w:r>
      <w:r>
        <w:rPr>
          <w:rFonts w:asciiTheme="majorBidi" w:hAnsiTheme="majorBidi" w:cstheme="majorBidi"/>
          <w:bCs/>
          <w:lang w:val="en-GB"/>
        </w:rPr>
        <w:t>vision</w:t>
      </w:r>
      <w:r w:rsidRPr="00B10073">
        <w:rPr>
          <w:rFonts w:asciiTheme="majorBidi" w:hAnsiTheme="majorBidi" w:cstheme="majorBidi"/>
          <w:bCs/>
          <w:lang w:val="en-GB"/>
        </w:rPr>
        <w:t xml:space="preserve">. </w:t>
      </w:r>
      <w:r w:rsidR="003024D6">
        <w:rPr>
          <w:rFonts w:asciiTheme="majorBidi" w:hAnsiTheme="majorBidi" w:cstheme="majorBidi"/>
          <w:bCs/>
          <w:lang w:val="en-GB"/>
        </w:rPr>
        <w:t xml:space="preserve">Civil society actors can achieve significant </w:t>
      </w:r>
      <w:r w:rsidR="003024D6" w:rsidRPr="00C61308">
        <w:rPr>
          <w:rFonts w:asciiTheme="majorBidi" w:hAnsiTheme="majorBidi" w:cstheme="majorBidi"/>
          <w:bCs/>
          <w:i/>
          <w:iCs/>
          <w:lang w:val="en-GB"/>
        </w:rPr>
        <w:t>input into agenda-setting</w:t>
      </w:r>
      <w:r w:rsidR="003024D6">
        <w:rPr>
          <w:rFonts w:asciiTheme="majorBidi" w:hAnsiTheme="majorBidi" w:cstheme="majorBidi"/>
          <w:bCs/>
          <w:lang w:val="en-GB"/>
        </w:rPr>
        <w:t xml:space="preserve">. </w:t>
      </w:r>
      <w:r w:rsidRPr="00B10073">
        <w:rPr>
          <w:rFonts w:asciiTheme="majorBidi" w:hAnsiTheme="majorBidi" w:cstheme="majorBidi"/>
          <w:bCs/>
          <w:lang w:val="en-GB"/>
        </w:rPr>
        <w:t>Anything could emerge from the process and be carried through to the Board for discussion and a formal response. This lends an openness to NHS Citizen which belies the common perception of closed technocratic decision-making within delegated agencies. It enables the performance of the sort of ‘throughput legitimacy</w:t>
      </w:r>
      <w:r>
        <w:rPr>
          <w:rFonts w:asciiTheme="majorBidi" w:hAnsiTheme="majorBidi" w:cstheme="majorBidi"/>
          <w:bCs/>
          <w:lang w:val="en-GB"/>
        </w:rPr>
        <w:t>’</w:t>
      </w:r>
      <w:r w:rsidRPr="00B10073">
        <w:rPr>
          <w:rFonts w:asciiTheme="majorBidi" w:hAnsiTheme="majorBidi" w:cstheme="majorBidi"/>
          <w:bCs/>
          <w:lang w:val="en-GB"/>
        </w:rPr>
        <w:t xml:space="preserve"> that was thought to be lacking in the shift to the NHS England model. Adopting this approach has served to disarm </w:t>
      </w:r>
      <w:r w:rsidR="00685E65">
        <w:rPr>
          <w:rFonts w:asciiTheme="majorBidi" w:hAnsiTheme="majorBidi" w:cstheme="majorBidi"/>
          <w:bCs/>
          <w:lang w:val="en-GB"/>
        </w:rPr>
        <w:t>some</w:t>
      </w:r>
      <w:r w:rsidRPr="00B10073">
        <w:rPr>
          <w:rFonts w:asciiTheme="majorBidi" w:hAnsiTheme="majorBidi" w:cstheme="majorBidi"/>
          <w:bCs/>
          <w:lang w:val="en-GB"/>
        </w:rPr>
        <w:t xml:space="preserve"> opposition </w:t>
      </w:r>
      <w:r w:rsidR="009536E4">
        <w:rPr>
          <w:rFonts w:asciiTheme="majorBidi" w:hAnsiTheme="majorBidi" w:cstheme="majorBidi"/>
          <w:bCs/>
          <w:lang w:val="en-GB"/>
        </w:rPr>
        <w:t>to</w:t>
      </w:r>
      <w:r w:rsidRPr="00B10073">
        <w:rPr>
          <w:rFonts w:asciiTheme="majorBidi" w:hAnsiTheme="majorBidi" w:cstheme="majorBidi"/>
          <w:bCs/>
          <w:lang w:val="en-GB"/>
        </w:rPr>
        <w:t xml:space="preserve"> the</w:t>
      </w:r>
      <w:r w:rsidR="009536E4">
        <w:rPr>
          <w:rFonts w:asciiTheme="majorBidi" w:hAnsiTheme="majorBidi" w:cstheme="majorBidi"/>
          <w:bCs/>
          <w:lang w:val="en-GB"/>
        </w:rPr>
        <w:t xml:space="preserve"> establishment of the</w:t>
      </w:r>
      <w:r w:rsidRPr="00B10073">
        <w:rPr>
          <w:rFonts w:asciiTheme="majorBidi" w:hAnsiTheme="majorBidi" w:cstheme="majorBidi"/>
          <w:bCs/>
          <w:lang w:val="en-GB"/>
        </w:rPr>
        <w:t xml:space="preserve"> agency, allowing civil society groups to feel they </w:t>
      </w:r>
      <w:r w:rsidR="009536E4">
        <w:rPr>
          <w:rFonts w:asciiTheme="majorBidi" w:hAnsiTheme="majorBidi" w:cstheme="majorBidi"/>
          <w:bCs/>
          <w:lang w:val="en-GB"/>
        </w:rPr>
        <w:t xml:space="preserve">retain </w:t>
      </w:r>
      <w:r w:rsidRPr="00B10073">
        <w:rPr>
          <w:rFonts w:asciiTheme="majorBidi" w:hAnsiTheme="majorBidi" w:cstheme="majorBidi"/>
          <w:bCs/>
          <w:lang w:val="en-GB"/>
        </w:rPr>
        <w:t xml:space="preserve">a stake in the process. </w:t>
      </w:r>
    </w:p>
    <w:p w14:paraId="7A2D7C52" w14:textId="77777777" w:rsidR="006E18EA" w:rsidRPr="00B10073" w:rsidRDefault="006E18EA" w:rsidP="00172513">
      <w:pPr>
        <w:spacing w:line="360" w:lineRule="auto"/>
        <w:jc w:val="both"/>
        <w:rPr>
          <w:rFonts w:asciiTheme="majorBidi" w:hAnsiTheme="majorBidi" w:cstheme="majorBidi"/>
          <w:bCs/>
          <w:lang w:val="en-GB"/>
        </w:rPr>
      </w:pPr>
    </w:p>
    <w:p w14:paraId="0D6B7E4F" w14:textId="20B385AB" w:rsidR="00A46B6B" w:rsidRDefault="006E18EA" w:rsidP="00685E65">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Of course, buy-in even following ‘best practice’ </w:t>
      </w:r>
      <w:r>
        <w:rPr>
          <w:rFonts w:asciiTheme="majorBidi" w:hAnsiTheme="majorBidi" w:cstheme="majorBidi"/>
          <w:bCs/>
          <w:lang w:val="en-GB"/>
        </w:rPr>
        <w:t>participation</w:t>
      </w:r>
      <w:r w:rsidRPr="00B10073">
        <w:rPr>
          <w:rFonts w:asciiTheme="majorBidi" w:hAnsiTheme="majorBidi" w:cstheme="majorBidi"/>
          <w:bCs/>
          <w:lang w:val="en-GB"/>
        </w:rPr>
        <w:t xml:space="preserve"> is not necessarily universal and ongoing, especially in a dynamic, open-ended process. Experience with the myriad other forms of </w:t>
      </w:r>
      <w:r>
        <w:rPr>
          <w:rFonts w:asciiTheme="majorBidi" w:hAnsiTheme="majorBidi" w:cstheme="majorBidi"/>
          <w:bCs/>
          <w:lang w:val="en-GB"/>
        </w:rPr>
        <w:t xml:space="preserve">participation </w:t>
      </w:r>
      <w:r w:rsidRPr="00B10073">
        <w:rPr>
          <w:rFonts w:asciiTheme="majorBidi" w:hAnsiTheme="majorBidi" w:cstheme="majorBidi"/>
          <w:bCs/>
          <w:lang w:val="en-GB"/>
        </w:rPr>
        <w:t xml:space="preserve">across the complexities of the NHS (now and in previous iterations of reform) left many sceptical </w:t>
      </w:r>
      <w:r w:rsidR="00685E65">
        <w:rPr>
          <w:rFonts w:asciiTheme="majorBidi" w:hAnsiTheme="majorBidi" w:cstheme="majorBidi"/>
          <w:bCs/>
          <w:lang w:val="en-GB"/>
        </w:rPr>
        <w:t>about</w:t>
      </w:r>
      <w:r w:rsidRPr="00B10073">
        <w:rPr>
          <w:rFonts w:asciiTheme="majorBidi" w:hAnsiTheme="majorBidi" w:cstheme="majorBidi"/>
          <w:bCs/>
          <w:lang w:val="en-GB"/>
        </w:rPr>
        <w:t xml:space="preserve"> the concept.</w:t>
      </w:r>
      <w:r>
        <w:rPr>
          <w:rStyle w:val="EndnoteReference"/>
          <w:rFonts w:asciiTheme="majorBidi" w:hAnsiTheme="majorBidi" w:cstheme="majorBidi"/>
          <w:bCs/>
          <w:lang w:val="en-GB"/>
        </w:rPr>
        <w:endnoteReference w:id="20"/>
      </w:r>
      <w:r w:rsidRPr="00B10073">
        <w:rPr>
          <w:rFonts w:asciiTheme="majorBidi" w:hAnsiTheme="majorBidi" w:cstheme="majorBidi"/>
          <w:bCs/>
          <w:lang w:val="en-GB"/>
        </w:rPr>
        <w:t xml:space="preserve"> The design phase has also been marked by a reticence to expose the initiative to the scrutiny of powerful vested interests in British health governance. Notably, for instance, medical professionals and the pharmaceutical industry have played peripheral roles in NHS Citizen thus far. </w:t>
      </w:r>
      <w:r w:rsidR="00A46B6B">
        <w:rPr>
          <w:rFonts w:asciiTheme="majorBidi" w:hAnsiTheme="majorBidi" w:cstheme="majorBidi"/>
          <w:bCs/>
          <w:lang w:val="en-GB"/>
        </w:rPr>
        <w:t xml:space="preserve">Given the </w:t>
      </w:r>
      <w:r w:rsidR="009536E4">
        <w:rPr>
          <w:rFonts w:asciiTheme="majorBidi" w:hAnsiTheme="majorBidi" w:cstheme="majorBidi"/>
          <w:bCs/>
          <w:lang w:val="en-GB"/>
        </w:rPr>
        <w:t xml:space="preserve">established </w:t>
      </w:r>
      <w:r w:rsidR="00A46B6B">
        <w:rPr>
          <w:rFonts w:asciiTheme="majorBidi" w:hAnsiTheme="majorBidi" w:cstheme="majorBidi"/>
          <w:bCs/>
          <w:lang w:val="en-GB"/>
        </w:rPr>
        <w:t xml:space="preserve">influence such actors have in the health sector, this raises significant doubts for critics about </w:t>
      </w:r>
      <w:r w:rsidR="00C1001D">
        <w:rPr>
          <w:rFonts w:asciiTheme="majorBidi" w:hAnsiTheme="majorBidi" w:cstheme="majorBidi"/>
          <w:bCs/>
          <w:lang w:val="en-GB"/>
        </w:rPr>
        <w:t>the genuine influence of NHS Citizen on policy formulation</w:t>
      </w:r>
      <w:r w:rsidR="00A46B6B">
        <w:rPr>
          <w:rFonts w:asciiTheme="majorBidi" w:hAnsiTheme="majorBidi" w:cstheme="majorBidi"/>
          <w:bCs/>
          <w:lang w:val="en-GB"/>
        </w:rPr>
        <w:t>.</w:t>
      </w:r>
    </w:p>
    <w:p w14:paraId="2F64028E" w14:textId="77777777" w:rsidR="002016BE" w:rsidRDefault="002016BE" w:rsidP="00172513">
      <w:pPr>
        <w:spacing w:line="360" w:lineRule="auto"/>
        <w:jc w:val="both"/>
        <w:rPr>
          <w:rFonts w:asciiTheme="majorBidi" w:hAnsiTheme="majorBidi" w:cstheme="majorBidi"/>
          <w:bCs/>
          <w:lang w:val="en-GB"/>
        </w:rPr>
      </w:pPr>
    </w:p>
    <w:p w14:paraId="63D77F1F" w14:textId="5C046F83" w:rsidR="006E18EA" w:rsidRPr="00B10073" w:rsidRDefault="00C1001D" w:rsidP="00685E65">
      <w:pPr>
        <w:spacing w:line="360" w:lineRule="auto"/>
        <w:jc w:val="both"/>
        <w:rPr>
          <w:rFonts w:asciiTheme="majorBidi" w:hAnsiTheme="majorBidi" w:cstheme="majorBidi"/>
          <w:bCs/>
          <w:lang w:val="en-GB"/>
        </w:rPr>
      </w:pPr>
      <w:r>
        <w:rPr>
          <w:rFonts w:asciiTheme="majorBidi" w:hAnsiTheme="majorBidi" w:cstheme="majorBidi"/>
          <w:bCs/>
          <w:lang w:val="en-GB"/>
        </w:rPr>
        <w:t>This hints at more fundamental</w:t>
      </w:r>
      <w:r w:rsidR="006E18EA" w:rsidRPr="00B10073">
        <w:rPr>
          <w:rFonts w:asciiTheme="majorBidi" w:hAnsiTheme="majorBidi" w:cstheme="majorBidi"/>
          <w:bCs/>
          <w:lang w:val="en-GB"/>
        </w:rPr>
        <w:t xml:space="preserve"> concerns about a lack of </w:t>
      </w:r>
      <w:r w:rsidR="006E18EA" w:rsidRPr="00A46B6B">
        <w:rPr>
          <w:rFonts w:asciiTheme="majorBidi" w:hAnsiTheme="majorBidi" w:cstheme="majorBidi"/>
          <w:bCs/>
          <w:lang w:val="en-GB"/>
        </w:rPr>
        <w:t>authenticity</w:t>
      </w:r>
      <w:r w:rsidR="006E18EA" w:rsidRPr="00B10073">
        <w:rPr>
          <w:rFonts w:asciiTheme="majorBidi" w:hAnsiTheme="majorBidi" w:cstheme="majorBidi"/>
          <w:bCs/>
          <w:lang w:val="en-GB"/>
        </w:rPr>
        <w:t xml:space="preserve"> on the part of powerful managers on the Board of NHS England. </w:t>
      </w:r>
      <w:r w:rsidR="00A46B6B" w:rsidRPr="00B10073">
        <w:rPr>
          <w:rFonts w:asciiTheme="majorBidi" w:hAnsiTheme="majorBidi" w:cstheme="majorBidi"/>
          <w:bCs/>
          <w:lang w:val="en-GB"/>
        </w:rPr>
        <w:t>Indeed, there is</w:t>
      </w:r>
      <w:r w:rsidR="00A46B6B">
        <w:rPr>
          <w:rFonts w:asciiTheme="majorBidi" w:hAnsiTheme="majorBidi" w:cstheme="majorBidi"/>
          <w:bCs/>
          <w:lang w:val="en-GB"/>
        </w:rPr>
        <w:t xml:space="preserve"> </w:t>
      </w:r>
      <w:r w:rsidR="00A46B6B" w:rsidRPr="00B10073">
        <w:rPr>
          <w:rFonts w:asciiTheme="majorBidi" w:hAnsiTheme="majorBidi" w:cstheme="majorBidi"/>
          <w:bCs/>
          <w:lang w:val="en-GB"/>
        </w:rPr>
        <w:t>a fear that NHS Citizen may simply be a tokenistic process designed</w:t>
      </w:r>
      <w:r w:rsidR="00EB6F7F">
        <w:rPr>
          <w:rFonts w:asciiTheme="majorBidi" w:hAnsiTheme="majorBidi" w:cstheme="majorBidi"/>
          <w:bCs/>
          <w:lang w:val="en-GB"/>
        </w:rPr>
        <w:t xml:space="preserve"> </w:t>
      </w:r>
      <w:r w:rsidR="00A46B6B" w:rsidRPr="00B10073">
        <w:rPr>
          <w:rFonts w:asciiTheme="majorBidi" w:hAnsiTheme="majorBidi" w:cstheme="majorBidi"/>
          <w:bCs/>
          <w:lang w:val="en-GB"/>
        </w:rPr>
        <w:t xml:space="preserve">to depoliticise controversial decisions </w:t>
      </w:r>
      <w:r w:rsidR="00A46B6B">
        <w:rPr>
          <w:rFonts w:asciiTheme="majorBidi" w:hAnsiTheme="majorBidi" w:cstheme="majorBidi"/>
          <w:bCs/>
          <w:lang w:val="en-GB"/>
        </w:rPr>
        <w:t xml:space="preserve">by </w:t>
      </w:r>
      <w:r w:rsidR="00A46B6B" w:rsidRPr="00B10073">
        <w:rPr>
          <w:rFonts w:asciiTheme="majorBidi" w:hAnsiTheme="majorBidi" w:cstheme="majorBidi"/>
          <w:bCs/>
          <w:lang w:val="en-GB"/>
        </w:rPr>
        <w:t xml:space="preserve">providing </w:t>
      </w:r>
      <w:r w:rsidR="00A46B6B">
        <w:rPr>
          <w:rFonts w:asciiTheme="majorBidi" w:hAnsiTheme="majorBidi" w:cstheme="majorBidi"/>
          <w:bCs/>
          <w:lang w:val="en-GB"/>
        </w:rPr>
        <w:t xml:space="preserve">a </w:t>
      </w:r>
      <w:r w:rsidR="00A46B6B" w:rsidRPr="00B10073">
        <w:rPr>
          <w:rFonts w:asciiTheme="majorBidi" w:hAnsiTheme="majorBidi" w:cstheme="majorBidi"/>
          <w:bCs/>
          <w:lang w:val="en-GB"/>
        </w:rPr>
        <w:t xml:space="preserve">veneer of </w:t>
      </w:r>
      <w:r w:rsidR="00A46B6B">
        <w:rPr>
          <w:rFonts w:asciiTheme="majorBidi" w:hAnsiTheme="majorBidi" w:cstheme="majorBidi"/>
          <w:bCs/>
          <w:lang w:val="en-GB"/>
        </w:rPr>
        <w:t>participation</w:t>
      </w:r>
      <w:r w:rsidR="00A46B6B" w:rsidRPr="00B10073">
        <w:rPr>
          <w:rFonts w:asciiTheme="majorBidi" w:hAnsiTheme="majorBidi" w:cstheme="majorBidi"/>
          <w:bCs/>
          <w:lang w:val="en-GB"/>
        </w:rPr>
        <w:t>.</w:t>
      </w:r>
      <w:r w:rsidR="00A46B6B">
        <w:rPr>
          <w:rStyle w:val="EndnoteReference"/>
          <w:rFonts w:asciiTheme="majorBidi" w:hAnsiTheme="majorBidi" w:cstheme="majorBidi"/>
          <w:bCs/>
          <w:lang w:val="en-GB"/>
        </w:rPr>
        <w:endnoteReference w:id="21"/>
      </w:r>
      <w:r w:rsidR="00A46B6B" w:rsidRPr="00B10073">
        <w:rPr>
          <w:rFonts w:asciiTheme="majorBidi" w:hAnsiTheme="majorBidi" w:cstheme="majorBidi"/>
          <w:bCs/>
          <w:lang w:val="en-GB"/>
        </w:rPr>
        <w:t xml:space="preserve"> </w:t>
      </w:r>
      <w:r w:rsidR="003024D6">
        <w:rPr>
          <w:rFonts w:asciiTheme="majorBidi" w:hAnsiTheme="majorBidi" w:cstheme="majorBidi"/>
          <w:bCs/>
          <w:lang w:val="en-GB"/>
        </w:rPr>
        <w:t xml:space="preserve">Although still early in its evolution, there is an abiding scepticism—informed by those earlier experiences of participation in the NHS—about the </w:t>
      </w:r>
      <w:r w:rsidR="006E29E1" w:rsidRPr="00052538">
        <w:rPr>
          <w:rFonts w:asciiTheme="majorBidi" w:hAnsiTheme="majorBidi" w:cstheme="majorBidi"/>
          <w:bCs/>
          <w:i/>
          <w:iCs/>
          <w:lang w:val="en-GB"/>
        </w:rPr>
        <w:t xml:space="preserve">effect </w:t>
      </w:r>
      <w:r w:rsidR="00685E65">
        <w:rPr>
          <w:rFonts w:asciiTheme="majorBidi" w:hAnsiTheme="majorBidi" w:cstheme="majorBidi"/>
          <w:bCs/>
          <w:i/>
          <w:iCs/>
          <w:lang w:val="en-GB"/>
        </w:rPr>
        <w:t xml:space="preserve">on </w:t>
      </w:r>
      <w:r w:rsidR="003024D6" w:rsidRPr="00C61308">
        <w:rPr>
          <w:rFonts w:asciiTheme="majorBidi" w:hAnsiTheme="majorBidi" w:cstheme="majorBidi"/>
          <w:bCs/>
          <w:i/>
          <w:iCs/>
          <w:lang w:val="en-GB"/>
        </w:rPr>
        <w:t>policy outcomes</w:t>
      </w:r>
      <w:r w:rsidR="003024D6">
        <w:rPr>
          <w:rFonts w:asciiTheme="majorBidi" w:hAnsiTheme="majorBidi" w:cstheme="majorBidi"/>
          <w:bCs/>
          <w:lang w:val="en-GB"/>
        </w:rPr>
        <w:t xml:space="preserve">, outside a few minor or highly specialized areas. </w:t>
      </w:r>
      <w:r w:rsidR="006E18EA" w:rsidRPr="00B10073">
        <w:rPr>
          <w:rFonts w:asciiTheme="majorBidi" w:hAnsiTheme="majorBidi" w:cstheme="majorBidi"/>
          <w:bCs/>
          <w:lang w:val="en-GB"/>
        </w:rPr>
        <w:t xml:space="preserve">This is the type of ‘window-dressing’ described in the Forum case </w:t>
      </w:r>
      <w:r w:rsidR="006E18EA" w:rsidRPr="00B10073">
        <w:rPr>
          <w:rFonts w:asciiTheme="majorBidi" w:hAnsiTheme="majorBidi" w:cstheme="majorBidi"/>
          <w:bCs/>
          <w:lang w:val="en-GB"/>
        </w:rPr>
        <w:lastRenderedPageBreak/>
        <w:t>above.</w:t>
      </w:r>
      <w:r w:rsidR="00EB6F7F">
        <w:rPr>
          <w:rFonts w:asciiTheme="majorBidi" w:hAnsiTheme="majorBidi" w:cstheme="majorBidi"/>
          <w:bCs/>
          <w:lang w:val="en-GB"/>
        </w:rPr>
        <w:t xml:space="preserve"> </w:t>
      </w:r>
      <w:r w:rsidR="006E18EA" w:rsidRPr="00B10073">
        <w:rPr>
          <w:rFonts w:asciiTheme="majorBidi" w:hAnsiTheme="majorBidi" w:cstheme="majorBidi"/>
          <w:bCs/>
          <w:lang w:val="en-GB"/>
        </w:rPr>
        <w:t>The keenest manifestation of this is lingering concern about the vulnerable nature of the enterprise. Funding for the organisations which run NHS Citizen is provided only on temporary, short-term contracts</w:t>
      </w:r>
      <w:r w:rsidR="006E18EA">
        <w:rPr>
          <w:rFonts w:asciiTheme="majorBidi" w:hAnsiTheme="majorBidi" w:cstheme="majorBidi"/>
          <w:bCs/>
          <w:lang w:val="en-GB"/>
        </w:rPr>
        <w:t xml:space="preserve"> which are</w:t>
      </w:r>
      <w:r w:rsidR="006E18EA" w:rsidRPr="00B10073">
        <w:rPr>
          <w:rFonts w:asciiTheme="majorBidi" w:hAnsiTheme="majorBidi" w:cstheme="majorBidi"/>
          <w:bCs/>
          <w:lang w:val="en-GB"/>
        </w:rPr>
        <w:t xml:space="preserve"> subject to </w:t>
      </w:r>
      <w:r w:rsidR="006E18EA">
        <w:rPr>
          <w:rFonts w:asciiTheme="majorBidi" w:hAnsiTheme="majorBidi" w:cstheme="majorBidi"/>
          <w:bCs/>
          <w:lang w:val="en-GB"/>
        </w:rPr>
        <w:t xml:space="preserve">regular </w:t>
      </w:r>
      <w:r w:rsidR="006E18EA" w:rsidRPr="00B10073">
        <w:rPr>
          <w:rFonts w:asciiTheme="majorBidi" w:hAnsiTheme="majorBidi" w:cstheme="majorBidi"/>
          <w:bCs/>
          <w:lang w:val="en-GB"/>
        </w:rPr>
        <w:t xml:space="preserve">review. </w:t>
      </w:r>
      <w:r w:rsidR="006E18EA">
        <w:rPr>
          <w:rFonts w:asciiTheme="majorBidi" w:hAnsiTheme="majorBidi" w:cstheme="majorBidi"/>
          <w:bCs/>
          <w:lang w:val="en-GB"/>
        </w:rPr>
        <w:t>A</w:t>
      </w:r>
      <w:r w:rsidR="006E18EA" w:rsidRPr="00B10073">
        <w:rPr>
          <w:rFonts w:asciiTheme="majorBidi" w:hAnsiTheme="majorBidi" w:cstheme="majorBidi"/>
          <w:bCs/>
          <w:lang w:val="en-GB"/>
        </w:rPr>
        <w:t xml:space="preserve">ny progress can be entirely wiped out by the Board of NHS England, who </w:t>
      </w:r>
      <w:r w:rsidR="00B822BE" w:rsidRPr="00B10073">
        <w:rPr>
          <w:rFonts w:asciiTheme="majorBidi" w:hAnsiTheme="majorBidi" w:cstheme="majorBidi"/>
          <w:bCs/>
          <w:lang w:val="en-GB"/>
        </w:rPr>
        <w:t>retains</w:t>
      </w:r>
      <w:r w:rsidR="006E18EA" w:rsidRPr="00B10073">
        <w:rPr>
          <w:rFonts w:asciiTheme="majorBidi" w:hAnsiTheme="majorBidi" w:cstheme="majorBidi"/>
          <w:bCs/>
          <w:lang w:val="en-GB"/>
        </w:rPr>
        <w:t xml:space="preserve"> the formal authority to dismantle the machinery of NHS Citizen.</w:t>
      </w:r>
      <w:r w:rsidR="006E18EA" w:rsidRPr="00B10073">
        <w:rPr>
          <w:rStyle w:val="EndnoteReference"/>
          <w:rFonts w:asciiTheme="majorBidi" w:hAnsiTheme="majorBidi" w:cstheme="majorBidi"/>
          <w:bCs/>
          <w:lang w:val="en-GB"/>
        </w:rPr>
        <w:endnoteReference w:id="22"/>
      </w:r>
      <w:r w:rsidR="006E18EA" w:rsidRPr="00B10073">
        <w:rPr>
          <w:rFonts w:asciiTheme="majorBidi" w:hAnsiTheme="majorBidi" w:cstheme="majorBidi"/>
          <w:bCs/>
          <w:lang w:val="en-GB"/>
        </w:rPr>
        <w:t xml:space="preserve"> The hope</w:t>
      </w:r>
      <w:r w:rsidR="00E402E6" w:rsidRPr="00E402E6">
        <w:rPr>
          <w:rFonts w:asciiTheme="majorBidi" w:hAnsiTheme="majorBidi" w:cstheme="majorBidi"/>
          <w:bCs/>
          <w:lang w:val="en-GB"/>
        </w:rPr>
        <w:t xml:space="preserve"> </w:t>
      </w:r>
      <w:r w:rsidR="00E402E6" w:rsidRPr="00B10073">
        <w:rPr>
          <w:rFonts w:asciiTheme="majorBidi" w:hAnsiTheme="majorBidi" w:cstheme="majorBidi"/>
          <w:bCs/>
          <w:lang w:val="en-GB"/>
        </w:rPr>
        <w:t xml:space="preserve">among the </w:t>
      </w:r>
      <w:r w:rsidR="00E402E6">
        <w:rPr>
          <w:rFonts w:asciiTheme="majorBidi" w:hAnsiTheme="majorBidi" w:cstheme="majorBidi"/>
          <w:bCs/>
          <w:lang w:val="en-GB"/>
        </w:rPr>
        <w:t>organisers and supporters of</w:t>
      </w:r>
      <w:r w:rsidR="00E402E6" w:rsidRPr="00B10073">
        <w:rPr>
          <w:rFonts w:asciiTheme="majorBidi" w:hAnsiTheme="majorBidi" w:cstheme="majorBidi"/>
          <w:bCs/>
          <w:lang w:val="en-GB"/>
        </w:rPr>
        <w:t xml:space="preserve"> NHS Citizen</w:t>
      </w:r>
      <w:r w:rsidR="00E402E6">
        <w:rPr>
          <w:rFonts w:asciiTheme="majorBidi" w:hAnsiTheme="majorBidi" w:cstheme="majorBidi"/>
          <w:bCs/>
          <w:lang w:val="en-GB"/>
        </w:rPr>
        <w:t xml:space="preserve">, expressed by a range of actors amid a frank </w:t>
      </w:r>
      <w:r w:rsidR="00685E65">
        <w:rPr>
          <w:rFonts w:asciiTheme="majorBidi" w:hAnsiTheme="majorBidi" w:cstheme="majorBidi"/>
          <w:bCs/>
          <w:lang w:val="en-GB"/>
        </w:rPr>
        <w:t xml:space="preserve">design </w:t>
      </w:r>
      <w:r w:rsidR="00E402E6">
        <w:rPr>
          <w:rFonts w:asciiTheme="majorBidi" w:hAnsiTheme="majorBidi" w:cstheme="majorBidi"/>
          <w:bCs/>
          <w:lang w:val="en-GB"/>
        </w:rPr>
        <w:t>workshop discussion</w:t>
      </w:r>
      <w:r w:rsidR="00685E65">
        <w:rPr>
          <w:rFonts w:asciiTheme="majorBidi" w:hAnsiTheme="majorBidi" w:cstheme="majorBidi"/>
          <w:bCs/>
          <w:lang w:val="en-GB"/>
        </w:rPr>
        <w:t>,</w:t>
      </w:r>
      <w:r w:rsidR="00E402E6">
        <w:rPr>
          <w:rFonts w:asciiTheme="majorBidi" w:hAnsiTheme="majorBidi" w:cstheme="majorBidi"/>
          <w:bCs/>
          <w:lang w:val="en-GB"/>
        </w:rPr>
        <w:t xml:space="preserve"> </w:t>
      </w:r>
      <w:r w:rsidR="006E18EA">
        <w:rPr>
          <w:rFonts w:asciiTheme="majorBidi" w:hAnsiTheme="majorBidi" w:cstheme="majorBidi"/>
          <w:bCs/>
          <w:lang w:val="en-GB"/>
        </w:rPr>
        <w:t xml:space="preserve">is that it </w:t>
      </w:r>
      <w:r w:rsidR="006E18EA" w:rsidRPr="00B10073">
        <w:rPr>
          <w:rFonts w:asciiTheme="majorBidi" w:hAnsiTheme="majorBidi" w:cstheme="majorBidi"/>
          <w:bCs/>
          <w:lang w:val="en-GB"/>
        </w:rPr>
        <w:t xml:space="preserve">achieves a </w:t>
      </w:r>
      <w:r w:rsidR="006E18EA" w:rsidRPr="00B10073">
        <w:rPr>
          <w:rFonts w:asciiTheme="majorBidi" w:hAnsiTheme="majorBidi" w:cstheme="majorBidi"/>
          <w:bCs/>
          <w:i/>
          <w:iCs/>
          <w:lang w:val="en-GB"/>
        </w:rPr>
        <w:t>de facto</w:t>
      </w:r>
      <w:r w:rsidR="006E18EA" w:rsidRPr="00B10073">
        <w:rPr>
          <w:rFonts w:asciiTheme="majorBidi" w:hAnsiTheme="majorBidi" w:cstheme="majorBidi"/>
          <w:bCs/>
          <w:lang w:val="en-GB"/>
        </w:rPr>
        <w:t xml:space="preserve"> robustness in spite of its </w:t>
      </w:r>
      <w:r w:rsidR="006E18EA" w:rsidRPr="00B10073">
        <w:rPr>
          <w:rFonts w:asciiTheme="majorBidi" w:hAnsiTheme="majorBidi" w:cstheme="majorBidi"/>
          <w:bCs/>
          <w:i/>
          <w:iCs/>
          <w:lang w:val="en-GB"/>
        </w:rPr>
        <w:t>de jure</w:t>
      </w:r>
      <w:r w:rsidR="006E18EA" w:rsidRPr="00B10073">
        <w:rPr>
          <w:rFonts w:asciiTheme="majorBidi" w:hAnsiTheme="majorBidi" w:cstheme="majorBidi"/>
          <w:bCs/>
          <w:lang w:val="en-GB"/>
        </w:rPr>
        <w:t xml:space="preserve"> vulnerability. They hope that </w:t>
      </w:r>
      <w:r w:rsidR="001145F1">
        <w:rPr>
          <w:rFonts w:asciiTheme="majorBidi" w:hAnsiTheme="majorBidi" w:cstheme="majorBidi"/>
          <w:bCs/>
          <w:lang w:val="en-GB"/>
        </w:rPr>
        <w:t>it</w:t>
      </w:r>
      <w:r w:rsidR="006E18EA" w:rsidRPr="00B10073">
        <w:rPr>
          <w:rFonts w:asciiTheme="majorBidi" w:hAnsiTheme="majorBidi" w:cstheme="majorBidi"/>
          <w:bCs/>
          <w:lang w:val="en-GB"/>
        </w:rPr>
        <w:t xml:space="preserve"> has already become too engrained for the Board of NHS England or any other powerful actor to dispose of. </w:t>
      </w:r>
    </w:p>
    <w:p w14:paraId="5760D36F" w14:textId="77777777" w:rsidR="006E18EA" w:rsidRDefault="006E18EA" w:rsidP="00172513">
      <w:pPr>
        <w:spacing w:line="360" w:lineRule="auto"/>
        <w:jc w:val="both"/>
        <w:rPr>
          <w:rFonts w:asciiTheme="majorBidi" w:hAnsiTheme="majorBidi" w:cstheme="majorBidi"/>
          <w:b/>
          <w:lang w:val="en-GB"/>
        </w:rPr>
      </w:pPr>
    </w:p>
    <w:p w14:paraId="7418AEE8" w14:textId="77777777" w:rsidR="006E18EA" w:rsidRPr="00B10073" w:rsidRDefault="006E18EA" w:rsidP="00172513">
      <w:pPr>
        <w:spacing w:line="360" w:lineRule="auto"/>
        <w:jc w:val="both"/>
        <w:rPr>
          <w:rFonts w:asciiTheme="majorBidi" w:hAnsiTheme="majorBidi" w:cstheme="majorBidi"/>
          <w:b/>
          <w:lang w:val="en-GB"/>
        </w:rPr>
      </w:pPr>
    </w:p>
    <w:p w14:paraId="389C330C" w14:textId="75A9981C" w:rsidR="006E18EA" w:rsidRPr="00B10073" w:rsidRDefault="006E18EA" w:rsidP="00172513">
      <w:pPr>
        <w:spacing w:line="360" w:lineRule="auto"/>
        <w:jc w:val="both"/>
        <w:rPr>
          <w:rFonts w:asciiTheme="majorBidi" w:hAnsiTheme="majorBidi" w:cstheme="majorBidi"/>
          <w:b/>
          <w:lang w:val="en-GB"/>
        </w:rPr>
      </w:pPr>
      <w:r w:rsidRPr="00B10073">
        <w:rPr>
          <w:rFonts w:asciiTheme="majorBidi" w:hAnsiTheme="majorBidi" w:cstheme="majorBidi"/>
          <w:b/>
          <w:lang w:val="en-GB"/>
        </w:rPr>
        <w:t>4. Discussion</w:t>
      </w:r>
    </w:p>
    <w:p w14:paraId="191D6F1D" w14:textId="77777777" w:rsidR="006E18EA" w:rsidRPr="00B10073" w:rsidRDefault="006E18EA" w:rsidP="00172513">
      <w:pPr>
        <w:spacing w:line="360" w:lineRule="auto"/>
        <w:jc w:val="both"/>
        <w:rPr>
          <w:rFonts w:asciiTheme="majorBidi" w:hAnsiTheme="majorBidi" w:cstheme="majorBidi"/>
          <w:b/>
          <w:lang w:val="en-GB"/>
        </w:rPr>
      </w:pPr>
    </w:p>
    <w:p w14:paraId="27853EB2" w14:textId="5C080101" w:rsidR="006E18EA" w:rsidRPr="00B10073" w:rsidRDefault="006E18EA" w:rsidP="00B822BE">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The two empirical cases examined above </w:t>
      </w:r>
      <w:r w:rsidR="000C6BD1">
        <w:rPr>
          <w:rFonts w:asciiTheme="majorBidi" w:hAnsiTheme="majorBidi" w:cstheme="majorBidi"/>
          <w:bCs/>
          <w:lang w:val="en-GB"/>
        </w:rPr>
        <w:t xml:space="preserve">demonstrate that the participatory mechanisms </w:t>
      </w:r>
      <w:r w:rsidR="00A46B6B">
        <w:rPr>
          <w:rFonts w:asciiTheme="majorBidi" w:hAnsiTheme="majorBidi" w:cstheme="majorBidi"/>
          <w:bCs/>
          <w:lang w:val="en-GB"/>
        </w:rPr>
        <w:t>alone</w:t>
      </w:r>
      <w:r w:rsidR="000C6BD1">
        <w:rPr>
          <w:rFonts w:asciiTheme="majorBidi" w:hAnsiTheme="majorBidi" w:cstheme="majorBidi"/>
          <w:bCs/>
          <w:lang w:val="en-GB"/>
        </w:rPr>
        <w:t xml:space="preserve"> failed to elicit throughput legitimacy, measured according to our criteria. </w:t>
      </w:r>
      <w:r w:rsidR="00AC724E">
        <w:rPr>
          <w:rFonts w:asciiTheme="majorBidi" w:hAnsiTheme="majorBidi" w:cstheme="majorBidi"/>
          <w:bCs/>
          <w:lang w:val="en-GB"/>
        </w:rPr>
        <w:t>By drawing on our findings regarding the quality of stakeholder participation in decision process</w:t>
      </w:r>
      <w:r w:rsidR="00AF5820">
        <w:rPr>
          <w:rFonts w:asciiTheme="majorBidi" w:hAnsiTheme="majorBidi" w:cstheme="majorBidi"/>
          <w:bCs/>
          <w:lang w:val="en-GB"/>
        </w:rPr>
        <w:t>es</w:t>
      </w:r>
      <w:r w:rsidR="00AC724E">
        <w:rPr>
          <w:rFonts w:asciiTheme="majorBidi" w:hAnsiTheme="majorBidi" w:cstheme="majorBidi"/>
          <w:bCs/>
          <w:lang w:val="en-GB"/>
        </w:rPr>
        <w:t xml:space="preserve"> initiated by bureaucracies, </w:t>
      </w:r>
      <w:r w:rsidRPr="00B10073">
        <w:rPr>
          <w:rFonts w:asciiTheme="majorBidi" w:hAnsiTheme="majorBidi" w:cstheme="majorBidi"/>
          <w:bCs/>
          <w:lang w:val="en-GB"/>
        </w:rPr>
        <w:t>we have identified below the paradoxical stances</w:t>
      </w:r>
      <w:r w:rsidR="00B822BE">
        <w:rPr>
          <w:rFonts w:asciiTheme="majorBidi" w:hAnsiTheme="majorBidi" w:cstheme="majorBidi"/>
          <w:bCs/>
          <w:lang w:val="en-GB"/>
        </w:rPr>
        <w:t xml:space="preserve"> – dilemmas</w:t>
      </w:r>
      <w:r w:rsidR="00B822BE" w:rsidRPr="00B822BE">
        <w:rPr>
          <w:rFonts w:asciiTheme="majorBidi" w:hAnsiTheme="majorBidi" w:cstheme="majorBidi"/>
          <w:bCs/>
          <w:lang w:val="en-GB"/>
        </w:rPr>
        <w:t>–</w:t>
      </w:r>
      <w:r w:rsidR="00B822BE">
        <w:rPr>
          <w:rFonts w:asciiTheme="majorBidi" w:hAnsiTheme="majorBidi" w:cstheme="majorBidi"/>
          <w:bCs/>
          <w:lang w:val="en-GB"/>
        </w:rPr>
        <w:t xml:space="preserve"> </w:t>
      </w:r>
      <w:r w:rsidRPr="00B10073">
        <w:rPr>
          <w:rFonts w:asciiTheme="majorBidi" w:hAnsiTheme="majorBidi" w:cstheme="majorBidi"/>
          <w:bCs/>
          <w:lang w:val="en-GB"/>
        </w:rPr>
        <w:t>faced by public bureaucracies when they decide t</w:t>
      </w:r>
      <w:r>
        <w:rPr>
          <w:rFonts w:asciiTheme="majorBidi" w:hAnsiTheme="majorBidi" w:cstheme="majorBidi"/>
          <w:bCs/>
          <w:lang w:val="en-GB"/>
        </w:rPr>
        <w:t>o</w:t>
      </w:r>
      <w:r w:rsidRPr="00B10073">
        <w:rPr>
          <w:rFonts w:asciiTheme="majorBidi" w:hAnsiTheme="majorBidi" w:cstheme="majorBidi"/>
          <w:bCs/>
          <w:lang w:val="en-GB"/>
        </w:rPr>
        <w:t xml:space="preserve"> promot</w:t>
      </w:r>
      <w:r>
        <w:rPr>
          <w:rFonts w:asciiTheme="majorBidi" w:hAnsiTheme="majorBidi" w:cstheme="majorBidi"/>
          <w:bCs/>
          <w:lang w:val="en-GB"/>
        </w:rPr>
        <w:t>e</w:t>
      </w:r>
      <w:r w:rsidRPr="00B10073">
        <w:rPr>
          <w:rFonts w:asciiTheme="majorBidi" w:hAnsiTheme="majorBidi" w:cstheme="majorBidi"/>
          <w:bCs/>
          <w:lang w:val="en-GB"/>
        </w:rPr>
        <w:t xml:space="preserve"> participation in policy processes.</w:t>
      </w:r>
    </w:p>
    <w:p w14:paraId="1F7D101A" w14:textId="77777777" w:rsidR="006E18EA" w:rsidRPr="00B10073" w:rsidRDefault="006E18EA" w:rsidP="00172513">
      <w:pPr>
        <w:spacing w:line="360" w:lineRule="auto"/>
        <w:jc w:val="both"/>
        <w:rPr>
          <w:rFonts w:asciiTheme="majorBidi" w:hAnsiTheme="majorBidi" w:cstheme="majorBidi"/>
          <w:bCs/>
          <w:lang w:val="en-GB"/>
        </w:rPr>
      </w:pPr>
    </w:p>
    <w:p w14:paraId="3F0F857E" w14:textId="4DD1D42F" w:rsidR="006E18EA" w:rsidRPr="00B10073" w:rsidRDefault="006E18EA" w:rsidP="00172513">
      <w:pPr>
        <w:spacing w:line="360" w:lineRule="auto"/>
        <w:jc w:val="both"/>
        <w:rPr>
          <w:rFonts w:asciiTheme="majorBidi" w:hAnsiTheme="majorBidi" w:cstheme="majorBidi"/>
          <w:bCs/>
          <w:i/>
          <w:iCs/>
          <w:lang w:val="en-GB"/>
        </w:rPr>
      </w:pPr>
      <w:r>
        <w:rPr>
          <w:rFonts w:asciiTheme="majorBidi" w:hAnsiTheme="majorBidi" w:cstheme="majorBidi"/>
          <w:bCs/>
          <w:i/>
          <w:iCs/>
          <w:lang w:val="en-GB"/>
        </w:rPr>
        <w:t xml:space="preserve">The organizational dilemma: how to approach divergent imperatives of </w:t>
      </w:r>
      <w:r w:rsidR="006E2A1E">
        <w:rPr>
          <w:rFonts w:asciiTheme="majorBidi" w:hAnsiTheme="majorBidi" w:cstheme="majorBidi"/>
          <w:bCs/>
          <w:i/>
          <w:iCs/>
          <w:lang w:val="en-GB"/>
        </w:rPr>
        <w:t xml:space="preserve">participation </w:t>
      </w:r>
      <w:r>
        <w:rPr>
          <w:rFonts w:asciiTheme="majorBidi" w:hAnsiTheme="majorBidi" w:cstheme="majorBidi"/>
          <w:bCs/>
          <w:i/>
          <w:iCs/>
          <w:lang w:val="en-GB"/>
        </w:rPr>
        <w:t>and efficiency?</w:t>
      </w:r>
    </w:p>
    <w:p w14:paraId="343F8E2A" w14:textId="77777777" w:rsidR="006E18EA" w:rsidRPr="00B10073" w:rsidRDefault="006E18EA" w:rsidP="00172513">
      <w:pPr>
        <w:spacing w:line="360" w:lineRule="auto"/>
        <w:jc w:val="both"/>
        <w:rPr>
          <w:rFonts w:asciiTheme="majorBidi" w:hAnsiTheme="majorBidi" w:cstheme="majorBidi"/>
          <w:bCs/>
          <w:lang w:val="en-GB"/>
        </w:rPr>
      </w:pPr>
    </w:p>
    <w:p w14:paraId="4AC753D4" w14:textId="1120ADFF" w:rsidR="006E18EA" w:rsidRPr="00B10073" w:rsidRDefault="006E18EA" w:rsidP="002016BE">
      <w:pPr>
        <w:spacing w:line="360" w:lineRule="auto"/>
        <w:jc w:val="both"/>
        <w:rPr>
          <w:rFonts w:asciiTheme="majorBidi" w:hAnsiTheme="majorBidi" w:cstheme="majorBidi"/>
          <w:bCs/>
          <w:lang w:val="en-GB"/>
        </w:rPr>
      </w:pPr>
      <w:r w:rsidRPr="00B10073">
        <w:rPr>
          <w:rFonts w:asciiTheme="majorBidi" w:hAnsiTheme="majorBidi" w:cstheme="majorBidi"/>
          <w:bCs/>
          <w:lang w:val="en-GB"/>
        </w:rPr>
        <w:t>The Forum on the Rights of the Child is an initiative intended to involve the main child rights organisations in the EU policymaking process. The Commission employs similar participatory forums in other policy areas, such as social policy or youth policy. However, the Child Rights Forum, whilst designed on paper as a participatory mechanism aimed at informing EU policy, in practice took shape as a top-down administered mechanism, whereby DG Justice controlled both the agenda and the format of the Forum. In</w:t>
      </w:r>
      <w:r>
        <w:rPr>
          <w:rFonts w:asciiTheme="majorBidi" w:hAnsiTheme="majorBidi" w:cstheme="majorBidi"/>
          <w:bCs/>
          <w:lang w:val="en-GB"/>
        </w:rPr>
        <w:t xml:space="preserve"> theory</w:t>
      </w:r>
      <w:r w:rsidRPr="00B10073">
        <w:rPr>
          <w:rFonts w:asciiTheme="majorBidi" w:hAnsiTheme="majorBidi" w:cstheme="majorBidi"/>
          <w:bCs/>
          <w:lang w:val="en-GB"/>
        </w:rPr>
        <w:t>, the Commission pursued the pattern of civil society engagement</w:t>
      </w:r>
      <w:r>
        <w:rPr>
          <w:rFonts w:asciiTheme="majorBidi" w:hAnsiTheme="majorBidi" w:cstheme="majorBidi"/>
          <w:bCs/>
          <w:lang w:val="en-GB"/>
        </w:rPr>
        <w:t xml:space="preserve"> </w:t>
      </w:r>
      <w:r w:rsidRPr="00B10073">
        <w:rPr>
          <w:rFonts w:asciiTheme="majorBidi" w:hAnsiTheme="majorBidi" w:cstheme="majorBidi"/>
          <w:bCs/>
          <w:lang w:val="en-GB"/>
        </w:rPr>
        <w:t xml:space="preserve">by promoting the openness to and inclusion of civil society actors in EU policy debates, however, this process was administered by the Commission in a way that generated the opposite effects: namely, children’s NGOs became disengaged and </w:t>
      </w:r>
      <w:r w:rsidR="002016BE">
        <w:rPr>
          <w:rFonts w:asciiTheme="majorBidi" w:hAnsiTheme="majorBidi" w:cstheme="majorBidi"/>
          <w:bCs/>
          <w:lang w:val="en-GB"/>
        </w:rPr>
        <w:t xml:space="preserve">sceptical regarding </w:t>
      </w:r>
      <w:r w:rsidRPr="00B10073">
        <w:rPr>
          <w:rFonts w:asciiTheme="majorBidi" w:hAnsiTheme="majorBidi" w:cstheme="majorBidi"/>
          <w:bCs/>
          <w:lang w:val="en-GB"/>
        </w:rPr>
        <w:t>the Commission’s new role in the protection of children’s rights</w:t>
      </w:r>
      <w:r>
        <w:rPr>
          <w:rFonts w:asciiTheme="majorBidi" w:hAnsiTheme="majorBidi" w:cstheme="majorBidi"/>
          <w:bCs/>
          <w:lang w:val="en-GB"/>
        </w:rPr>
        <w:t xml:space="preserve"> </w:t>
      </w:r>
      <w:r>
        <w:rPr>
          <w:rFonts w:asciiTheme="majorBidi" w:hAnsiTheme="majorBidi" w:cstheme="majorBidi"/>
          <w:bCs/>
          <w:lang w:val="en-GB"/>
        </w:rPr>
        <w:lastRenderedPageBreak/>
        <w:t>(Grugel and Iusmen 2013)</w:t>
      </w:r>
      <w:r w:rsidRPr="00B10073">
        <w:rPr>
          <w:rFonts w:asciiTheme="majorBidi" w:hAnsiTheme="majorBidi" w:cstheme="majorBidi"/>
          <w:bCs/>
          <w:lang w:val="en-GB"/>
        </w:rPr>
        <w:t xml:space="preserve">. The paradox identified here is that the participatory and deliberative mechanisms devised by the Commission in relation to child rights had to conform to a top-down, command-and-control logic - usually employed in public administrations – whereby DG Justice controlled both the agenda and </w:t>
      </w:r>
      <w:r>
        <w:rPr>
          <w:rFonts w:asciiTheme="majorBidi" w:hAnsiTheme="majorBidi" w:cstheme="majorBidi"/>
          <w:bCs/>
          <w:lang w:val="en-GB"/>
        </w:rPr>
        <w:t xml:space="preserve">organisation </w:t>
      </w:r>
      <w:r w:rsidRPr="00B10073">
        <w:rPr>
          <w:rFonts w:asciiTheme="majorBidi" w:hAnsiTheme="majorBidi" w:cstheme="majorBidi"/>
          <w:bCs/>
          <w:lang w:val="en-GB"/>
        </w:rPr>
        <w:t xml:space="preserve">of the Forum, which in practice proved counter-productive, and hence </w:t>
      </w:r>
      <w:r>
        <w:rPr>
          <w:rFonts w:asciiTheme="majorBidi" w:hAnsiTheme="majorBidi" w:cstheme="majorBidi"/>
          <w:bCs/>
          <w:i/>
          <w:iCs/>
          <w:lang w:val="en-GB"/>
        </w:rPr>
        <w:t>illegitimate</w:t>
      </w:r>
      <w:r w:rsidR="006E2A1E">
        <w:rPr>
          <w:rFonts w:asciiTheme="majorBidi" w:hAnsiTheme="majorBidi" w:cstheme="majorBidi"/>
          <w:bCs/>
          <w:i/>
          <w:iCs/>
          <w:lang w:val="en-GB"/>
        </w:rPr>
        <w:t xml:space="preserve">, </w:t>
      </w:r>
      <w:r w:rsidR="006E2A1E">
        <w:rPr>
          <w:rFonts w:asciiTheme="majorBidi" w:hAnsiTheme="majorBidi" w:cstheme="majorBidi"/>
          <w:bCs/>
          <w:iCs/>
          <w:lang w:val="en-GB"/>
        </w:rPr>
        <w:t xml:space="preserve">due to no stakeholder </w:t>
      </w:r>
      <w:r w:rsidR="006E2A1E" w:rsidRPr="006E2A1E">
        <w:rPr>
          <w:rFonts w:asciiTheme="majorBidi" w:hAnsiTheme="majorBidi" w:cstheme="majorBidi"/>
          <w:bCs/>
          <w:i/>
          <w:iCs/>
          <w:lang w:val="en-GB"/>
        </w:rPr>
        <w:t>input into the agenda-setting</w:t>
      </w:r>
      <w:r w:rsidR="006E2A1E">
        <w:rPr>
          <w:rFonts w:asciiTheme="majorBidi" w:hAnsiTheme="majorBidi" w:cstheme="majorBidi"/>
          <w:bCs/>
          <w:iCs/>
          <w:lang w:val="en-GB"/>
        </w:rPr>
        <w:t xml:space="preserve"> process</w:t>
      </w:r>
      <w:r w:rsidRPr="00B10073">
        <w:rPr>
          <w:rFonts w:asciiTheme="majorBidi" w:hAnsiTheme="majorBidi" w:cstheme="majorBidi"/>
          <w:bCs/>
          <w:i/>
          <w:iCs/>
          <w:lang w:val="en-GB"/>
        </w:rPr>
        <w:t>.</w:t>
      </w:r>
    </w:p>
    <w:p w14:paraId="5BE7B751" w14:textId="77777777" w:rsidR="006E18EA" w:rsidRPr="00B10073" w:rsidRDefault="006E18EA" w:rsidP="00172513">
      <w:pPr>
        <w:spacing w:line="360" w:lineRule="auto"/>
        <w:jc w:val="both"/>
        <w:rPr>
          <w:rFonts w:asciiTheme="majorBidi" w:hAnsiTheme="majorBidi" w:cstheme="majorBidi"/>
          <w:bCs/>
          <w:lang w:val="en-GB"/>
        </w:rPr>
      </w:pPr>
    </w:p>
    <w:p w14:paraId="6FEA5608" w14:textId="5375275F" w:rsidR="006E18EA" w:rsidRDefault="00A46B6B" w:rsidP="00BD359A">
      <w:pPr>
        <w:spacing w:line="360" w:lineRule="auto"/>
        <w:jc w:val="both"/>
        <w:rPr>
          <w:rFonts w:asciiTheme="majorBidi" w:hAnsiTheme="majorBidi" w:cstheme="majorBidi"/>
          <w:bCs/>
          <w:lang w:val="en-GB"/>
        </w:rPr>
      </w:pPr>
      <w:r>
        <w:rPr>
          <w:rFonts w:asciiTheme="majorBidi" w:hAnsiTheme="majorBidi" w:cstheme="majorBidi"/>
          <w:bCs/>
          <w:lang w:val="en-GB"/>
        </w:rPr>
        <w:t>Though approached in quite a different way, this</w:t>
      </w:r>
      <w:r w:rsidR="006E18EA" w:rsidRPr="00B10073">
        <w:rPr>
          <w:rFonts w:asciiTheme="majorBidi" w:hAnsiTheme="majorBidi" w:cstheme="majorBidi"/>
          <w:bCs/>
          <w:lang w:val="en-GB"/>
        </w:rPr>
        <w:t xml:space="preserve"> same clash was at the heart of the confused and contested response to the initial idea for </w:t>
      </w:r>
      <w:r w:rsidR="006E18EA">
        <w:rPr>
          <w:rFonts w:asciiTheme="majorBidi" w:hAnsiTheme="majorBidi" w:cstheme="majorBidi"/>
          <w:bCs/>
          <w:lang w:val="en-GB"/>
        </w:rPr>
        <w:t>a participatory mechanism</w:t>
      </w:r>
      <w:r w:rsidR="006E18EA" w:rsidRPr="00B10073">
        <w:rPr>
          <w:rFonts w:asciiTheme="majorBidi" w:hAnsiTheme="majorBidi" w:cstheme="majorBidi"/>
          <w:bCs/>
          <w:lang w:val="en-GB"/>
        </w:rPr>
        <w:t xml:space="preserve"> linked to NHS England, as well. The decision to contract out the process design s</w:t>
      </w:r>
      <w:r w:rsidR="006E18EA">
        <w:rPr>
          <w:rFonts w:asciiTheme="majorBidi" w:hAnsiTheme="majorBidi" w:cstheme="majorBidi"/>
          <w:bCs/>
          <w:lang w:val="en-GB"/>
        </w:rPr>
        <w:t>eems to have</w:t>
      </w:r>
      <w:r w:rsidR="006E18EA" w:rsidRPr="00B10073">
        <w:rPr>
          <w:rFonts w:asciiTheme="majorBidi" w:hAnsiTheme="majorBidi" w:cstheme="majorBidi"/>
          <w:bCs/>
          <w:lang w:val="en-GB"/>
        </w:rPr>
        <w:t xml:space="preserve"> successfully delineate</w:t>
      </w:r>
      <w:r w:rsidR="006E18EA">
        <w:rPr>
          <w:rFonts w:asciiTheme="majorBidi" w:hAnsiTheme="majorBidi" w:cstheme="majorBidi"/>
          <w:bCs/>
          <w:lang w:val="en-GB"/>
        </w:rPr>
        <w:t>d</w:t>
      </w:r>
      <w:r w:rsidR="006E18EA" w:rsidRPr="00B10073">
        <w:rPr>
          <w:rFonts w:asciiTheme="majorBidi" w:hAnsiTheme="majorBidi" w:cstheme="majorBidi"/>
          <w:bCs/>
          <w:lang w:val="en-GB"/>
        </w:rPr>
        <w:t xml:space="preserve"> the initiative from ordinary operations. The effect has been to sustain, for the most part, the organizational imperative on output-related efficiency while allowing the initiative itself to take place on terms more amenable to the organic or bottom-up logic of broad participation. But of course there are disadvantages with this form of distancing, too. </w:t>
      </w:r>
      <w:r w:rsidR="006E18EA">
        <w:rPr>
          <w:rFonts w:asciiTheme="majorBidi" w:hAnsiTheme="majorBidi" w:cstheme="majorBidi"/>
          <w:bCs/>
          <w:lang w:val="en-GB"/>
        </w:rPr>
        <w:t>D</w:t>
      </w:r>
      <w:r w:rsidR="006E18EA" w:rsidRPr="00B10073">
        <w:rPr>
          <w:rFonts w:asciiTheme="majorBidi" w:hAnsiTheme="majorBidi" w:cstheme="majorBidi"/>
          <w:bCs/>
          <w:lang w:val="en-GB"/>
        </w:rPr>
        <w:t>espite sustained eff</w:t>
      </w:r>
      <w:r w:rsidR="006E18EA">
        <w:rPr>
          <w:rFonts w:asciiTheme="majorBidi" w:hAnsiTheme="majorBidi" w:cstheme="majorBidi"/>
          <w:bCs/>
          <w:lang w:val="en-GB"/>
        </w:rPr>
        <w:t xml:space="preserve">orts towards ‘cultural change’ </w:t>
      </w:r>
      <w:r w:rsidR="006E18EA" w:rsidRPr="00B10073">
        <w:rPr>
          <w:rFonts w:asciiTheme="majorBidi" w:hAnsiTheme="majorBidi" w:cstheme="majorBidi"/>
          <w:bCs/>
          <w:lang w:val="en-GB"/>
        </w:rPr>
        <w:t xml:space="preserve">within NHS England, there is still scepticism about the value of </w:t>
      </w:r>
      <w:r w:rsidR="006E18EA">
        <w:rPr>
          <w:rFonts w:asciiTheme="majorBidi" w:hAnsiTheme="majorBidi" w:cstheme="majorBidi"/>
          <w:bCs/>
          <w:lang w:val="en-GB"/>
        </w:rPr>
        <w:t>participation</w:t>
      </w:r>
      <w:r w:rsidR="006E18EA" w:rsidRPr="00B10073">
        <w:rPr>
          <w:rFonts w:asciiTheme="majorBidi" w:hAnsiTheme="majorBidi" w:cstheme="majorBidi"/>
          <w:bCs/>
          <w:lang w:val="en-GB"/>
        </w:rPr>
        <w:t xml:space="preserve"> across the organization.</w:t>
      </w:r>
      <w:r w:rsidR="006E18EA">
        <w:rPr>
          <w:rStyle w:val="EndnoteReference"/>
          <w:rFonts w:asciiTheme="majorBidi" w:hAnsiTheme="majorBidi" w:cstheme="majorBidi"/>
          <w:bCs/>
          <w:lang w:val="en-GB"/>
        </w:rPr>
        <w:endnoteReference w:id="23"/>
      </w:r>
      <w:r w:rsidR="006E18EA" w:rsidRPr="00B10073">
        <w:rPr>
          <w:rFonts w:asciiTheme="majorBidi" w:hAnsiTheme="majorBidi" w:cstheme="majorBidi"/>
          <w:bCs/>
          <w:lang w:val="en-GB"/>
        </w:rPr>
        <w:t xml:space="preserve"> Ultimately, this same dynamic is what makes the entire NHS Citizen initiative vulnerable, too. </w:t>
      </w:r>
      <w:r w:rsidR="00E402E6">
        <w:rPr>
          <w:rFonts w:asciiTheme="majorBidi" w:hAnsiTheme="majorBidi" w:cstheme="majorBidi"/>
          <w:bCs/>
          <w:lang w:val="en-GB"/>
        </w:rPr>
        <w:t>The f</w:t>
      </w:r>
      <w:r w:rsidR="006E18EA" w:rsidRPr="00B10073">
        <w:rPr>
          <w:rFonts w:asciiTheme="majorBidi" w:hAnsiTheme="majorBidi" w:cstheme="majorBidi"/>
          <w:bCs/>
          <w:lang w:val="en-GB"/>
        </w:rPr>
        <w:t>unctional separati</w:t>
      </w:r>
      <w:r w:rsidR="00E402E6">
        <w:rPr>
          <w:rFonts w:asciiTheme="majorBidi" w:hAnsiTheme="majorBidi" w:cstheme="majorBidi"/>
          <w:bCs/>
          <w:lang w:val="en-GB"/>
        </w:rPr>
        <w:t>o</w:t>
      </w:r>
      <w:r w:rsidR="006E18EA" w:rsidRPr="00B10073">
        <w:rPr>
          <w:rFonts w:asciiTheme="majorBidi" w:hAnsiTheme="majorBidi" w:cstheme="majorBidi"/>
          <w:bCs/>
          <w:lang w:val="en-GB"/>
        </w:rPr>
        <w:t xml:space="preserve">n </w:t>
      </w:r>
      <w:r w:rsidR="00E402E6">
        <w:rPr>
          <w:rFonts w:asciiTheme="majorBidi" w:hAnsiTheme="majorBidi" w:cstheme="majorBidi"/>
          <w:bCs/>
          <w:lang w:val="en-GB"/>
        </w:rPr>
        <w:t xml:space="preserve">of the </w:t>
      </w:r>
      <w:r w:rsidR="006E18EA">
        <w:rPr>
          <w:rFonts w:asciiTheme="majorBidi" w:hAnsiTheme="majorBidi" w:cstheme="majorBidi"/>
          <w:bCs/>
          <w:lang w:val="en-GB"/>
        </w:rPr>
        <w:t>participat</w:t>
      </w:r>
      <w:r w:rsidR="00E402E6">
        <w:rPr>
          <w:rFonts w:asciiTheme="majorBidi" w:hAnsiTheme="majorBidi" w:cstheme="majorBidi"/>
          <w:bCs/>
          <w:lang w:val="en-GB"/>
        </w:rPr>
        <w:t>ory initiative</w:t>
      </w:r>
      <w:r w:rsidR="006E18EA" w:rsidRPr="00B10073">
        <w:rPr>
          <w:rFonts w:asciiTheme="majorBidi" w:hAnsiTheme="majorBidi" w:cstheme="majorBidi"/>
          <w:bCs/>
          <w:lang w:val="en-GB"/>
        </w:rPr>
        <w:t xml:space="preserve"> from the core functions of the </w:t>
      </w:r>
      <w:r>
        <w:rPr>
          <w:rFonts w:asciiTheme="majorBidi" w:hAnsiTheme="majorBidi" w:cstheme="majorBidi"/>
          <w:bCs/>
          <w:lang w:val="en-GB"/>
        </w:rPr>
        <w:t xml:space="preserve">technocratic </w:t>
      </w:r>
      <w:r w:rsidR="006E18EA" w:rsidRPr="00B10073">
        <w:rPr>
          <w:rFonts w:asciiTheme="majorBidi" w:hAnsiTheme="majorBidi" w:cstheme="majorBidi"/>
          <w:bCs/>
          <w:lang w:val="en-GB"/>
        </w:rPr>
        <w:t xml:space="preserve">body appears to strengthen the authenticity </w:t>
      </w:r>
      <w:r w:rsidR="00C27493">
        <w:rPr>
          <w:rFonts w:asciiTheme="majorBidi" w:hAnsiTheme="majorBidi" w:cstheme="majorBidi"/>
          <w:bCs/>
          <w:lang w:val="en-GB"/>
        </w:rPr>
        <w:t xml:space="preserve">of participation </w:t>
      </w:r>
      <w:r>
        <w:rPr>
          <w:rFonts w:asciiTheme="majorBidi" w:hAnsiTheme="majorBidi" w:cstheme="majorBidi"/>
          <w:bCs/>
          <w:lang w:val="en-GB"/>
        </w:rPr>
        <w:t xml:space="preserve">(measured via </w:t>
      </w:r>
      <w:r w:rsidRPr="00A652E2">
        <w:rPr>
          <w:rFonts w:asciiTheme="majorBidi" w:hAnsiTheme="majorBidi" w:cstheme="majorBidi"/>
          <w:bCs/>
          <w:i/>
          <w:iCs/>
          <w:lang w:val="en-GB"/>
        </w:rPr>
        <w:t>input into agenda-setting</w:t>
      </w:r>
      <w:r>
        <w:rPr>
          <w:rFonts w:asciiTheme="majorBidi" w:hAnsiTheme="majorBidi" w:cstheme="majorBidi"/>
          <w:bCs/>
          <w:lang w:val="en-GB"/>
        </w:rPr>
        <w:t>)</w:t>
      </w:r>
      <w:r w:rsidR="00E402E6">
        <w:rPr>
          <w:rFonts w:asciiTheme="majorBidi" w:hAnsiTheme="majorBidi" w:cstheme="majorBidi"/>
          <w:bCs/>
          <w:lang w:val="en-GB"/>
        </w:rPr>
        <w:t>. However, this success comes at the expense of</w:t>
      </w:r>
      <w:r w:rsidR="006E18EA" w:rsidRPr="00B10073">
        <w:rPr>
          <w:rFonts w:asciiTheme="majorBidi" w:hAnsiTheme="majorBidi" w:cstheme="majorBidi"/>
          <w:bCs/>
          <w:lang w:val="en-GB"/>
        </w:rPr>
        <w:t xml:space="preserve"> the prospects </w:t>
      </w:r>
      <w:r w:rsidR="0007778A">
        <w:rPr>
          <w:rFonts w:asciiTheme="majorBidi" w:hAnsiTheme="majorBidi" w:cstheme="majorBidi"/>
          <w:bCs/>
          <w:lang w:val="en-GB"/>
        </w:rPr>
        <w:t>for shaping</w:t>
      </w:r>
      <w:r w:rsidR="006E18EA" w:rsidRPr="00B10073">
        <w:rPr>
          <w:rFonts w:asciiTheme="majorBidi" w:hAnsiTheme="majorBidi" w:cstheme="majorBidi"/>
          <w:bCs/>
          <w:lang w:val="en-GB"/>
        </w:rPr>
        <w:t xml:space="preserve"> policymaking.</w:t>
      </w:r>
    </w:p>
    <w:p w14:paraId="4251F320" w14:textId="77777777" w:rsidR="00D06C98" w:rsidRDefault="00D06C98" w:rsidP="00172513">
      <w:pPr>
        <w:spacing w:line="360" w:lineRule="auto"/>
        <w:jc w:val="both"/>
        <w:rPr>
          <w:rFonts w:asciiTheme="majorBidi" w:hAnsiTheme="majorBidi" w:cstheme="majorBidi"/>
          <w:bCs/>
          <w:lang w:val="en-GB"/>
        </w:rPr>
      </w:pPr>
    </w:p>
    <w:p w14:paraId="4BF40FC6" w14:textId="77777777" w:rsidR="0007778A" w:rsidRPr="00B10073" w:rsidRDefault="0007778A" w:rsidP="00172513">
      <w:pPr>
        <w:spacing w:line="360" w:lineRule="auto"/>
        <w:jc w:val="both"/>
        <w:rPr>
          <w:rFonts w:asciiTheme="majorBidi" w:hAnsiTheme="majorBidi" w:cstheme="majorBidi"/>
          <w:bCs/>
          <w:lang w:val="en-GB"/>
        </w:rPr>
      </w:pPr>
    </w:p>
    <w:p w14:paraId="71FE355C" w14:textId="62244ED9" w:rsidR="006E18EA" w:rsidRPr="00B10073" w:rsidRDefault="006E18EA" w:rsidP="00172513">
      <w:pPr>
        <w:spacing w:line="360" w:lineRule="auto"/>
        <w:jc w:val="both"/>
        <w:rPr>
          <w:rFonts w:asciiTheme="majorBidi" w:hAnsiTheme="majorBidi" w:cstheme="majorBidi"/>
          <w:bCs/>
          <w:i/>
          <w:iCs/>
          <w:lang w:val="en-GB"/>
        </w:rPr>
      </w:pPr>
      <w:r>
        <w:rPr>
          <w:rFonts w:asciiTheme="majorBidi" w:hAnsiTheme="majorBidi" w:cstheme="majorBidi"/>
          <w:bCs/>
          <w:i/>
          <w:iCs/>
          <w:lang w:val="en-GB"/>
        </w:rPr>
        <w:t xml:space="preserve">The operational dilemma: how to embed participation in the policy process? </w:t>
      </w:r>
    </w:p>
    <w:p w14:paraId="35851B3F" w14:textId="77777777" w:rsidR="006E18EA" w:rsidRPr="00B10073" w:rsidRDefault="006E18EA" w:rsidP="00172513">
      <w:pPr>
        <w:spacing w:line="360" w:lineRule="auto"/>
        <w:jc w:val="both"/>
        <w:rPr>
          <w:rFonts w:asciiTheme="majorBidi" w:hAnsiTheme="majorBidi" w:cstheme="majorBidi"/>
          <w:bCs/>
          <w:lang w:val="en-GB"/>
        </w:rPr>
      </w:pPr>
    </w:p>
    <w:p w14:paraId="4347EE63" w14:textId="22F76EC4" w:rsidR="006E18EA" w:rsidRPr="00B10073" w:rsidRDefault="006E18EA" w:rsidP="00E402E6">
      <w:pPr>
        <w:spacing w:line="360" w:lineRule="auto"/>
        <w:jc w:val="both"/>
        <w:rPr>
          <w:rFonts w:asciiTheme="majorBidi" w:hAnsiTheme="majorBidi" w:cstheme="majorBidi"/>
          <w:bCs/>
          <w:lang w:val="en-GB"/>
        </w:rPr>
      </w:pPr>
      <w:r w:rsidRPr="00B10073">
        <w:rPr>
          <w:rFonts w:asciiTheme="majorBidi" w:hAnsiTheme="majorBidi" w:cstheme="majorBidi"/>
          <w:bCs/>
          <w:lang w:val="en-GB"/>
        </w:rPr>
        <w:t>The Forum case shows that the Commission has deliberately advanced the participation of civil society stakeholders in the Forum meetings, but failed to connect this engagement to the actual policy process</w:t>
      </w:r>
      <w:r w:rsidR="006E2A1E">
        <w:rPr>
          <w:rFonts w:asciiTheme="majorBidi" w:hAnsiTheme="majorBidi" w:cstheme="majorBidi"/>
          <w:bCs/>
          <w:lang w:val="en-GB"/>
        </w:rPr>
        <w:t xml:space="preserve">, hence there was no </w:t>
      </w:r>
      <w:r w:rsidR="006E2A1E" w:rsidRPr="006E2A1E">
        <w:rPr>
          <w:rFonts w:asciiTheme="majorBidi" w:hAnsiTheme="majorBidi" w:cstheme="majorBidi"/>
          <w:bCs/>
          <w:i/>
          <w:lang w:val="en-GB"/>
        </w:rPr>
        <w:t>input into policymaking</w:t>
      </w:r>
      <w:r w:rsidRPr="00B10073">
        <w:rPr>
          <w:rFonts w:asciiTheme="majorBidi" w:hAnsiTheme="majorBidi" w:cstheme="majorBidi"/>
          <w:bCs/>
          <w:lang w:val="en-GB"/>
        </w:rPr>
        <w:t>. Indeed, there was a stark disconnect between the NGOs’ input into the Forum debates and the Commission’s policy initiatives</w:t>
      </w:r>
      <w:r w:rsidRPr="00B10073">
        <w:rPr>
          <w:rStyle w:val="EndnoteReference"/>
          <w:rFonts w:asciiTheme="majorBidi" w:hAnsiTheme="majorBidi" w:cstheme="majorBidi"/>
          <w:bCs/>
          <w:lang w:val="en-GB"/>
        </w:rPr>
        <w:endnoteReference w:id="24"/>
      </w:r>
      <w:r w:rsidRPr="00B10073">
        <w:rPr>
          <w:rFonts w:asciiTheme="majorBidi" w:hAnsiTheme="majorBidi" w:cstheme="majorBidi"/>
          <w:bCs/>
          <w:lang w:val="en-GB"/>
        </w:rPr>
        <w:t xml:space="preserve">. The empirical evidence suggests that some Commission services, such as DG Justice, view stakeholders’ input into the policy process according to a zero-sum logic:  meaningful and </w:t>
      </w:r>
      <w:r>
        <w:rPr>
          <w:rFonts w:asciiTheme="majorBidi" w:hAnsiTheme="majorBidi" w:cstheme="majorBidi"/>
          <w:bCs/>
          <w:lang w:val="en-GB"/>
        </w:rPr>
        <w:t xml:space="preserve">inclusive </w:t>
      </w:r>
      <w:r w:rsidRPr="00B10073">
        <w:rPr>
          <w:rFonts w:asciiTheme="majorBidi" w:hAnsiTheme="majorBidi" w:cstheme="majorBidi"/>
          <w:bCs/>
          <w:lang w:val="en-GB"/>
        </w:rPr>
        <w:t xml:space="preserve">participation could hamper the Commission’s effectiveness and efficiency in fulfilling </w:t>
      </w:r>
      <w:r w:rsidRPr="00B10073">
        <w:rPr>
          <w:rFonts w:asciiTheme="majorBidi" w:hAnsiTheme="majorBidi" w:cstheme="majorBidi"/>
          <w:bCs/>
          <w:lang w:val="en-GB"/>
        </w:rPr>
        <w:lastRenderedPageBreak/>
        <w:t>its Treaty role</w:t>
      </w:r>
      <w:r w:rsidRPr="00B10073">
        <w:rPr>
          <w:rStyle w:val="EndnoteReference"/>
          <w:rFonts w:asciiTheme="majorBidi" w:hAnsiTheme="majorBidi" w:cstheme="majorBidi"/>
          <w:bCs/>
          <w:lang w:val="en-GB"/>
        </w:rPr>
        <w:endnoteReference w:id="25"/>
      </w:r>
      <w:r w:rsidRPr="00B10073">
        <w:rPr>
          <w:rFonts w:asciiTheme="majorBidi" w:hAnsiTheme="majorBidi" w:cstheme="majorBidi"/>
          <w:bCs/>
          <w:lang w:val="en-GB"/>
        </w:rPr>
        <w:t xml:space="preserve">. This tension has played out in relation to the Forum, where DG Justice decided to pursue a </w:t>
      </w:r>
      <w:r w:rsidR="00E402E6">
        <w:rPr>
          <w:rFonts w:asciiTheme="majorBidi" w:hAnsiTheme="majorBidi" w:cstheme="majorBidi"/>
          <w:bCs/>
          <w:lang w:val="en-GB"/>
        </w:rPr>
        <w:t>thin and tightly controlled participatory initiative</w:t>
      </w:r>
      <w:r w:rsidR="00EF32C9">
        <w:rPr>
          <w:rFonts w:asciiTheme="majorBidi" w:hAnsiTheme="majorBidi" w:cstheme="majorBidi"/>
          <w:bCs/>
          <w:lang w:val="en-GB"/>
        </w:rPr>
        <w:t>,</w:t>
      </w:r>
      <w:r w:rsidR="00EF32C9" w:rsidRPr="00B10073">
        <w:rPr>
          <w:rFonts w:asciiTheme="majorBidi" w:hAnsiTheme="majorBidi" w:cstheme="majorBidi"/>
          <w:bCs/>
          <w:lang w:val="en-GB"/>
        </w:rPr>
        <w:t xml:space="preserve"> which</w:t>
      </w:r>
      <w:r w:rsidRPr="00B10073">
        <w:rPr>
          <w:rFonts w:asciiTheme="majorBidi" w:hAnsiTheme="majorBidi" w:cstheme="majorBidi"/>
          <w:bCs/>
          <w:lang w:val="en-GB"/>
        </w:rPr>
        <w:t xml:space="preserve"> would not impact on the output-dimension of the Commission policy process.</w:t>
      </w:r>
    </w:p>
    <w:p w14:paraId="385A8A5A" w14:textId="77777777" w:rsidR="006E18EA" w:rsidRPr="00B10073" w:rsidRDefault="006E18EA" w:rsidP="00172513">
      <w:pPr>
        <w:spacing w:line="360" w:lineRule="auto"/>
        <w:jc w:val="both"/>
        <w:rPr>
          <w:rFonts w:asciiTheme="majorBidi" w:hAnsiTheme="majorBidi" w:cstheme="majorBidi"/>
          <w:bCs/>
          <w:lang w:val="en-GB"/>
        </w:rPr>
      </w:pPr>
    </w:p>
    <w:p w14:paraId="047A7145" w14:textId="165A2A43" w:rsidR="006E18EA" w:rsidRPr="00B10073" w:rsidRDefault="006E18EA" w:rsidP="00172513">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By advancing stakeholders’ participation </w:t>
      </w:r>
      <w:r>
        <w:rPr>
          <w:rFonts w:asciiTheme="majorBidi" w:hAnsiTheme="majorBidi" w:cstheme="majorBidi"/>
          <w:bCs/>
          <w:lang w:val="en-GB"/>
        </w:rPr>
        <w:t xml:space="preserve">for </w:t>
      </w:r>
      <w:r w:rsidRPr="00B10073">
        <w:rPr>
          <w:rFonts w:asciiTheme="majorBidi" w:hAnsiTheme="majorBidi" w:cstheme="majorBidi"/>
          <w:bCs/>
          <w:lang w:val="en-GB"/>
        </w:rPr>
        <w:t>participation</w:t>
      </w:r>
      <w:r>
        <w:rPr>
          <w:rFonts w:asciiTheme="majorBidi" w:hAnsiTheme="majorBidi" w:cstheme="majorBidi"/>
          <w:bCs/>
          <w:lang w:val="en-GB"/>
        </w:rPr>
        <w:t>’s sake</w:t>
      </w:r>
      <w:r w:rsidRPr="00B10073">
        <w:rPr>
          <w:rFonts w:asciiTheme="majorBidi" w:hAnsiTheme="majorBidi" w:cstheme="majorBidi"/>
          <w:bCs/>
          <w:lang w:val="en-GB"/>
        </w:rPr>
        <w:t>, the Commission failed to grasp the in</w:t>
      </w:r>
      <w:r>
        <w:rPr>
          <w:rFonts w:asciiTheme="majorBidi" w:hAnsiTheme="majorBidi" w:cstheme="majorBidi"/>
          <w:bCs/>
          <w:lang w:val="en-GB"/>
        </w:rPr>
        <w:t xml:space="preserve">trinsic </w:t>
      </w:r>
      <w:r w:rsidRPr="00B10073">
        <w:rPr>
          <w:rFonts w:asciiTheme="majorBidi" w:hAnsiTheme="majorBidi" w:cstheme="majorBidi"/>
          <w:bCs/>
          <w:lang w:val="en-GB"/>
        </w:rPr>
        <w:t>connection between throughput legitimacy and output-legitimacy</w:t>
      </w:r>
      <w:r>
        <w:rPr>
          <w:rFonts w:asciiTheme="majorBidi" w:hAnsiTheme="majorBidi" w:cstheme="majorBidi"/>
          <w:bCs/>
          <w:lang w:val="en-GB"/>
        </w:rPr>
        <w:t xml:space="preserve"> (Schmidt 2013</w:t>
      </w:r>
      <w:r w:rsidR="00EF32C9">
        <w:rPr>
          <w:rFonts w:asciiTheme="majorBidi" w:hAnsiTheme="majorBidi" w:cstheme="majorBidi"/>
          <w:bCs/>
          <w:lang w:val="en-GB"/>
        </w:rPr>
        <w:t>:</w:t>
      </w:r>
      <w:r>
        <w:rPr>
          <w:rFonts w:asciiTheme="majorBidi" w:hAnsiTheme="majorBidi" w:cstheme="majorBidi"/>
          <w:bCs/>
          <w:lang w:val="en-GB"/>
        </w:rPr>
        <w:t>9)</w:t>
      </w:r>
      <w:r w:rsidRPr="00B10073">
        <w:rPr>
          <w:rFonts w:asciiTheme="majorBidi" w:hAnsiTheme="majorBidi" w:cstheme="majorBidi"/>
          <w:bCs/>
          <w:lang w:val="en-GB"/>
        </w:rPr>
        <w:t xml:space="preserve">. </w:t>
      </w:r>
      <w:r w:rsidR="00C25F79">
        <w:rPr>
          <w:rFonts w:asciiTheme="majorBidi" w:hAnsiTheme="majorBidi" w:cstheme="majorBidi"/>
          <w:bCs/>
          <w:lang w:val="en-GB"/>
        </w:rPr>
        <w:t>Indeed, g</w:t>
      </w:r>
      <w:r w:rsidRPr="00B10073">
        <w:rPr>
          <w:rFonts w:asciiTheme="majorBidi" w:hAnsiTheme="majorBidi" w:cstheme="majorBidi"/>
          <w:bCs/>
          <w:lang w:val="en-GB"/>
        </w:rPr>
        <w:t xml:space="preserve">iven the expertise and practical know-how </w:t>
      </w:r>
      <w:r w:rsidR="00C25F79">
        <w:rPr>
          <w:rFonts w:asciiTheme="majorBidi" w:hAnsiTheme="majorBidi" w:cstheme="majorBidi"/>
          <w:bCs/>
          <w:lang w:val="en-GB"/>
        </w:rPr>
        <w:t xml:space="preserve">of </w:t>
      </w:r>
      <w:r w:rsidRPr="00B10073">
        <w:rPr>
          <w:rFonts w:asciiTheme="majorBidi" w:hAnsiTheme="majorBidi" w:cstheme="majorBidi"/>
          <w:bCs/>
          <w:lang w:val="en-GB"/>
        </w:rPr>
        <w:t xml:space="preserve">child rights organisations, their inputs into the Forum </w:t>
      </w:r>
      <w:r w:rsidR="00C25F79">
        <w:rPr>
          <w:rFonts w:asciiTheme="majorBidi" w:hAnsiTheme="majorBidi" w:cstheme="majorBidi"/>
          <w:bCs/>
          <w:lang w:val="en-GB"/>
        </w:rPr>
        <w:t>debates</w:t>
      </w:r>
      <w:r w:rsidRPr="00B10073">
        <w:rPr>
          <w:rFonts w:asciiTheme="majorBidi" w:hAnsiTheme="majorBidi" w:cstheme="majorBidi"/>
          <w:bCs/>
          <w:lang w:val="en-GB"/>
        </w:rPr>
        <w:t xml:space="preserve"> could feed into the policy measures adopted by the Commission, and therefore, could impact positively on output legitimacy by improving the Commission’s capacity to </w:t>
      </w:r>
      <w:r>
        <w:rPr>
          <w:rFonts w:asciiTheme="majorBidi" w:hAnsiTheme="majorBidi" w:cstheme="majorBidi"/>
          <w:bCs/>
          <w:lang w:val="en-GB"/>
        </w:rPr>
        <w:t>deliver</w:t>
      </w:r>
      <w:r w:rsidRPr="00B10073">
        <w:rPr>
          <w:rFonts w:asciiTheme="majorBidi" w:hAnsiTheme="majorBidi" w:cstheme="majorBidi"/>
          <w:bCs/>
          <w:lang w:val="en-GB"/>
        </w:rPr>
        <w:t xml:space="preserve"> effective </w:t>
      </w:r>
      <w:r w:rsidRPr="00E014CA">
        <w:rPr>
          <w:rFonts w:asciiTheme="majorBidi" w:hAnsiTheme="majorBidi" w:cstheme="majorBidi"/>
          <w:bCs/>
          <w:i/>
          <w:lang w:val="en-GB"/>
        </w:rPr>
        <w:t>polic</w:t>
      </w:r>
      <w:r w:rsidR="00C25F79" w:rsidRPr="00E014CA">
        <w:rPr>
          <w:rFonts w:asciiTheme="majorBidi" w:hAnsiTheme="majorBidi" w:cstheme="majorBidi"/>
          <w:bCs/>
          <w:i/>
          <w:lang w:val="en-GB"/>
        </w:rPr>
        <w:t>y outputs</w:t>
      </w:r>
      <w:r w:rsidR="00C25F79">
        <w:rPr>
          <w:rFonts w:asciiTheme="majorBidi" w:hAnsiTheme="majorBidi" w:cstheme="majorBidi"/>
          <w:bCs/>
          <w:lang w:val="en-GB"/>
        </w:rPr>
        <w:t xml:space="preserve"> and </w:t>
      </w:r>
      <w:r w:rsidR="00C25F79" w:rsidRPr="00E014CA">
        <w:rPr>
          <w:rFonts w:asciiTheme="majorBidi" w:hAnsiTheme="majorBidi" w:cstheme="majorBidi"/>
          <w:bCs/>
          <w:i/>
          <w:lang w:val="en-GB"/>
        </w:rPr>
        <w:t>outcomes</w:t>
      </w:r>
      <w:r w:rsidRPr="00B10073">
        <w:rPr>
          <w:rFonts w:asciiTheme="majorBidi" w:hAnsiTheme="majorBidi" w:cstheme="majorBidi"/>
          <w:bCs/>
          <w:lang w:val="en-GB"/>
        </w:rPr>
        <w:t>. However, this link between participation and policy outputs failed to take shape in practice so far.</w:t>
      </w:r>
    </w:p>
    <w:p w14:paraId="05F276F4" w14:textId="77777777" w:rsidR="006E18EA" w:rsidRPr="00B10073" w:rsidRDefault="006E18EA" w:rsidP="00172513">
      <w:pPr>
        <w:spacing w:line="360" w:lineRule="auto"/>
        <w:jc w:val="both"/>
        <w:rPr>
          <w:rFonts w:asciiTheme="majorBidi" w:hAnsiTheme="majorBidi" w:cstheme="majorBidi"/>
          <w:bCs/>
          <w:highlight w:val="yellow"/>
          <w:lang w:val="en-GB"/>
        </w:rPr>
      </w:pPr>
    </w:p>
    <w:p w14:paraId="34A39E1C" w14:textId="5B7036CC" w:rsidR="006E18EA" w:rsidRDefault="006E18EA" w:rsidP="00BD359A">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The NHS Citizen case </w:t>
      </w:r>
      <w:r>
        <w:rPr>
          <w:rFonts w:asciiTheme="majorBidi" w:hAnsiTheme="majorBidi" w:cstheme="majorBidi"/>
          <w:bCs/>
          <w:lang w:val="en-GB"/>
        </w:rPr>
        <w:t>shows how difficult embedding engagement in practice can be even with firmer elite commitment.</w:t>
      </w:r>
      <w:r w:rsidRPr="00B10073">
        <w:rPr>
          <w:rFonts w:asciiTheme="majorBidi" w:hAnsiTheme="majorBidi" w:cstheme="majorBidi"/>
          <w:bCs/>
          <w:lang w:val="en-GB"/>
        </w:rPr>
        <w:t xml:space="preserve"> </w:t>
      </w:r>
      <w:r>
        <w:rPr>
          <w:rFonts w:asciiTheme="majorBidi" w:hAnsiTheme="majorBidi" w:cstheme="majorBidi"/>
          <w:bCs/>
          <w:lang w:val="en-GB"/>
        </w:rPr>
        <w:t xml:space="preserve">The central problem is about the </w:t>
      </w:r>
      <w:r w:rsidRPr="00B10073">
        <w:rPr>
          <w:rFonts w:asciiTheme="majorBidi" w:hAnsiTheme="majorBidi" w:cstheme="majorBidi"/>
          <w:bCs/>
          <w:lang w:val="en-GB"/>
        </w:rPr>
        <w:t xml:space="preserve">capacity to </w:t>
      </w:r>
      <w:r>
        <w:rPr>
          <w:rFonts w:asciiTheme="majorBidi" w:hAnsiTheme="majorBidi" w:cstheme="majorBidi"/>
          <w:bCs/>
          <w:lang w:val="en-GB"/>
        </w:rPr>
        <w:t>connect</w:t>
      </w:r>
      <w:r w:rsidRPr="00B10073">
        <w:rPr>
          <w:rFonts w:asciiTheme="majorBidi" w:hAnsiTheme="majorBidi" w:cstheme="majorBidi"/>
          <w:bCs/>
          <w:lang w:val="en-GB"/>
        </w:rPr>
        <w:t xml:space="preserve"> to the pragmatic requirements of NHS Eng</w:t>
      </w:r>
      <w:r>
        <w:rPr>
          <w:rFonts w:asciiTheme="majorBidi" w:hAnsiTheme="majorBidi" w:cstheme="majorBidi"/>
          <w:bCs/>
          <w:lang w:val="en-GB"/>
        </w:rPr>
        <w:t xml:space="preserve">land and its daily operations. </w:t>
      </w:r>
      <w:r w:rsidRPr="00B10073">
        <w:rPr>
          <w:rFonts w:asciiTheme="majorBidi" w:hAnsiTheme="majorBidi" w:cstheme="majorBidi"/>
          <w:bCs/>
          <w:lang w:val="en-GB"/>
        </w:rPr>
        <w:t xml:space="preserve">The design complexities and defiant openness that make NHS Citizen such a pioneering </w:t>
      </w:r>
      <w:r>
        <w:rPr>
          <w:rFonts w:asciiTheme="majorBidi" w:hAnsiTheme="majorBidi" w:cstheme="majorBidi"/>
          <w:bCs/>
          <w:lang w:val="en-GB"/>
        </w:rPr>
        <w:t xml:space="preserve">participatory </w:t>
      </w:r>
      <w:r w:rsidRPr="00B10073">
        <w:rPr>
          <w:rFonts w:asciiTheme="majorBidi" w:hAnsiTheme="majorBidi" w:cstheme="majorBidi"/>
          <w:bCs/>
          <w:lang w:val="en-GB"/>
        </w:rPr>
        <w:t xml:space="preserve">innovation may also be the very features that determine its unsuitability as a valid source of knowledge for policymaking. One significant problem which has emerged from the pilot process, for example, has been the tendency for </w:t>
      </w:r>
      <w:r>
        <w:rPr>
          <w:rFonts w:asciiTheme="majorBidi" w:hAnsiTheme="majorBidi" w:cstheme="majorBidi"/>
          <w:bCs/>
          <w:lang w:val="en-GB"/>
        </w:rPr>
        <w:t>participants</w:t>
      </w:r>
      <w:r w:rsidRPr="00B10073">
        <w:rPr>
          <w:rFonts w:asciiTheme="majorBidi" w:hAnsiTheme="majorBidi" w:cstheme="majorBidi"/>
          <w:bCs/>
          <w:lang w:val="en-GB"/>
        </w:rPr>
        <w:t xml:space="preserve"> to focus on issues outside the remit of NHS England. </w:t>
      </w:r>
      <w:r>
        <w:rPr>
          <w:rFonts w:asciiTheme="majorBidi" w:hAnsiTheme="majorBidi" w:cstheme="majorBidi"/>
          <w:bCs/>
          <w:lang w:val="en-GB"/>
        </w:rPr>
        <w:t>Participants</w:t>
      </w:r>
      <w:r w:rsidRPr="00B10073">
        <w:rPr>
          <w:rFonts w:asciiTheme="majorBidi" w:hAnsiTheme="majorBidi" w:cstheme="majorBidi"/>
          <w:bCs/>
          <w:lang w:val="en-GB"/>
        </w:rPr>
        <w:t xml:space="preserve"> want to focus on issues of local service delivery or the broader political debate concerning the </w:t>
      </w:r>
      <w:r>
        <w:rPr>
          <w:rFonts w:asciiTheme="majorBidi" w:hAnsiTheme="majorBidi" w:cstheme="majorBidi"/>
          <w:bCs/>
          <w:lang w:val="en-GB"/>
        </w:rPr>
        <w:t>related marke</w:t>
      </w:r>
      <w:r w:rsidRPr="00B10073">
        <w:rPr>
          <w:rFonts w:asciiTheme="majorBidi" w:hAnsiTheme="majorBidi" w:cstheme="majorBidi"/>
          <w:bCs/>
          <w:lang w:val="en-GB"/>
        </w:rPr>
        <w:t>tisation reforms, yet NHS England has no jurisdiction at either end of the spectrum.</w:t>
      </w:r>
      <w:r>
        <w:rPr>
          <w:rStyle w:val="EndnoteReference"/>
          <w:rFonts w:asciiTheme="majorBidi" w:hAnsiTheme="majorBidi" w:cstheme="majorBidi"/>
          <w:bCs/>
          <w:lang w:val="en-GB"/>
        </w:rPr>
        <w:endnoteReference w:id="26"/>
      </w:r>
      <w:r w:rsidRPr="00B10073">
        <w:rPr>
          <w:rFonts w:asciiTheme="majorBidi" w:hAnsiTheme="majorBidi" w:cstheme="majorBidi"/>
          <w:bCs/>
          <w:lang w:val="en-GB"/>
        </w:rPr>
        <w:t xml:space="preserve"> </w:t>
      </w:r>
      <w:r>
        <w:rPr>
          <w:rFonts w:asciiTheme="majorBidi" w:hAnsiTheme="majorBidi" w:cstheme="majorBidi"/>
          <w:bCs/>
          <w:lang w:val="en-GB"/>
        </w:rPr>
        <w:t>T</w:t>
      </w:r>
      <w:r w:rsidRPr="00B10073">
        <w:rPr>
          <w:rFonts w:asciiTheme="majorBidi" w:hAnsiTheme="majorBidi" w:cstheme="majorBidi"/>
          <w:bCs/>
          <w:lang w:val="en-GB"/>
        </w:rPr>
        <w:t>he risk is that the outcomes from NHS Citizen are too woolly or tangential to be of use to the Board members and senior NHS England officials charged with responding to and enacting them.</w:t>
      </w:r>
      <w:r w:rsidR="00A46B6B">
        <w:rPr>
          <w:rFonts w:asciiTheme="majorBidi" w:hAnsiTheme="majorBidi" w:cstheme="majorBidi"/>
          <w:bCs/>
          <w:lang w:val="en-GB"/>
        </w:rPr>
        <w:t xml:space="preserve"> </w:t>
      </w:r>
    </w:p>
    <w:p w14:paraId="1FA4EC1C" w14:textId="77777777" w:rsidR="006E18EA" w:rsidRDefault="006E18EA" w:rsidP="00172513">
      <w:pPr>
        <w:spacing w:line="360" w:lineRule="auto"/>
        <w:jc w:val="both"/>
        <w:rPr>
          <w:rFonts w:asciiTheme="majorBidi" w:hAnsiTheme="majorBidi" w:cstheme="majorBidi"/>
          <w:bCs/>
          <w:lang w:val="en-GB"/>
        </w:rPr>
      </w:pPr>
    </w:p>
    <w:p w14:paraId="04532453" w14:textId="395CE126" w:rsidR="00E402E6" w:rsidRDefault="006E18EA">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Of course, organisers are acutely aware of this risk and have made painstaking efforts to shape and convey NHS Citizen as a constructive tool for Board members. But the process of packaging or translating </w:t>
      </w:r>
      <w:r>
        <w:rPr>
          <w:rFonts w:asciiTheme="majorBidi" w:hAnsiTheme="majorBidi" w:cstheme="majorBidi"/>
          <w:bCs/>
          <w:lang w:val="en-GB"/>
        </w:rPr>
        <w:t>the claims raised in public deliberation</w:t>
      </w:r>
      <w:r w:rsidRPr="00B10073">
        <w:rPr>
          <w:rFonts w:asciiTheme="majorBidi" w:hAnsiTheme="majorBidi" w:cstheme="majorBidi"/>
          <w:bCs/>
          <w:lang w:val="en-GB"/>
        </w:rPr>
        <w:t xml:space="preserve"> risks undermining the open and unmediated nature </w:t>
      </w:r>
      <w:r>
        <w:rPr>
          <w:rFonts w:asciiTheme="majorBidi" w:hAnsiTheme="majorBidi" w:cstheme="majorBidi"/>
          <w:bCs/>
          <w:lang w:val="en-GB"/>
        </w:rPr>
        <w:t>of</w:t>
      </w:r>
      <w:r w:rsidRPr="00B10073">
        <w:rPr>
          <w:rFonts w:asciiTheme="majorBidi" w:hAnsiTheme="majorBidi" w:cstheme="majorBidi"/>
          <w:bCs/>
          <w:lang w:val="en-GB"/>
        </w:rPr>
        <w:t xml:space="preserve"> NHS Citizen</w:t>
      </w:r>
      <w:r>
        <w:rPr>
          <w:rFonts w:asciiTheme="majorBidi" w:hAnsiTheme="majorBidi" w:cstheme="majorBidi"/>
          <w:bCs/>
          <w:lang w:val="en-GB"/>
        </w:rPr>
        <w:t>—the very thing which makes it</w:t>
      </w:r>
      <w:r w:rsidRPr="00B10073">
        <w:rPr>
          <w:rFonts w:asciiTheme="majorBidi" w:hAnsiTheme="majorBidi" w:cstheme="majorBidi"/>
          <w:bCs/>
          <w:lang w:val="en-GB"/>
        </w:rPr>
        <w:t xml:space="preserve"> appealing to civil society groups</w:t>
      </w:r>
      <w:r>
        <w:rPr>
          <w:rFonts w:asciiTheme="majorBidi" w:hAnsiTheme="majorBidi" w:cstheme="majorBidi"/>
          <w:bCs/>
          <w:lang w:val="en-GB"/>
        </w:rPr>
        <w:t xml:space="preserve"> in the first place</w:t>
      </w:r>
      <w:r w:rsidRPr="00B10073">
        <w:rPr>
          <w:rFonts w:asciiTheme="majorBidi" w:hAnsiTheme="majorBidi" w:cstheme="majorBidi"/>
          <w:bCs/>
          <w:lang w:val="en-GB"/>
        </w:rPr>
        <w:t xml:space="preserve">. In fact, early indications suggest that some individuals and groups initially attracted to NHS Citizen have moved away from the initiative as they perceive a lack of capacity to follow through </w:t>
      </w:r>
      <w:r w:rsidRPr="00B10073">
        <w:rPr>
          <w:rFonts w:asciiTheme="majorBidi" w:hAnsiTheme="majorBidi" w:cstheme="majorBidi"/>
          <w:bCs/>
          <w:lang w:val="en-GB"/>
        </w:rPr>
        <w:lastRenderedPageBreak/>
        <w:t xml:space="preserve">on </w:t>
      </w:r>
      <w:r>
        <w:rPr>
          <w:rFonts w:asciiTheme="majorBidi" w:hAnsiTheme="majorBidi" w:cstheme="majorBidi"/>
          <w:bCs/>
          <w:lang w:val="en-GB"/>
        </w:rPr>
        <w:t xml:space="preserve"> what emerges from the innovation</w:t>
      </w:r>
      <w:r w:rsidRPr="00B10073">
        <w:rPr>
          <w:rStyle w:val="EndnoteReference"/>
          <w:rFonts w:asciiTheme="majorBidi" w:hAnsiTheme="majorBidi" w:cstheme="majorBidi"/>
          <w:bCs/>
          <w:lang w:val="en-GB"/>
        </w:rPr>
        <w:endnoteReference w:id="27"/>
      </w:r>
      <w:r w:rsidRPr="00B10073">
        <w:rPr>
          <w:rFonts w:asciiTheme="majorBidi" w:hAnsiTheme="majorBidi" w:cstheme="majorBidi"/>
          <w:bCs/>
          <w:lang w:val="en-GB"/>
        </w:rPr>
        <w:t xml:space="preserve">—a finding consistent with broader work on stakeholder engagement with </w:t>
      </w:r>
      <w:r>
        <w:rPr>
          <w:rFonts w:asciiTheme="majorBidi" w:hAnsiTheme="majorBidi" w:cstheme="majorBidi"/>
          <w:bCs/>
          <w:lang w:val="en-GB"/>
        </w:rPr>
        <w:t>policy deliberation, too</w:t>
      </w:r>
      <w:r w:rsidRPr="00B10073">
        <w:rPr>
          <w:rFonts w:asciiTheme="majorBidi" w:hAnsiTheme="majorBidi" w:cstheme="majorBidi"/>
          <w:bCs/>
          <w:lang w:val="en-GB"/>
        </w:rPr>
        <w:t xml:space="preserve"> (see Boswell and Corbett 2015). </w:t>
      </w:r>
    </w:p>
    <w:p w14:paraId="0DF1666A" w14:textId="77777777" w:rsidR="00E402E6" w:rsidRDefault="00E402E6" w:rsidP="00172513">
      <w:pPr>
        <w:spacing w:line="360" w:lineRule="auto"/>
        <w:jc w:val="both"/>
        <w:rPr>
          <w:rFonts w:asciiTheme="majorBidi" w:hAnsiTheme="majorBidi" w:cstheme="majorBidi"/>
          <w:bCs/>
          <w:lang w:val="en-GB"/>
        </w:rPr>
      </w:pPr>
    </w:p>
    <w:p w14:paraId="00276AAF" w14:textId="09611CFD" w:rsidR="006E18EA" w:rsidRPr="00B10073" w:rsidRDefault="00E402E6" w:rsidP="00172513">
      <w:pPr>
        <w:spacing w:line="360" w:lineRule="auto"/>
        <w:jc w:val="both"/>
        <w:rPr>
          <w:rFonts w:asciiTheme="majorBidi" w:hAnsiTheme="majorBidi" w:cstheme="majorBidi"/>
          <w:bCs/>
          <w:lang w:val="en-GB"/>
        </w:rPr>
      </w:pPr>
      <w:r>
        <w:rPr>
          <w:rFonts w:asciiTheme="majorBidi" w:hAnsiTheme="majorBidi" w:cstheme="majorBidi"/>
          <w:bCs/>
          <w:lang w:val="en-GB"/>
        </w:rPr>
        <w:t>The broader point is that s</w:t>
      </w:r>
      <w:r w:rsidR="006E18EA" w:rsidRPr="00B10073">
        <w:rPr>
          <w:rFonts w:asciiTheme="majorBidi" w:hAnsiTheme="majorBidi" w:cstheme="majorBidi"/>
          <w:bCs/>
          <w:lang w:val="en-GB"/>
        </w:rPr>
        <w:t xml:space="preserve">ustaining </w:t>
      </w:r>
      <w:r w:rsidR="006E18EA">
        <w:rPr>
          <w:rFonts w:asciiTheme="majorBidi" w:hAnsiTheme="majorBidi" w:cstheme="majorBidi"/>
          <w:bCs/>
          <w:lang w:val="en-GB"/>
        </w:rPr>
        <w:t>public engagement</w:t>
      </w:r>
      <w:r w:rsidR="006E18EA" w:rsidRPr="00B10073">
        <w:rPr>
          <w:rFonts w:asciiTheme="majorBidi" w:hAnsiTheme="majorBidi" w:cstheme="majorBidi"/>
          <w:bCs/>
          <w:lang w:val="en-GB"/>
        </w:rPr>
        <w:t xml:space="preserve"> in the face of inevitable disappointment remain</w:t>
      </w:r>
      <w:r w:rsidR="006E18EA">
        <w:rPr>
          <w:rFonts w:asciiTheme="majorBidi" w:hAnsiTheme="majorBidi" w:cstheme="majorBidi"/>
          <w:bCs/>
          <w:lang w:val="en-GB"/>
        </w:rPr>
        <w:t>s</w:t>
      </w:r>
      <w:r w:rsidR="006E18EA" w:rsidRPr="00B10073">
        <w:rPr>
          <w:rFonts w:asciiTheme="majorBidi" w:hAnsiTheme="majorBidi" w:cstheme="majorBidi"/>
          <w:bCs/>
          <w:lang w:val="en-GB"/>
        </w:rPr>
        <w:t xml:space="preserve"> a perennial challenge.</w:t>
      </w:r>
      <w:r>
        <w:rPr>
          <w:rFonts w:asciiTheme="majorBidi" w:hAnsiTheme="majorBidi" w:cstheme="majorBidi"/>
          <w:bCs/>
          <w:lang w:val="en-GB"/>
        </w:rPr>
        <w:t xml:space="preserve"> A recent effort to open up consultation about the direction of NHS Citizen has met with a flurry of criticism from online commentators—actors who have participated at various points of the process but have become disillusioned by what they see as a lack of real action and a growing disconnect between the organisers of NHS Citizen and the actors who participate in it.</w:t>
      </w:r>
      <w:r>
        <w:rPr>
          <w:rStyle w:val="EndnoteReference"/>
          <w:rFonts w:asciiTheme="majorBidi" w:hAnsiTheme="majorBidi" w:cstheme="majorBidi"/>
          <w:bCs/>
          <w:lang w:val="en-GB"/>
        </w:rPr>
        <w:endnoteReference w:id="28"/>
      </w:r>
    </w:p>
    <w:p w14:paraId="71B2CD6A" w14:textId="77777777" w:rsidR="006E18EA" w:rsidRDefault="006E18EA" w:rsidP="00172513">
      <w:pPr>
        <w:spacing w:line="360" w:lineRule="auto"/>
        <w:jc w:val="both"/>
        <w:rPr>
          <w:rFonts w:asciiTheme="majorBidi" w:hAnsiTheme="majorBidi" w:cstheme="majorBidi"/>
          <w:bCs/>
          <w:i/>
          <w:iCs/>
          <w:lang w:val="en-GB"/>
        </w:rPr>
      </w:pPr>
    </w:p>
    <w:p w14:paraId="5A29D736" w14:textId="77777777" w:rsidR="006E18EA" w:rsidRPr="00B10073" w:rsidRDefault="006E18EA" w:rsidP="00172513">
      <w:pPr>
        <w:spacing w:line="360" w:lineRule="auto"/>
        <w:jc w:val="both"/>
        <w:rPr>
          <w:rFonts w:asciiTheme="majorBidi" w:hAnsiTheme="majorBidi" w:cstheme="majorBidi"/>
          <w:bCs/>
          <w:i/>
          <w:iCs/>
          <w:lang w:val="en-GB"/>
        </w:rPr>
      </w:pPr>
    </w:p>
    <w:p w14:paraId="3D656A50" w14:textId="6AF13EE6" w:rsidR="006E18EA" w:rsidRPr="00B10073" w:rsidRDefault="006E18EA" w:rsidP="00172513">
      <w:pPr>
        <w:spacing w:line="360" w:lineRule="auto"/>
        <w:jc w:val="both"/>
        <w:rPr>
          <w:rFonts w:asciiTheme="majorBidi" w:hAnsiTheme="majorBidi" w:cstheme="majorBidi"/>
          <w:bCs/>
          <w:i/>
          <w:iCs/>
          <w:lang w:val="en-GB"/>
        </w:rPr>
      </w:pPr>
      <w:r>
        <w:rPr>
          <w:rFonts w:asciiTheme="majorBidi" w:hAnsiTheme="majorBidi" w:cstheme="majorBidi"/>
          <w:bCs/>
          <w:i/>
          <w:iCs/>
          <w:lang w:val="en-GB"/>
        </w:rPr>
        <w:t>The existential dilemma</w:t>
      </w:r>
      <w:r w:rsidRPr="00B10073">
        <w:rPr>
          <w:rFonts w:asciiTheme="majorBidi" w:hAnsiTheme="majorBidi" w:cstheme="majorBidi"/>
          <w:bCs/>
          <w:i/>
          <w:iCs/>
          <w:lang w:val="en-GB"/>
        </w:rPr>
        <w:t xml:space="preserve">: </w:t>
      </w:r>
      <w:r>
        <w:rPr>
          <w:rFonts w:asciiTheme="majorBidi" w:hAnsiTheme="majorBidi" w:cstheme="majorBidi"/>
          <w:bCs/>
          <w:i/>
          <w:iCs/>
          <w:lang w:val="en-GB"/>
        </w:rPr>
        <w:t>whether to elicit participation at all?</w:t>
      </w:r>
    </w:p>
    <w:p w14:paraId="346DC1DB" w14:textId="77777777" w:rsidR="006E18EA" w:rsidRPr="00B10073" w:rsidRDefault="006E18EA" w:rsidP="00172513">
      <w:pPr>
        <w:spacing w:line="360" w:lineRule="auto"/>
        <w:jc w:val="both"/>
        <w:rPr>
          <w:rFonts w:asciiTheme="majorBidi" w:hAnsiTheme="majorBidi" w:cstheme="majorBidi"/>
          <w:bCs/>
          <w:lang w:val="en-GB"/>
        </w:rPr>
      </w:pPr>
    </w:p>
    <w:p w14:paraId="4ED17843" w14:textId="3B36536F" w:rsidR="00334DA4" w:rsidRPr="00B10073" w:rsidRDefault="006E18EA">
      <w:pPr>
        <w:spacing w:line="360" w:lineRule="auto"/>
        <w:jc w:val="both"/>
        <w:rPr>
          <w:rFonts w:asciiTheme="majorBidi" w:hAnsiTheme="majorBidi" w:cstheme="majorBidi"/>
          <w:bCs/>
          <w:lang w:val="en-GB"/>
        </w:rPr>
      </w:pPr>
      <w:r w:rsidRPr="00685E65">
        <w:rPr>
          <w:rFonts w:asciiTheme="majorBidi" w:hAnsiTheme="majorBidi" w:cstheme="majorBidi"/>
          <w:bCs/>
          <w:lang w:val="en-GB"/>
        </w:rPr>
        <w:t>The third dilemma we have identified highlights the ‘existential’ questions faced by public administrations when it comes to</w:t>
      </w:r>
      <w:r w:rsidR="00052538">
        <w:rPr>
          <w:rFonts w:asciiTheme="majorBidi" w:hAnsiTheme="majorBidi" w:cstheme="majorBidi"/>
          <w:bCs/>
          <w:lang w:val="en-GB"/>
        </w:rPr>
        <w:t xml:space="preserve"> broad</w:t>
      </w:r>
      <w:r w:rsidRPr="00685E65">
        <w:rPr>
          <w:rFonts w:asciiTheme="majorBidi" w:hAnsiTheme="majorBidi" w:cstheme="majorBidi"/>
          <w:bCs/>
          <w:lang w:val="en-GB"/>
        </w:rPr>
        <w:t xml:space="preserve"> civil society engagement: how, to what extent, and to what end t</w:t>
      </w:r>
      <w:r w:rsidR="00E94A1A" w:rsidRPr="00685E65">
        <w:rPr>
          <w:rFonts w:asciiTheme="majorBidi" w:hAnsiTheme="majorBidi" w:cstheme="majorBidi"/>
          <w:bCs/>
          <w:lang w:val="en-GB"/>
        </w:rPr>
        <w:t>o engage?</w:t>
      </w:r>
      <w:r w:rsidR="00E94A1A">
        <w:rPr>
          <w:rFonts w:asciiTheme="majorBidi" w:hAnsiTheme="majorBidi" w:cstheme="majorBidi"/>
          <w:bCs/>
          <w:lang w:val="en-GB"/>
        </w:rPr>
        <w:t xml:space="preserve"> </w:t>
      </w:r>
      <w:r w:rsidR="006E29E1">
        <w:rPr>
          <w:rFonts w:asciiTheme="majorBidi" w:hAnsiTheme="majorBidi" w:cstheme="majorBidi"/>
          <w:bCs/>
          <w:lang w:val="en-GB"/>
        </w:rPr>
        <w:t>This i</w:t>
      </w:r>
      <w:r w:rsidR="00CE034B">
        <w:rPr>
          <w:rFonts w:asciiTheme="majorBidi" w:hAnsiTheme="majorBidi" w:cstheme="majorBidi"/>
          <w:bCs/>
          <w:lang w:val="en-GB"/>
        </w:rPr>
        <w:t xml:space="preserve">s deemed to be an ‘existential’ dilemma particularly as it challenges the </w:t>
      </w:r>
      <w:r w:rsidR="001C7C17">
        <w:rPr>
          <w:rFonts w:asciiTheme="majorBidi" w:hAnsiTheme="majorBidi" w:cstheme="majorBidi"/>
          <w:bCs/>
          <w:lang w:val="en-GB"/>
        </w:rPr>
        <w:t xml:space="preserve">very </w:t>
      </w:r>
      <w:r w:rsidR="00CE034B">
        <w:rPr>
          <w:rFonts w:asciiTheme="majorBidi" w:hAnsiTheme="majorBidi" w:cstheme="majorBidi"/>
          <w:bCs/>
          <w:lang w:val="en-GB"/>
        </w:rPr>
        <w:t>‘</w:t>
      </w:r>
      <w:r w:rsidR="00CE034B" w:rsidRPr="00052538">
        <w:rPr>
          <w:rFonts w:asciiTheme="majorBidi" w:hAnsiTheme="majorBidi" w:cstheme="majorBidi"/>
          <w:bCs/>
          <w:i/>
          <w:iCs/>
          <w:lang w:val="en-GB"/>
        </w:rPr>
        <w:t>reason of being’</w:t>
      </w:r>
      <w:r w:rsidR="00CE034B">
        <w:rPr>
          <w:rFonts w:asciiTheme="majorBidi" w:hAnsiTheme="majorBidi" w:cstheme="majorBidi"/>
          <w:bCs/>
          <w:lang w:val="en-GB"/>
        </w:rPr>
        <w:t xml:space="preserve"> of bureaucratic bodies, which, by </w:t>
      </w:r>
      <w:r w:rsidR="001C7C17">
        <w:rPr>
          <w:rFonts w:asciiTheme="majorBidi" w:hAnsiTheme="majorBidi" w:cstheme="majorBidi"/>
          <w:bCs/>
          <w:lang w:val="en-GB"/>
        </w:rPr>
        <w:t>their very design, are not intended to be participatory structures.</w:t>
      </w:r>
      <w:r w:rsidR="00CE034B">
        <w:rPr>
          <w:rFonts w:asciiTheme="majorBidi" w:hAnsiTheme="majorBidi" w:cstheme="majorBidi"/>
          <w:bCs/>
          <w:lang w:val="en-GB"/>
        </w:rPr>
        <w:t xml:space="preserve"> </w:t>
      </w:r>
      <w:r w:rsidR="00E94A1A">
        <w:rPr>
          <w:rFonts w:asciiTheme="majorBidi" w:hAnsiTheme="majorBidi" w:cstheme="majorBidi"/>
          <w:bCs/>
          <w:lang w:val="en-GB"/>
        </w:rPr>
        <w:t>More specifically, t</w:t>
      </w:r>
      <w:r w:rsidRPr="00B10073">
        <w:rPr>
          <w:rFonts w:asciiTheme="majorBidi" w:hAnsiTheme="majorBidi" w:cstheme="majorBidi"/>
          <w:bCs/>
          <w:lang w:val="en-GB"/>
        </w:rPr>
        <w:t>e</w:t>
      </w:r>
      <w:r w:rsidR="00E94A1A">
        <w:rPr>
          <w:rFonts w:asciiTheme="majorBidi" w:hAnsiTheme="majorBidi" w:cstheme="majorBidi"/>
          <w:bCs/>
          <w:lang w:val="en-GB"/>
        </w:rPr>
        <w:t>chnocratic</w:t>
      </w:r>
      <w:r w:rsidRPr="00B10073">
        <w:rPr>
          <w:rFonts w:asciiTheme="majorBidi" w:hAnsiTheme="majorBidi" w:cstheme="majorBidi"/>
          <w:bCs/>
          <w:lang w:val="en-GB"/>
        </w:rPr>
        <w:t xml:space="preserve"> bodies need to gauge what shape participation should take and what purpose it will serve. Lacking clear and institutionally agreed</w:t>
      </w:r>
      <w:r w:rsidR="00D06C98">
        <w:rPr>
          <w:rFonts w:asciiTheme="majorBidi" w:hAnsiTheme="majorBidi" w:cstheme="majorBidi"/>
          <w:bCs/>
          <w:lang w:val="en-GB"/>
        </w:rPr>
        <w:t xml:space="preserve"> answers to the questions above</w:t>
      </w:r>
      <w:r w:rsidRPr="00B10073">
        <w:rPr>
          <w:rFonts w:asciiTheme="majorBidi" w:hAnsiTheme="majorBidi" w:cstheme="majorBidi"/>
          <w:bCs/>
          <w:lang w:val="en-GB"/>
        </w:rPr>
        <w:t xml:space="preserve"> can pave the way to participatory ‘experiments’ conducted by technocratic bodies, as the Forum case above, that generate confusion and scepticism amongst those who take part in them</w:t>
      </w:r>
      <w:r w:rsidRPr="00B10073">
        <w:rPr>
          <w:rStyle w:val="EndnoteReference"/>
          <w:rFonts w:asciiTheme="majorBidi" w:hAnsiTheme="majorBidi" w:cstheme="majorBidi"/>
          <w:bCs/>
          <w:lang w:val="en-GB"/>
        </w:rPr>
        <w:endnoteReference w:id="29"/>
      </w:r>
      <w:r w:rsidRPr="00B10073">
        <w:rPr>
          <w:rFonts w:asciiTheme="majorBidi" w:hAnsiTheme="majorBidi" w:cstheme="majorBidi"/>
          <w:bCs/>
          <w:lang w:val="en-GB"/>
        </w:rPr>
        <w:t xml:space="preserve">. In the case of the Commission, the </w:t>
      </w:r>
      <w:r w:rsidR="00E97D2A">
        <w:rPr>
          <w:rFonts w:asciiTheme="majorBidi" w:hAnsiTheme="majorBidi" w:cstheme="majorBidi"/>
          <w:bCs/>
          <w:lang w:val="en-GB"/>
        </w:rPr>
        <w:t>participatio</w:t>
      </w:r>
      <w:r w:rsidRPr="00B10073">
        <w:rPr>
          <w:rFonts w:asciiTheme="majorBidi" w:hAnsiTheme="majorBidi" w:cstheme="majorBidi"/>
          <w:bCs/>
          <w:lang w:val="en-GB"/>
        </w:rPr>
        <w:t>n of civil society organisations in the Forum meetings was also intended to elicit the approval of the Member States for the EU’s new initiatives to uphold child rights at the national level. Civil society’s disengagement, however, meant that the Member States were reluctant to support the Commission-driven initiatives to tackle child rights violations</w:t>
      </w:r>
      <w:r>
        <w:rPr>
          <w:rStyle w:val="EndnoteReference"/>
          <w:rFonts w:asciiTheme="majorBidi" w:hAnsiTheme="majorBidi" w:cstheme="majorBidi"/>
          <w:bCs/>
          <w:lang w:val="en-GB"/>
        </w:rPr>
        <w:endnoteReference w:id="30"/>
      </w:r>
      <w:r w:rsidRPr="00B10073">
        <w:rPr>
          <w:rFonts w:asciiTheme="majorBidi" w:hAnsiTheme="majorBidi" w:cstheme="majorBidi"/>
          <w:bCs/>
          <w:lang w:val="en-GB"/>
        </w:rPr>
        <w:t>.</w:t>
      </w:r>
      <w:r w:rsidR="00705AB2" w:rsidRPr="00B10073">
        <w:rPr>
          <w:rFonts w:asciiTheme="majorBidi" w:hAnsiTheme="majorBidi" w:cstheme="majorBidi"/>
          <w:bCs/>
          <w:lang w:val="en-GB"/>
        </w:rPr>
        <w:t xml:space="preserve"> </w:t>
      </w:r>
    </w:p>
    <w:p w14:paraId="65A4E41E" w14:textId="77777777" w:rsidR="00943DFA" w:rsidRPr="00B10073" w:rsidRDefault="00943DFA" w:rsidP="00172513">
      <w:pPr>
        <w:spacing w:line="360" w:lineRule="auto"/>
        <w:jc w:val="both"/>
        <w:rPr>
          <w:rFonts w:asciiTheme="majorBidi" w:hAnsiTheme="majorBidi" w:cstheme="majorBidi"/>
          <w:bCs/>
          <w:lang w:val="en-GB"/>
        </w:rPr>
      </w:pPr>
    </w:p>
    <w:p w14:paraId="67897C66" w14:textId="60FF698F" w:rsidR="009F46A1" w:rsidRPr="00B10073" w:rsidRDefault="00943DFA" w:rsidP="00BD359A">
      <w:pPr>
        <w:spacing w:line="360" w:lineRule="auto"/>
        <w:jc w:val="both"/>
        <w:rPr>
          <w:rFonts w:asciiTheme="majorBidi" w:hAnsiTheme="majorBidi" w:cstheme="majorBidi"/>
          <w:bCs/>
          <w:lang w:val="en-GB"/>
        </w:rPr>
      </w:pPr>
      <w:r w:rsidRPr="00B10073">
        <w:rPr>
          <w:rFonts w:asciiTheme="majorBidi" w:hAnsiTheme="majorBidi" w:cstheme="majorBidi"/>
          <w:bCs/>
          <w:lang w:val="en-GB"/>
        </w:rPr>
        <w:t>It is too soon to tell whether any such repercussions might occur in the NHS Citizen case. As the NHS Citizen project has grown in scope and complexity, and particularly as it become</w:t>
      </w:r>
      <w:r w:rsidR="00F10920" w:rsidRPr="00B10073">
        <w:rPr>
          <w:rFonts w:asciiTheme="majorBidi" w:hAnsiTheme="majorBidi" w:cstheme="majorBidi"/>
          <w:bCs/>
          <w:lang w:val="en-GB"/>
        </w:rPr>
        <w:t>s</w:t>
      </w:r>
      <w:r w:rsidRPr="00B10073">
        <w:rPr>
          <w:rFonts w:asciiTheme="majorBidi" w:hAnsiTheme="majorBidi" w:cstheme="majorBidi"/>
          <w:bCs/>
          <w:lang w:val="en-GB"/>
        </w:rPr>
        <w:t xml:space="preserve"> subject to more aggressive publicity in the upcoming ‘implementation phase’</w:t>
      </w:r>
      <w:r w:rsidR="00F45C70" w:rsidRPr="00B10073">
        <w:rPr>
          <w:rFonts w:asciiTheme="majorBidi" w:hAnsiTheme="majorBidi" w:cstheme="majorBidi"/>
          <w:bCs/>
          <w:lang w:val="en-GB"/>
        </w:rPr>
        <w:t>,</w:t>
      </w:r>
      <w:r w:rsidRPr="00B10073">
        <w:rPr>
          <w:rFonts w:asciiTheme="majorBidi" w:hAnsiTheme="majorBidi" w:cstheme="majorBidi"/>
          <w:bCs/>
          <w:lang w:val="en-GB"/>
        </w:rPr>
        <w:t xml:space="preserve"> the stakes only get higher. </w:t>
      </w:r>
      <w:r w:rsidR="00A96119" w:rsidRPr="00B10073">
        <w:rPr>
          <w:rFonts w:asciiTheme="majorBidi" w:hAnsiTheme="majorBidi" w:cstheme="majorBidi"/>
          <w:bCs/>
          <w:lang w:val="en-GB"/>
        </w:rPr>
        <w:t>On the one hand, c</w:t>
      </w:r>
      <w:r w:rsidRPr="00B10073">
        <w:rPr>
          <w:rFonts w:asciiTheme="majorBidi" w:hAnsiTheme="majorBidi" w:cstheme="majorBidi"/>
          <w:bCs/>
          <w:lang w:val="en-GB"/>
        </w:rPr>
        <w:t xml:space="preserve">ontinued </w:t>
      </w:r>
      <w:r w:rsidR="00F10920" w:rsidRPr="00B10073">
        <w:rPr>
          <w:rFonts w:asciiTheme="majorBidi" w:hAnsiTheme="majorBidi" w:cstheme="majorBidi"/>
          <w:bCs/>
          <w:lang w:val="en-GB"/>
        </w:rPr>
        <w:t>(</w:t>
      </w:r>
      <w:r w:rsidRPr="00B10073">
        <w:rPr>
          <w:rFonts w:asciiTheme="majorBidi" w:hAnsiTheme="majorBidi" w:cstheme="majorBidi"/>
          <w:bCs/>
          <w:lang w:val="en-GB"/>
        </w:rPr>
        <w:t>qualified</w:t>
      </w:r>
      <w:r w:rsidR="00F10920" w:rsidRPr="00B10073">
        <w:rPr>
          <w:rFonts w:asciiTheme="majorBidi" w:hAnsiTheme="majorBidi" w:cstheme="majorBidi"/>
          <w:bCs/>
          <w:lang w:val="en-GB"/>
        </w:rPr>
        <w:t>)</w:t>
      </w:r>
      <w:r w:rsidRPr="00B10073">
        <w:rPr>
          <w:rFonts w:asciiTheme="majorBidi" w:hAnsiTheme="majorBidi" w:cstheme="majorBidi"/>
          <w:bCs/>
          <w:lang w:val="en-GB"/>
        </w:rPr>
        <w:t xml:space="preserve"> success will </w:t>
      </w:r>
      <w:r w:rsidRPr="00B10073">
        <w:rPr>
          <w:rFonts w:asciiTheme="majorBidi" w:hAnsiTheme="majorBidi" w:cstheme="majorBidi"/>
          <w:bCs/>
          <w:lang w:val="en-GB"/>
        </w:rPr>
        <w:lastRenderedPageBreak/>
        <w:t>rest on creeping ‘cultural change’ within NHS England, as well as careful, ongoing navigation of obstacles and man</w:t>
      </w:r>
      <w:r w:rsidR="00F45C70" w:rsidRPr="00B10073">
        <w:rPr>
          <w:rFonts w:asciiTheme="majorBidi" w:hAnsiTheme="majorBidi" w:cstheme="majorBidi"/>
          <w:bCs/>
          <w:lang w:val="en-GB"/>
        </w:rPr>
        <w:t>a</w:t>
      </w:r>
      <w:r w:rsidRPr="00B10073">
        <w:rPr>
          <w:rFonts w:asciiTheme="majorBidi" w:hAnsiTheme="majorBidi" w:cstheme="majorBidi"/>
          <w:bCs/>
          <w:lang w:val="en-GB"/>
        </w:rPr>
        <w:t>gement of trade-offs</w:t>
      </w:r>
      <w:r w:rsidR="00F45C70" w:rsidRPr="00B10073">
        <w:rPr>
          <w:rFonts w:asciiTheme="majorBidi" w:hAnsiTheme="majorBidi" w:cstheme="majorBidi"/>
          <w:bCs/>
          <w:lang w:val="en-GB"/>
        </w:rPr>
        <w:t xml:space="preserve"> among the powerful interests associated with health governance</w:t>
      </w:r>
      <w:r w:rsidRPr="00B10073">
        <w:rPr>
          <w:rFonts w:asciiTheme="majorBidi" w:hAnsiTheme="majorBidi" w:cstheme="majorBidi"/>
          <w:bCs/>
          <w:lang w:val="en-GB"/>
        </w:rPr>
        <w:t xml:space="preserve">. </w:t>
      </w:r>
      <w:r w:rsidR="00D4584B" w:rsidRPr="00B10073">
        <w:rPr>
          <w:rFonts w:asciiTheme="majorBidi" w:hAnsiTheme="majorBidi" w:cstheme="majorBidi"/>
          <w:bCs/>
          <w:lang w:val="en-GB"/>
        </w:rPr>
        <w:t>On the other hand, f</w:t>
      </w:r>
      <w:r w:rsidR="00F45C70" w:rsidRPr="00B10073">
        <w:rPr>
          <w:rFonts w:asciiTheme="majorBidi" w:hAnsiTheme="majorBidi" w:cstheme="majorBidi"/>
          <w:bCs/>
          <w:lang w:val="en-GB"/>
        </w:rPr>
        <w:t xml:space="preserve">ailure </w:t>
      </w:r>
      <w:r w:rsidR="00F10920" w:rsidRPr="00B10073">
        <w:rPr>
          <w:rFonts w:asciiTheme="majorBidi" w:hAnsiTheme="majorBidi" w:cstheme="majorBidi"/>
          <w:bCs/>
          <w:lang w:val="en-GB"/>
        </w:rPr>
        <w:t>to embed and sustain the NHS Citizen initi</w:t>
      </w:r>
      <w:r w:rsidR="00A96119" w:rsidRPr="00B10073">
        <w:rPr>
          <w:rFonts w:asciiTheme="majorBidi" w:hAnsiTheme="majorBidi" w:cstheme="majorBidi"/>
          <w:bCs/>
          <w:lang w:val="en-GB"/>
        </w:rPr>
        <w:t xml:space="preserve">ative </w:t>
      </w:r>
      <w:r w:rsidR="00F45C70" w:rsidRPr="00B10073">
        <w:rPr>
          <w:rFonts w:asciiTheme="majorBidi" w:hAnsiTheme="majorBidi" w:cstheme="majorBidi"/>
          <w:bCs/>
          <w:lang w:val="en-GB"/>
        </w:rPr>
        <w:t>will bring with it fresh and more probing challenges still. Indeed, having raised</w:t>
      </w:r>
      <w:r w:rsidRPr="00B10073">
        <w:rPr>
          <w:rFonts w:asciiTheme="majorBidi" w:hAnsiTheme="majorBidi" w:cstheme="majorBidi"/>
          <w:bCs/>
          <w:lang w:val="en-GB"/>
        </w:rPr>
        <w:t xml:space="preserve"> hopes of consequential and authentic public engagement, </w:t>
      </w:r>
      <w:r w:rsidR="00F45C70" w:rsidRPr="00B10073">
        <w:rPr>
          <w:rFonts w:asciiTheme="majorBidi" w:hAnsiTheme="majorBidi" w:cstheme="majorBidi"/>
          <w:bCs/>
          <w:lang w:val="en-GB"/>
        </w:rPr>
        <w:t>only to dash</w:t>
      </w:r>
      <w:r w:rsidRPr="00B10073">
        <w:rPr>
          <w:rFonts w:asciiTheme="majorBidi" w:hAnsiTheme="majorBidi" w:cstheme="majorBidi"/>
          <w:bCs/>
          <w:lang w:val="en-GB"/>
        </w:rPr>
        <w:t xml:space="preserve"> them</w:t>
      </w:r>
      <w:r w:rsidR="00D4584B" w:rsidRPr="00B10073">
        <w:rPr>
          <w:rFonts w:asciiTheme="majorBidi" w:hAnsiTheme="majorBidi" w:cstheme="majorBidi"/>
          <w:bCs/>
          <w:lang w:val="en-GB"/>
        </w:rPr>
        <w:t xml:space="preserve"> at the last</w:t>
      </w:r>
      <w:r w:rsidRPr="00B10073">
        <w:rPr>
          <w:rFonts w:asciiTheme="majorBidi" w:hAnsiTheme="majorBidi" w:cstheme="majorBidi"/>
          <w:bCs/>
          <w:lang w:val="en-GB"/>
        </w:rPr>
        <w:t xml:space="preserve">, </w:t>
      </w:r>
      <w:r w:rsidR="00F10920" w:rsidRPr="00B10073">
        <w:rPr>
          <w:rFonts w:asciiTheme="majorBidi" w:hAnsiTheme="majorBidi" w:cstheme="majorBidi"/>
          <w:bCs/>
          <w:lang w:val="en-GB"/>
        </w:rPr>
        <w:t>NHS England</w:t>
      </w:r>
      <w:r w:rsidR="00D4584B" w:rsidRPr="00B10073">
        <w:rPr>
          <w:rFonts w:asciiTheme="majorBidi" w:hAnsiTheme="majorBidi" w:cstheme="majorBidi"/>
          <w:bCs/>
          <w:lang w:val="en-GB"/>
        </w:rPr>
        <w:t xml:space="preserve"> risks </w:t>
      </w:r>
      <w:r w:rsidRPr="00B10073">
        <w:rPr>
          <w:rFonts w:asciiTheme="majorBidi" w:hAnsiTheme="majorBidi" w:cstheme="majorBidi"/>
          <w:bCs/>
          <w:lang w:val="en-GB"/>
        </w:rPr>
        <w:t>invit</w:t>
      </w:r>
      <w:r w:rsidR="00D4584B" w:rsidRPr="00B10073">
        <w:rPr>
          <w:rFonts w:asciiTheme="majorBidi" w:hAnsiTheme="majorBidi" w:cstheme="majorBidi"/>
          <w:bCs/>
          <w:lang w:val="en-GB"/>
        </w:rPr>
        <w:t>ing</w:t>
      </w:r>
      <w:r w:rsidRPr="00B10073">
        <w:rPr>
          <w:rFonts w:asciiTheme="majorBidi" w:hAnsiTheme="majorBidi" w:cstheme="majorBidi"/>
          <w:bCs/>
          <w:lang w:val="en-GB"/>
        </w:rPr>
        <w:t xml:space="preserve"> </w:t>
      </w:r>
      <w:r w:rsidR="00F10920" w:rsidRPr="00B10073">
        <w:rPr>
          <w:rFonts w:asciiTheme="majorBidi" w:hAnsiTheme="majorBidi" w:cstheme="majorBidi"/>
          <w:bCs/>
          <w:lang w:val="en-GB"/>
        </w:rPr>
        <w:t xml:space="preserve">significant </w:t>
      </w:r>
      <w:r w:rsidR="00D4584B" w:rsidRPr="00B10073">
        <w:rPr>
          <w:rFonts w:asciiTheme="majorBidi" w:hAnsiTheme="majorBidi" w:cstheme="majorBidi"/>
          <w:bCs/>
          <w:lang w:val="en-GB"/>
        </w:rPr>
        <w:t xml:space="preserve">political </w:t>
      </w:r>
      <w:r w:rsidRPr="00B10073">
        <w:rPr>
          <w:rFonts w:asciiTheme="majorBidi" w:hAnsiTheme="majorBidi" w:cstheme="majorBidi"/>
          <w:bCs/>
          <w:lang w:val="en-GB"/>
        </w:rPr>
        <w:t>scrutiny and interference.</w:t>
      </w:r>
      <w:r w:rsidR="00D4584B" w:rsidRPr="00B10073">
        <w:rPr>
          <w:rFonts w:asciiTheme="majorBidi" w:hAnsiTheme="majorBidi" w:cstheme="majorBidi"/>
          <w:bCs/>
          <w:lang w:val="en-GB"/>
        </w:rPr>
        <w:t xml:space="preserve"> Either way, the operational focus on output legitimacy becomes hard to sustain.</w:t>
      </w:r>
      <w:r w:rsidRPr="00B10073">
        <w:rPr>
          <w:rFonts w:asciiTheme="majorBidi" w:hAnsiTheme="majorBidi" w:cstheme="majorBidi"/>
          <w:bCs/>
          <w:lang w:val="en-GB"/>
        </w:rPr>
        <w:t xml:space="preserve"> </w:t>
      </w:r>
    </w:p>
    <w:p w14:paraId="4B267B3F" w14:textId="77777777" w:rsidR="00177777" w:rsidRDefault="00177777" w:rsidP="00172513">
      <w:pPr>
        <w:spacing w:line="360" w:lineRule="auto"/>
        <w:jc w:val="both"/>
        <w:rPr>
          <w:rFonts w:asciiTheme="majorBidi" w:hAnsiTheme="majorBidi" w:cstheme="majorBidi"/>
          <w:b/>
          <w:lang w:val="en-GB"/>
        </w:rPr>
      </w:pPr>
    </w:p>
    <w:p w14:paraId="49117CAA" w14:textId="77777777" w:rsidR="00C04502" w:rsidRPr="00B10073" w:rsidRDefault="00C04502" w:rsidP="00172513">
      <w:pPr>
        <w:spacing w:line="360" w:lineRule="auto"/>
        <w:jc w:val="both"/>
        <w:rPr>
          <w:rFonts w:asciiTheme="majorBidi" w:hAnsiTheme="majorBidi" w:cstheme="majorBidi"/>
          <w:b/>
          <w:lang w:val="en-GB"/>
        </w:rPr>
      </w:pPr>
    </w:p>
    <w:p w14:paraId="5B5F3883" w14:textId="545691F3" w:rsidR="00B75696" w:rsidRPr="00B10073" w:rsidRDefault="000E19F0" w:rsidP="00172513">
      <w:pPr>
        <w:spacing w:line="360" w:lineRule="auto"/>
        <w:jc w:val="both"/>
        <w:rPr>
          <w:rFonts w:asciiTheme="majorBidi" w:hAnsiTheme="majorBidi" w:cstheme="majorBidi"/>
          <w:b/>
          <w:lang w:val="en-GB"/>
        </w:rPr>
      </w:pPr>
      <w:r w:rsidRPr="00B10073">
        <w:rPr>
          <w:rFonts w:asciiTheme="majorBidi" w:hAnsiTheme="majorBidi" w:cstheme="majorBidi"/>
          <w:b/>
          <w:lang w:val="en-GB"/>
        </w:rPr>
        <w:t>Conclusion</w:t>
      </w:r>
    </w:p>
    <w:p w14:paraId="43F620D6" w14:textId="77777777" w:rsidR="000E19F0" w:rsidRPr="00B10073" w:rsidRDefault="000E19F0" w:rsidP="00172513">
      <w:pPr>
        <w:spacing w:line="360" w:lineRule="auto"/>
        <w:jc w:val="both"/>
        <w:rPr>
          <w:rFonts w:asciiTheme="majorBidi" w:hAnsiTheme="majorBidi" w:cstheme="majorBidi"/>
          <w:b/>
          <w:lang w:val="en-GB"/>
        </w:rPr>
      </w:pPr>
    </w:p>
    <w:p w14:paraId="18141B2C" w14:textId="2E2BA0FE" w:rsidR="00454328" w:rsidRPr="00B10073" w:rsidRDefault="0052465E">
      <w:pPr>
        <w:spacing w:line="360" w:lineRule="auto"/>
        <w:jc w:val="both"/>
        <w:rPr>
          <w:rFonts w:asciiTheme="majorBidi" w:hAnsiTheme="majorBidi" w:cstheme="majorBidi"/>
          <w:bCs/>
          <w:lang w:val="en-GB"/>
        </w:rPr>
      </w:pPr>
      <w:r>
        <w:rPr>
          <w:rFonts w:asciiTheme="majorBidi" w:hAnsiTheme="majorBidi" w:cstheme="majorBidi"/>
          <w:bCs/>
          <w:lang w:val="en-GB"/>
        </w:rPr>
        <w:t>Are</w:t>
      </w:r>
      <w:r w:rsidR="00F10920" w:rsidRPr="00B10073">
        <w:rPr>
          <w:rFonts w:asciiTheme="majorBidi" w:hAnsiTheme="majorBidi" w:cstheme="majorBidi"/>
          <w:bCs/>
          <w:lang w:val="en-GB"/>
        </w:rPr>
        <w:t xml:space="preserve"> </w:t>
      </w:r>
      <w:r w:rsidR="00A46B6B">
        <w:rPr>
          <w:rFonts w:asciiTheme="majorBidi" w:hAnsiTheme="majorBidi" w:cstheme="majorBidi"/>
          <w:bCs/>
          <w:lang w:val="en-GB"/>
        </w:rPr>
        <w:t>technocratic</w:t>
      </w:r>
      <w:r w:rsidR="00A46B6B" w:rsidRPr="00B10073">
        <w:rPr>
          <w:rFonts w:asciiTheme="majorBidi" w:hAnsiTheme="majorBidi" w:cstheme="majorBidi"/>
          <w:bCs/>
          <w:lang w:val="en-GB"/>
        </w:rPr>
        <w:t xml:space="preserve"> </w:t>
      </w:r>
      <w:r w:rsidR="00F10920" w:rsidRPr="00B10073">
        <w:rPr>
          <w:rFonts w:asciiTheme="majorBidi" w:hAnsiTheme="majorBidi" w:cstheme="majorBidi"/>
          <w:bCs/>
          <w:lang w:val="en-GB"/>
        </w:rPr>
        <w:t>bodies damned if they do</w:t>
      </w:r>
      <w:r w:rsidR="00E94A1A">
        <w:rPr>
          <w:rFonts w:asciiTheme="majorBidi" w:hAnsiTheme="majorBidi" w:cstheme="majorBidi"/>
          <w:bCs/>
          <w:lang w:val="en-GB"/>
        </w:rPr>
        <w:t xml:space="preserve"> not</w:t>
      </w:r>
      <w:r w:rsidR="00F10920" w:rsidRPr="00B10073">
        <w:rPr>
          <w:rFonts w:asciiTheme="majorBidi" w:hAnsiTheme="majorBidi" w:cstheme="majorBidi"/>
          <w:bCs/>
          <w:lang w:val="en-GB"/>
        </w:rPr>
        <w:t xml:space="preserve"> </w:t>
      </w:r>
      <w:r w:rsidR="00A46B6B">
        <w:rPr>
          <w:rFonts w:asciiTheme="majorBidi" w:hAnsiTheme="majorBidi" w:cstheme="majorBidi"/>
          <w:bCs/>
          <w:lang w:val="en-GB"/>
        </w:rPr>
        <w:t>elicit participation</w:t>
      </w:r>
      <w:r w:rsidR="001225FE">
        <w:rPr>
          <w:rFonts w:asciiTheme="majorBidi" w:hAnsiTheme="majorBidi" w:cstheme="majorBidi"/>
          <w:bCs/>
          <w:lang w:val="en-GB"/>
        </w:rPr>
        <w:t>, but damned if they do, too</w:t>
      </w:r>
      <w:r>
        <w:rPr>
          <w:rFonts w:asciiTheme="majorBidi" w:hAnsiTheme="majorBidi" w:cstheme="majorBidi"/>
          <w:bCs/>
          <w:lang w:val="en-GB"/>
        </w:rPr>
        <w:t>?</w:t>
      </w:r>
      <w:r w:rsidR="00F10920" w:rsidRPr="00B10073">
        <w:rPr>
          <w:rFonts w:asciiTheme="majorBidi" w:hAnsiTheme="majorBidi" w:cstheme="majorBidi"/>
          <w:bCs/>
          <w:lang w:val="en-GB"/>
        </w:rPr>
        <w:t xml:space="preserve"> </w:t>
      </w:r>
      <w:r w:rsidR="00D4584B" w:rsidRPr="00B10073">
        <w:rPr>
          <w:rFonts w:asciiTheme="majorBidi" w:hAnsiTheme="majorBidi" w:cstheme="majorBidi"/>
          <w:bCs/>
          <w:lang w:val="en-GB"/>
        </w:rPr>
        <w:t xml:space="preserve">In this conclusion, we seek to unpack the lessons that this analysis holds for our understanding of how </w:t>
      </w:r>
      <w:r w:rsidR="00A46B6B">
        <w:rPr>
          <w:rFonts w:asciiTheme="majorBidi" w:hAnsiTheme="majorBidi" w:cstheme="majorBidi"/>
          <w:bCs/>
          <w:lang w:val="en-GB"/>
        </w:rPr>
        <w:t xml:space="preserve">technocratic </w:t>
      </w:r>
      <w:r w:rsidR="00D4584B" w:rsidRPr="00B10073">
        <w:rPr>
          <w:rFonts w:asciiTheme="majorBidi" w:hAnsiTheme="majorBidi" w:cstheme="majorBidi"/>
          <w:bCs/>
          <w:lang w:val="en-GB"/>
        </w:rPr>
        <w:t xml:space="preserve">bodies build and maintain </w:t>
      </w:r>
      <w:r w:rsidR="00D62883">
        <w:rPr>
          <w:rFonts w:asciiTheme="majorBidi" w:hAnsiTheme="majorBidi" w:cstheme="majorBidi"/>
          <w:bCs/>
          <w:lang w:val="en-GB"/>
        </w:rPr>
        <w:t xml:space="preserve">throughput </w:t>
      </w:r>
      <w:r w:rsidR="00D4584B" w:rsidRPr="00B10073">
        <w:rPr>
          <w:rFonts w:asciiTheme="majorBidi" w:hAnsiTheme="majorBidi" w:cstheme="majorBidi"/>
          <w:bCs/>
          <w:lang w:val="en-GB"/>
        </w:rPr>
        <w:t>legitimacy</w:t>
      </w:r>
      <w:r w:rsidR="00D62883">
        <w:rPr>
          <w:rFonts w:asciiTheme="majorBidi" w:hAnsiTheme="majorBidi" w:cstheme="majorBidi"/>
          <w:bCs/>
          <w:lang w:val="en-GB"/>
        </w:rPr>
        <w:t>, qua inclusiveness and openness to civil society</w:t>
      </w:r>
      <w:r w:rsidR="00D4584B" w:rsidRPr="00B10073">
        <w:rPr>
          <w:rFonts w:asciiTheme="majorBidi" w:hAnsiTheme="majorBidi" w:cstheme="majorBidi"/>
          <w:bCs/>
          <w:lang w:val="en-GB"/>
        </w:rPr>
        <w:t>.</w:t>
      </w:r>
    </w:p>
    <w:p w14:paraId="5F6308AA" w14:textId="77777777" w:rsidR="00393C40" w:rsidRPr="00B10073" w:rsidRDefault="00393C40" w:rsidP="00172513">
      <w:pPr>
        <w:spacing w:line="360" w:lineRule="auto"/>
        <w:jc w:val="both"/>
        <w:rPr>
          <w:rFonts w:asciiTheme="majorBidi" w:hAnsiTheme="majorBidi" w:cstheme="majorBidi"/>
          <w:bCs/>
          <w:lang w:val="en-GB"/>
        </w:rPr>
      </w:pPr>
    </w:p>
    <w:p w14:paraId="75504509" w14:textId="210D3DF3" w:rsidR="00393C40" w:rsidRPr="00B10073" w:rsidRDefault="00393C40" w:rsidP="003C0786">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The first and most obvious lesson is that </w:t>
      </w:r>
      <w:r w:rsidR="00DD3DB0" w:rsidRPr="00BD359A">
        <w:rPr>
          <w:rFonts w:asciiTheme="majorBidi" w:hAnsiTheme="majorBidi" w:cstheme="majorBidi"/>
          <w:bCs/>
          <w:i/>
          <w:iCs/>
          <w:lang w:val="en-GB"/>
        </w:rPr>
        <w:t>participatory mechanisms</w:t>
      </w:r>
      <w:r w:rsidRPr="00BD359A">
        <w:rPr>
          <w:rFonts w:asciiTheme="majorBidi" w:hAnsiTheme="majorBidi" w:cstheme="majorBidi"/>
          <w:bCs/>
          <w:i/>
          <w:iCs/>
          <w:lang w:val="en-GB"/>
        </w:rPr>
        <w:t xml:space="preserve"> </w:t>
      </w:r>
      <w:r w:rsidR="00DD3DB0" w:rsidRPr="00BD359A">
        <w:rPr>
          <w:rFonts w:asciiTheme="majorBidi" w:hAnsiTheme="majorBidi" w:cstheme="majorBidi"/>
          <w:bCs/>
          <w:i/>
          <w:iCs/>
          <w:lang w:val="en-GB"/>
        </w:rPr>
        <w:t>are</w:t>
      </w:r>
      <w:r w:rsidRPr="00BD359A">
        <w:rPr>
          <w:rFonts w:asciiTheme="majorBidi" w:hAnsiTheme="majorBidi" w:cstheme="majorBidi"/>
          <w:bCs/>
          <w:i/>
          <w:iCs/>
          <w:lang w:val="en-GB"/>
        </w:rPr>
        <w:t xml:space="preserve"> no simple institutional fix to </w:t>
      </w:r>
      <w:r w:rsidR="00EB2812" w:rsidRPr="00BD359A">
        <w:rPr>
          <w:rFonts w:asciiTheme="majorBidi" w:hAnsiTheme="majorBidi" w:cstheme="majorBidi"/>
          <w:bCs/>
          <w:i/>
          <w:iCs/>
          <w:lang w:val="en-GB"/>
        </w:rPr>
        <w:t>the</w:t>
      </w:r>
      <w:r w:rsidRPr="00BD359A">
        <w:rPr>
          <w:rFonts w:asciiTheme="majorBidi" w:hAnsiTheme="majorBidi" w:cstheme="majorBidi"/>
          <w:bCs/>
          <w:i/>
          <w:iCs/>
          <w:lang w:val="en-GB"/>
        </w:rPr>
        <w:t xml:space="preserve"> perceived </w:t>
      </w:r>
      <w:r w:rsidR="007B092A" w:rsidRPr="00BD359A">
        <w:rPr>
          <w:rFonts w:asciiTheme="majorBidi" w:hAnsiTheme="majorBidi" w:cstheme="majorBidi"/>
          <w:bCs/>
          <w:i/>
          <w:iCs/>
          <w:lang w:val="en-GB"/>
        </w:rPr>
        <w:t xml:space="preserve">legitimacy </w:t>
      </w:r>
      <w:r w:rsidRPr="00BD359A">
        <w:rPr>
          <w:rFonts w:asciiTheme="majorBidi" w:hAnsiTheme="majorBidi" w:cstheme="majorBidi"/>
          <w:bCs/>
          <w:i/>
          <w:iCs/>
          <w:lang w:val="en-GB"/>
        </w:rPr>
        <w:t>deficit</w:t>
      </w:r>
      <w:r w:rsidR="00EB2812" w:rsidRPr="00BD359A">
        <w:rPr>
          <w:rFonts w:asciiTheme="majorBidi" w:hAnsiTheme="majorBidi" w:cstheme="majorBidi"/>
          <w:bCs/>
          <w:i/>
          <w:iCs/>
          <w:lang w:val="en-GB"/>
        </w:rPr>
        <w:t xml:space="preserve">s of </w:t>
      </w:r>
      <w:r w:rsidR="00A46B6B" w:rsidRPr="00BD359A">
        <w:rPr>
          <w:rFonts w:asciiTheme="majorBidi" w:hAnsiTheme="majorBidi" w:cstheme="majorBidi"/>
          <w:bCs/>
          <w:i/>
          <w:iCs/>
          <w:lang w:val="en-GB"/>
        </w:rPr>
        <w:t xml:space="preserve">technocratic </w:t>
      </w:r>
      <w:r w:rsidR="00EB2812" w:rsidRPr="00BD359A">
        <w:rPr>
          <w:rFonts w:asciiTheme="majorBidi" w:hAnsiTheme="majorBidi" w:cstheme="majorBidi"/>
          <w:bCs/>
          <w:i/>
          <w:iCs/>
          <w:lang w:val="en-GB"/>
        </w:rPr>
        <w:t>bodies</w:t>
      </w:r>
      <w:r w:rsidRPr="00B10073">
        <w:rPr>
          <w:rFonts w:asciiTheme="majorBidi" w:hAnsiTheme="majorBidi" w:cstheme="majorBidi"/>
          <w:bCs/>
          <w:lang w:val="en-GB"/>
        </w:rPr>
        <w:t xml:space="preserve">. </w:t>
      </w:r>
      <w:r w:rsidR="00805FA7">
        <w:rPr>
          <w:rFonts w:asciiTheme="majorBidi" w:hAnsiTheme="majorBidi" w:cstheme="majorBidi"/>
          <w:bCs/>
          <w:lang w:val="en-GB"/>
        </w:rPr>
        <w:t>In fact, w</w:t>
      </w:r>
      <w:r w:rsidR="00A46B6B">
        <w:rPr>
          <w:rFonts w:asciiTheme="majorBidi" w:hAnsiTheme="majorBidi" w:cstheme="majorBidi"/>
          <w:bCs/>
          <w:lang w:val="en-GB"/>
        </w:rPr>
        <w:t>e learn from the Forum case,</w:t>
      </w:r>
      <w:r w:rsidR="00A46B6B" w:rsidRPr="00B10073">
        <w:rPr>
          <w:rFonts w:asciiTheme="majorBidi" w:hAnsiTheme="majorBidi" w:cstheme="majorBidi"/>
          <w:bCs/>
          <w:lang w:val="en-GB"/>
        </w:rPr>
        <w:t xml:space="preserve"> tokenistic engagement undertaken under the premise of a quick fix can provoke deeper cynicism among civil society actors and further reproduce an unflattering, undemocratic image. </w:t>
      </w:r>
      <w:r w:rsidR="00A46B6B">
        <w:rPr>
          <w:rFonts w:asciiTheme="majorBidi" w:hAnsiTheme="majorBidi" w:cstheme="majorBidi"/>
          <w:bCs/>
          <w:lang w:val="en-GB"/>
        </w:rPr>
        <w:t xml:space="preserve">Certainly, </w:t>
      </w:r>
      <w:r w:rsidR="00805FA7">
        <w:rPr>
          <w:rFonts w:asciiTheme="majorBidi" w:hAnsiTheme="majorBidi" w:cstheme="majorBidi"/>
          <w:bCs/>
          <w:lang w:val="en-GB"/>
        </w:rPr>
        <w:t>of course</w:t>
      </w:r>
      <w:r w:rsidR="00A46B6B">
        <w:rPr>
          <w:rFonts w:asciiTheme="majorBidi" w:hAnsiTheme="majorBidi" w:cstheme="majorBidi"/>
          <w:bCs/>
          <w:lang w:val="en-GB"/>
        </w:rPr>
        <w:t>, there is reason to think that such a ‘fix’ might be harder to achieve</w:t>
      </w:r>
      <w:r w:rsidR="00A46B6B" w:rsidRPr="00A46B6B">
        <w:rPr>
          <w:rFonts w:asciiTheme="majorBidi" w:hAnsiTheme="majorBidi" w:cstheme="majorBidi"/>
          <w:bCs/>
          <w:lang w:val="en-GB"/>
        </w:rPr>
        <w:t xml:space="preserve"> at the </w:t>
      </w:r>
      <w:r w:rsidR="00805FA7">
        <w:rPr>
          <w:rFonts w:asciiTheme="majorBidi" w:hAnsiTheme="majorBidi" w:cstheme="majorBidi"/>
          <w:bCs/>
          <w:lang w:val="en-GB"/>
        </w:rPr>
        <w:t>EU level</w:t>
      </w:r>
      <w:r w:rsidR="00A46B6B" w:rsidRPr="00A46B6B">
        <w:rPr>
          <w:rFonts w:asciiTheme="majorBidi" w:hAnsiTheme="majorBidi" w:cstheme="majorBidi"/>
          <w:bCs/>
          <w:lang w:val="en-GB"/>
        </w:rPr>
        <w:t xml:space="preserve">. </w:t>
      </w:r>
      <w:r w:rsidRPr="00B10073">
        <w:rPr>
          <w:rFonts w:asciiTheme="majorBidi" w:hAnsiTheme="majorBidi" w:cstheme="majorBidi"/>
          <w:bCs/>
          <w:lang w:val="en-GB"/>
        </w:rPr>
        <w:t xml:space="preserve">But </w:t>
      </w:r>
      <w:r w:rsidR="00A46B6B">
        <w:rPr>
          <w:rFonts w:asciiTheme="majorBidi" w:hAnsiTheme="majorBidi" w:cstheme="majorBidi"/>
          <w:bCs/>
          <w:lang w:val="en-GB"/>
        </w:rPr>
        <w:t xml:space="preserve">we see that </w:t>
      </w:r>
      <w:r w:rsidRPr="00B10073">
        <w:rPr>
          <w:rFonts w:asciiTheme="majorBidi" w:hAnsiTheme="majorBidi" w:cstheme="majorBidi"/>
          <w:bCs/>
          <w:lang w:val="en-GB"/>
        </w:rPr>
        <w:t>even</w:t>
      </w:r>
      <w:r w:rsidR="00A46B6B">
        <w:rPr>
          <w:rFonts w:asciiTheme="majorBidi" w:hAnsiTheme="majorBidi" w:cstheme="majorBidi"/>
          <w:bCs/>
          <w:lang w:val="en-GB"/>
        </w:rPr>
        <w:t xml:space="preserve"> in the more </w:t>
      </w:r>
      <w:r w:rsidR="00805FA7">
        <w:rPr>
          <w:rFonts w:asciiTheme="majorBidi" w:hAnsiTheme="majorBidi" w:cstheme="majorBidi"/>
          <w:bCs/>
          <w:lang w:val="en-GB"/>
        </w:rPr>
        <w:t>conducive</w:t>
      </w:r>
      <w:r w:rsidR="00A46B6B">
        <w:rPr>
          <w:rFonts w:asciiTheme="majorBidi" w:hAnsiTheme="majorBidi" w:cstheme="majorBidi"/>
          <w:bCs/>
          <w:lang w:val="en-GB"/>
        </w:rPr>
        <w:t xml:space="preserve"> case of NHS England—one also</w:t>
      </w:r>
      <w:r w:rsidR="00805FA7">
        <w:rPr>
          <w:rFonts w:asciiTheme="majorBidi" w:hAnsiTheme="majorBidi" w:cstheme="majorBidi"/>
          <w:bCs/>
          <w:lang w:val="en-GB"/>
        </w:rPr>
        <w:t xml:space="preserve"> </w:t>
      </w:r>
      <w:r w:rsidR="00A46B6B">
        <w:rPr>
          <w:rFonts w:asciiTheme="majorBidi" w:hAnsiTheme="majorBidi" w:cstheme="majorBidi"/>
          <w:bCs/>
          <w:lang w:val="en-GB"/>
        </w:rPr>
        <w:t>uniquely characterised by</w:t>
      </w:r>
      <w:r w:rsidRPr="00B10073">
        <w:rPr>
          <w:rFonts w:asciiTheme="majorBidi" w:hAnsiTheme="majorBidi" w:cstheme="majorBidi"/>
          <w:bCs/>
          <w:lang w:val="en-GB"/>
        </w:rPr>
        <w:t xml:space="preserve"> the best of </w:t>
      </w:r>
      <w:r w:rsidR="00A46B6B">
        <w:rPr>
          <w:rFonts w:asciiTheme="majorBidi" w:hAnsiTheme="majorBidi" w:cstheme="majorBidi"/>
          <w:bCs/>
          <w:lang w:val="en-GB"/>
        </w:rPr>
        <w:t xml:space="preserve">elite </w:t>
      </w:r>
      <w:r w:rsidRPr="00B10073">
        <w:rPr>
          <w:rFonts w:asciiTheme="majorBidi" w:hAnsiTheme="majorBidi" w:cstheme="majorBidi"/>
          <w:bCs/>
          <w:lang w:val="en-GB"/>
        </w:rPr>
        <w:t xml:space="preserve">intentions and </w:t>
      </w:r>
      <w:r w:rsidR="00A46B6B">
        <w:rPr>
          <w:rFonts w:asciiTheme="majorBidi" w:hAnsiTheme="majorBidi" w:cstheme="majorBidi"/>
          <w:bCs/>
          <w:lang w:val="en-GB"/>
        </w:rPr>
        <w:t>founded on</w:t>
      </w:r>
      <w:r w:rsidRPr="00B10073">
        <w:rPr>
          <w:rFonts w:asciiTheme="majorBidi" w:hAnsiTheme="majorBidi" w:cstheme="majorBidi"/>
          <w:bCs/>
          <w:lang w:val="en-GB"/>
        </w:rPr>
        <w:t xml:space="preserve"> best practice skills and expertise</w:t>
      </w:r>
      <w:r w:rsidR="00A46B6B">
        <w:rPr>
          <w:rFonts w:asciiTheme="majorBidi" w:hAnsiTheme="majorBidi" w:cstheme="majorBidi"/>
          <w:bCs/>
          <w:lang w:val="en-GB"/>
        </w:rPr>
        <w:t>—</w:t>
      </w:r>
      <w:r w:rsidRPr="00B10073">
        <w:rPr>
          <w:rFonts w:asciiTheme="majorBidi" w:hAnsiTheme="majorBidi" w:cstheme="majorBidi"/>
          <w:bCs/>
          <w:lang w:val="en-GB"/>
        </w:rPr>
        <w:t xml:space="preserve">grafting </w:t>
      </w:r>
      <w:r w:rsidR="00DD3DB0">
        <w:rPr>
          <w:rFonts w:asciiTheme="majorBidi" w:hAnsiTheme="majorBidi" w:cstheme="majorBidi"/>
          <w:bCs/>
          <w:lang w:val="en-GB"/>
        </w:rPr>
        <w:t>participatory mechanisms</w:t>
      </w:r>
      <w:r w:rsidRPr="00B10073">
        <w:rPr>
          <w:rFonts w:asciiTheme="majorBidi" w:hAnsiTheme="majorBidi" w:cstheme="majorBidi"/>
          <w:bCs/>
          <w:lang w:val="en-GB"/>
        </w:rPr>
        <w:t xml:space="preserve"> onto </w:t>
      </w:r>
      <w:r w:rsidR="00A46B6B">
        <w:rPr>
          <w:rFonts w:asciiTheme="majorBidi" w:hAnsiTheme="majorBidi" w:cstheme="majorBidi"/>
          <w:bCs/>
          <w:lang w:val="en-GB"/>
        </w:rPr>
        <w:t xml:space="preserve">technocratic </w:t>
      </w:r>
      <w:r w:rsidRPr="00B10073">
        <w:rPr>
          <w:rFonts w:asciiTheme="majorBidi" w:hAnsiTheme="majorBidi" w:cstheme="majorBidi"/>
          <w:bCs/>
          <w:lang w:val="en-GB"/>
        </w:rPr>
        <w:t xml:space="preserve">bodies involves a </w:t>
      </w:r>
      <w:r w:rsidR="00EB2812" w:rsidRPr="00B10073">
        <w:rPr>
          <w:rFonts w:asciiTheme="majorBidi" w:hAnsiTheme="majorBidi" w:cstheme="majorBidi"/>
          <w:bCs/>
          <w:lang w:val="en-GB"/>
        </w:rPr>
        <w:t>significant</w:t>
      </w:r>
      <w:r w:rsidRPr="00B10073">
        <w:rPr>
          <w:rFonts w:asciiTheme="majorBidi" w:hAnsiTheme="majorBidi" w:cstheme="majorBidi"/>
          <w:bCs/>
          <w:lang w:val="en-GB"/>
        </w:rPr>
        <w:t xml:space="preserve"> investment in resources and energy, with little hope of </w:t>
      </w:r>
      <w:r w:rsidR="00A96119" w:rsidRPr="00B10073">
        <w:rPr>
          <w:rFonts w:asciiTheme="majorBidi" w:hAnsiTheme="majorBidi" w:cstheme="majorBidi"/>
          <w:bCs/>
          <w:lang w:val="en-GB"/>
        </w:rPr>
        <w:t>final</w:t>
      </w:r>
      <w:r w:rsidR="00B10073">
        <w:rPr>
          <w:rFonts w:asciiTheme="majorBidi" w:hAnsiTheme="majorBidi" w:cstheme="majorBidi"/>
          <w:bCs/>
          <w:lang w:val="en-GB"/>
        </w:rPr>
        <w:t xml:space="preserve"> </w:t>
      </w:r>
      <w:r w:rsidRPr="00B10073">
        <w:rPr>
          <w:rFonts w:asciiTheme="majorBidi" w:hAnsiTheme="majorBidi" w:cstheme="majorBidi"/>
          <w:bCs/>
          <w:lang w:val="en-GB"/>
        </w:rPr>
        <w:t>resolution</w:t>
      </w:r>
      <w:r w:rsidR="00A46B6B">
        <w:rPr>
          <w:rFonts w:asciiTheme="majorBidi" w:hAnsiTheme="majorBidi" w:cstheme="majorBidi"/>
          <w:bCs/>
          <w:lang w:val="en-GB"/>
        </w:rPr>
        <w:t>. It also occurs amid the constant threat of dissolution should the political winds change.</w:t>
      </w:r>
      <w:r w:rsidR="00EF6F3A" w:rsidRPr="00B10073">
        <w:rPr>
          <w:rFonts w:asciiTheme="majorBidi" w:hAnsiTheme="majorBidi" w:cstheme="majorBidi"/>
          <w:bCs/>
          <w:lang w:val="en-GB"/>
        </w:rPr>
        <w:t xml:space="preserve"> </w:t>
      </w:r>
    </w:p>
    <w:p w14:paraId="3FAD980E" w14:textId="77777777" w:rsidR="00EF6F3A" w:rsidRPr="00B10073" w:rsidRDefault="00EF6F3A" w:rsidP="00172513">
      <w:pPr>
        <w:spacing w:line="360" w:lineRule="auto"/>
        <w:jc w:val="both"/>
        <w:rPr>
          <w:rFonts w:asciiTheme="majorBidi" w:hAnsiTheme="majorBidi" w:cstheme="majorBidi"/>
          <w:bCs/>
          <w:lang w:val="en-GB"/>
        </w:rPr>
      </w:pPr>
    </w:p>
    <w:p w14:paraId="7381FE2B" w14:textId="4496F3E7" w:rsidR="00D4584B" w:rsidRDefault="00EF6F3A" w:rsidP="00685E65">
      <w:pPr>
        <w:spacing w:line="360" w:lineRule="auto"/>
        <w:jc w:val="both"/>
        <w:rPr>
          <w:rFonts w:asciiTheme="majorBidi" w:hAnsiTheme="majorBidi" w:cstheme="majorBidi"/>
          <w:bCs/>
          <w:lang w:val="en-GB"/>
        </w:rPr>
      </w:pPr>
      <w:r w:rsidRPr="00B10073">
        <w:rPr>
          <w:rFonts w:asciiTheme="majorBidi" w:hAnsiTheme="majorBidi" w:cstheme="majorBidi"/>
          <w:bCs/>
          <w:lang w:val="en-GB"/>
        </w:rPr>
        <w:t xml:space="preserve">The second is that </w:t>
      </w:r>
      <w:r w:rsidRPr="00BD359A">
        <w:rPr>
          <w:rFonts w:asciiTheme="majorBidi" w:hAnsiTheme="majorBidi" w:cstheme="majorBidi"/>
          <w:bCs/>
          <w:i/>
          <w:iCs/>
          <w:lang w:val="en-GB"/>
        </w:rPr>
        <w:t xml:space="preserve">embarking on a </w:t>
      </w:r>
      <w:r w:rsidR="00DD3DB0" w:rsidRPr="00BD359A">
        <w:rPr>
          <w:rFonts w:asciiTheme="majorBidi" w:hAnsiTheme="majorBidi" w:cstheme="majorBidi"/>
          <w:bCs/>
          <w:i/>
          <w:iCs/>
          <w:lang w:val="en-GB"/>
        </w:rPr>
        <w:t xml:space="preserve">participatory mechanism </w:t>
      </w:r>
      <w:r w:rsidR="00E94A1A">
        <w:rPr>
          <w:rFonts w:asciiTheme="majorBidi" w:hAnsiTheme="majorBidi" w:cstheme="majorBidi"/>
          <w:bCs/>
          <w:i/>
          <w:iCs/>
          <w:lang w:val="en-GB"/>
        </w:rPr>
        <w:t>can be</w:t>
      </w:r>
      <w:r w:rsidRPr="00BD359A">
        <w:rPr>
          <w:rFonts w:asciiTheme="majorBidi" w:hAnsiTheme="majorBidi" w:cstheme="majorBidi"/>
          <w:bCs/>
          <w:i/>
          <w:iCs/>
          <w:lang w:val="en-GB"/>
        </w:rPr>
        <w:t xml:space="preserve"> disruptive for </w:t>
      </w:r>
      <w:r w:rsidR="00A46B6B" w:rsidRPr="00BD359A">
        <w:rPr>
          <w:rFonts w:asciiTheme="majorBidi" w:hAnsiTheme="majorBidi" w:cstheme="majorBidi"/>
          <w:bCs/>
          <w:i/>
          <w:iCs/>
          <w:lang w:val="en-GB"/>
        </w:rPr>
        <w:t xml:space="preserve">technocratic </w:t>
      </w:r>
      <w:r w:rsidRPr="00BD359A">
        <w:rPr>
          <w:rFonts w:asciiTheme="majorBidi" w:hAnsiTheme="majorBidi" w:cstheme="majorBidi"/>
          <w:bCs/>
          <w:i/>
          <w:iCs/>
          <w:lang w:val="en-GB"/>
        </w:rPr>
        <w:t>bodies.</w:t>
      </w:r>
      <w:r w:rsidRPr="00B10073">
        <w:rPr>
          <w:rFonts w:asciiTheme="majorBidi" w:hAnsiTheme="majorBidi" w:cstheme="majorBidi"/>
          <w:bCs/>
          <w:lang w:val="en-GB"/>
        </w:rPr>
        <w:t xml:space="preserve"> It entails an </w:t>
      </w:r>
      <w:r w:rsidR="00A46B6B">
        <w:rPr>
          <w:rFonts w:asciiTheme="majorBidi" w:hAnsiTheme="majorBidi" w:cstheme="majorBidi"/>
          <w:bCs/>
          <w:lang w:val="en-GB"/>
        </w:rPr>
        <w:t xml:space="preserve">(at least partial) </w:t>
      </w:r>
      <w:r w:rsidRPr="00B10073">
        <w:rPr>
          <w:rFonts w:asciiTheme="majorBidi" w:hAnsiTheme="majorBidi" w:cstheme="majorBidi"/>
          <w:bCs/>
          <w:lang w:val="en-GB"/>
        </w:rPr>
        <w:t xml:space="preserve">opening up that, by its very nature, challenges the expertise and </w:t>
      </w:r>
      <w:r w:rsidR="00EB2812" w:rsidRPr="00B10073">
        <w:rPr>
          <w:rFonts w:asciiTheme="majorBidi" w:hAnsiTheme="majorBidi" w:cstheme="majorBidi"/>
          <w:bCs/>
          <w:lang w:val="en-GB"/>
        </w:rPr>
        <w:t xml:space="preserve">technical </w:t>
      </w:r>
      <w:r w:rsidRPr="00B10073">
        <w:rPr>
          <w:rFonts w:asciiTheme="majorBidi" w:hAnsiTheme="majorBidi" w:cstheme="majorBidi"/>
          <w:bCs/>
          <w:lang w:val="en-GB"/>
        </w:rPr>
        <w:t xml:space="preserve">efficiencies which </w:t>
      </w:r>
      <w:r w:rsidR="00802722" w:rsidRPr="00B10073">
        <w:rPr>
          <w:rFonts w:asciiTheme="majorBidi" w:hAnsiTheme="majorBidi" w:cstheme="majorBidi"/>
          <w:bCs/>
          <w:lang w:val="en-GB"/>
        </w:rPr>
        <w:t>characterise</w:t>
      </w:r>
      <w:r w:rsidRPr="00B10073">
        <w:rPr>
          <w:rFonts w:asciiTheme="majorBidi" w:hAnsiTheme="majorBidi" w:cstheme="majorBidi"/>
          <w:bCs/>
          <w:lang w:val="en-GB"/>
        </w:rPr>
        <w:t xml:space="preserve"> these institutions.</w:t>
      </w:r>
      <w:r w:rsidR="00E3395B">
        <w:rPr>
          <w:rFonts w:asciiTheme="majorBidi" w:hAnsiTheme="majorBidi" w:cstheme="majorBidi"/>
          <w:bCs/>
          <w:lang w:val="en-GB"/>
        </w:rPr>
        <w:t xml:space="preserve"> On the one hand, from the NHS Citizen case, it is clear that engagement for some actors is predicated on the </w:t>
      </w:r>
      <w:r w:rsidR="001225FE">
        <w:rPr>
          <w:rFonts w:asciiTheme="majorBidi" w:hAnsiTheme="majorBidi" w:cstheme="majorBidi"/>
          <w:bCs/>
          <w:lang w:val="en-GB"/>
        </w:rPr>
        <w:t>pursuit</w:t>
      </w:r>
      <w:r w:rsidR="00E3395B">
        <w:rPr>
          <w:rFonts w:asciiTheme="majorBidi" w:hAnsiTheme="majorBidi" w:cstheme="majorBidi"/>
          <w:bCs/>
          <w:lang w:val="en-GB"/>
        </w:rPr>
        <w:t xml:space="preserve"> of such disruption. They hope that the </w:t>
      </w:r>
      <w:r w:rsidR="00E3395B">
        <w:rPr>
          <w:rFonts w:asciiTheme="majorBidi" w:hAnsiTheme="majorBidi" w:cstheme="majorBidi"/>
          <w:bCs/>
          <w:lang w:val="en-GB"/>
        </w:rPr>
        <w:lastRenderedPageBreak/>
        <w:t xml:space="preserve">initiative </w:t>
      </w:r>
      <w:r w:rsidR="00E3395B" w:rsidRPr="00B10073">
        <w:rPr>
          <w:rFonts w:asciiTheme="majorBidi" w:hAnsiTheme="majorBidi" w:cstheme="majorBidi"/>
          <w:bCs/>
          <w:lang w:val="en-GB"/>
        </w:rPr>
        <w:t xml:space="preserve">might </w:t>
      </w:r>
      <w:r w:rsidR="00E3395B">
        <w:rPr>
          <w:rFonts w:asciiTheme="majorBidi" w:hAnsiTheme="majorBidi" w:cstheme="majorBidi"/>
          <w:bCs/>
          <w:lang w:val="en-GB"/>
        </w:rPr>
        <w:t>develop sufficient clout to</w:t>
      </w:r>
      <w:r w:rsidR="00E3395B" w:rsidRPr="00B10073">
        <w:rPr>
          <w:rFonts w:asciiTheme="majorBidi" w:hAnsiTheme="majorBidi" w:cstheme="majorBidi"/>
          <w:bCs/>
          <w:lang w:val="en-GB"/>
        </w:rPr>
        <w:t xml:space="preserve"> challenge the </w:t>
      </w:r>
      <w:r w:rsidR="00E3395B">
        <w:rPr>
          <w:rFonts w:asciiTheme="majorBidi" w:hAnsiTheme="majorBidi" w:cstheme="majorBidi"/>
          <w:bCs/>
          <w:lang w:val="en-GB"/>
        </w:rPr>
        <w:t>marketisation of the NHS, and in doing so push the agenda out well beyond the scope of NHS England’s remit</w:t>
      </w:r>
      <w:r w:rsidR="00E3395B" w:rsidRPr="00B10073">
        <w:rPr>
          <w:rFonts w:asciiTheme="majorBidi" w:hAnsiTheme="majorBidi" w:cstheme="majorBidi"/>
          <w:bCs/>
          <w:lang w:val="en-GB"/>
        </w:rPr>
        <w:t>.</w:t>
      </w:r>
      <w:r w:rsidR="00E3395B">
        <w:rPr>
          <w:rFonts w:asciiTheme="majorBidi" w:hAnsiTheme="majorBidi" w:cstheme="majorBidi"/>
          <w:bCs/>
          <w:lang w:val="en-GB"/>
        </w:rPr>
        <w:t xml:space="preserve"> On the other hand, the</w:t>
      </w:r>
      <w:r w:rsidR="0052465E">
        <w:rPr>
          <w:rFonts w:asciiTheme="majorBidi" w:hAnsiTheme="majorBidi" w:cstheme="majorBidi"/>
          <w:bCs/>
          <w:lang w:val="en-GB"/>
        </w:rPr>
        <w:t xml:space="preserve"> Forum case shows us that even attempts to mini</w:t>
      </w:r>
      <w:r w:rsidR="00E3395B">
        <w:rPr>
          <w:rFonts w:asciiTheme="majorBidi" w:hAnsiTheme="majorBidi" w:cstheme="majorBidi"/>
          <w:bCs/>
          <w:lang w:val="en-GB"/>
        </w:rPr>
        <w:t>mise such disruption by pursuing tight, top-down control</w:t>
      </w:r>
      <w:r w:rsidR="0052465E">
        <w:rPr>
          <w:rFonts w:asciiTheme="majorBidi" w:hAnsiTheme="majorBidi" w:cstheme="majorBidi"/>
          <w:bCs/>
          <w:lang w:val="en-GB"/>
        </w:rPr>
        <w:t xml:space="preserve"> </w:t>
      </w:r>
      <w:r w:rsidR="00E3395B">
        <w:rPr>
          <w:rFonts w:asciiTheme="majorBidi" w:hAnsiTheme="majorBidi" w:cstheme="majorBidi"/>
          <w:bCs/>
          <w:lang w:val="en-GB"/>
        </w:rPr>
        <w:t xml:space="preserve">of </w:t>
      </w:r>
      <w:r w:rsidR="0052465E">
        <w:rPr>
          <w:rFonts w:asciiTheme="majorBidi" w:hAnsiTheme="majorBidi" w:cstheme="majorBidi"/>
          <w:bCs/>
          <w:lang w:val="en-GB"/>
        </w:rPr>
        <w:t xml:space="preserve">the agenda can </w:t>
      </w:r>
      <w:r w:rsidR="00E3395B">
        <w:rPr>
          <w:rFonts w:asciiTheme="majorBidi" w:hAnsiTheme="majorBidi" w:cstheme="majorBidi"/>
          <w:bCs/>
          <w:lang w:val="en-GB"/>
        </w:rPr>
        <w:t>backfire. T</w:t>
      </w:r>
      <w:r w:rsidR="0052465E">
        <w:rPr>
          <w:rFonts w:asciiTheme="majorBidi" w:hAnsiTheme="majorBidi" w:cstheme="majorBidi"/>
          <w:bCs/>
          <w:lang w:val="en-GB"/>
        </w:rPr>
        <w:t xml:space="preserve">he </w:t>
      </w:r>
      <w:r w:rsidR="00E3395B">
        <w:rPr>
          <w:rFonts w:asciiTheme="majorBidi" w:hAnsiTheme="majorBidi" w:cstheme="majorBidi"/>
          <w:bCs/>
          <w:lang w:val="en-GB"/>
        </w:rPr>
        <w:t xml:space="preserve">resultant </w:t>
      </w:r>
      <w:r w:rsidR="0052465E">
        <w:rPr>
          <w:rFonts w:asciiTheme="majorBidi" w:hAnsiTheme="majorBidi" w:cstheme="majorBidi"/>
          <w:bCs/>
          <w:lang w:val="en-GB"/>
        </w:rPr>
        <w:t xml:space="preserve">experience of </w:t>
      </w:r>
      <w:r w:rsidR="008D4E71">
        <w:rPr>
          <w:rFonts w:asciiTheme="majorBidi" w:hAnsiTheme="majorBidi" w:cstheme="majorBidi"/>
          <w:bCs/>
          <w:lang w:val="en-GB"/>
        </w:rPr>
        <w:t>poorly designed participatory mechanisms</w:t>
      </w:r>
      <w:r w:rsidR="0052465E">
        <w:rPr>
          <w:rFonts w:asciiTheme="majorBidi" w:hAnsiTheme="majorBidi" w:cstheme="majorBidi"/>
          <w:bCs/>
          <w:lang w:val="en-GB"/>
        </w:rPr>
        <w:t xml:space="preserve"> prompts greater adversarial scrutiny </w:t>
      </w:r>
      <w:r w:rsidR="00E3395B">
        <w:rPr>
          <w:rFonts w:asciiTheme="majorBidi" w:hAnsiTheme="majorBidi" w:cstheme="majorBidi"/>
          <w:bCs/>
          <w:lang w:val="en-GB"/>
        </w:rPr>
        <w:t>on the part of</w:t>
      </w:r>
      <w:r w:rsidRPr="00B10073">
        <w:rPr>
          <w:rFonts w:asciiTheme="majorBidi" w:hAnsiTheme="majorBidi" w:cstheme="majorBidi"/>
          <w:bCs/>
          <w:lang w:val="en-GB"/>
        </w:rPr>
        <w:t xml:space="preserve"> </w:t>
      </w:r>
      <w:r w:rsidR="00E3395B">
        <w:rPr>
          <w:rFonts w:asciiTheme="majorBidi" w:hAnsiTheme="majorBidi" w:cstheme="majorBidi"/>
          <w:bCs/>
          <w:lang w:val="en-GB"/>
        </w:rPr>
        <w:t>civil society actors.</w:t>
      </w:r>
      <w:r w:rsidR="00802722" w:rsidRPr="00B10073">
        <w:rPr>
          <w:rFonts w:asciiTheme="majorBidi" w:hAnsiTheme="majorBidi" w:cstheme="majorBidi"/>
          <w:bCs/>
          <w:lang w:val="en-GB"/>
        </w:rPr>
        <w:t xml:space="preserve"> </w:t>
      </w:r>
      <w:r w:rsidR="00C93DF1">
        <w:rPr>
          <w:rFonts w:asciiTheme="majorBidi" w:hAnsiTheme="majorBidi" w:cstheme="majorBidi"/>
          <w:bCs/>
          <w:lang w:val="en-GB"/>
        </w:rPr>
        <w:t>P</w:t>
      </w:r>
      <w:r w:rsidR="00DD3DB0">
        <w:rPr>
          <w:rFonts w:asciiTheme="majorBidi" w:hAnsiTheme="majorBidi" w:cstheme="majorBidi"/>
          <w:bCs/>
          <w:lang w:val="en-GB"/>
        </w:rPr>
        <w:t xml:space="preserve">ursuing </w:t>
      </w:r>
      <w:r w:rsidR="00D62883">
        <w:rPr>
          <w:rFonts w:asciiTheme="majorBidi" w:hAnsiTheme="majorBidi" w:cstheme="majorBidi"/>
          <w:bCs/>
          <w:lang w:val="en-GB"/>
        </w:rPr>
        <w:t xml:space="preserve">stakeholder </w:t>
      </w:r>
      <w:r w:rsidR="00DD3DB0">
        <w:rPr>
          <w:rFonts w:asciiTheme="majorBidi" w:hAnsiTheme="majorBidi" w:cstheme="majorBidi"/>
          <w:bCs/>
          <w:lang w:val="en-GB"/>
        </w:rPr>
        <w:t>participation</w:t>
      </w:r>
      <w:r w:rsidRPr="00B10073">
        <w:rPr>
          <w:rFonts w:asciiTheme="majorBidi" w:hAnsiTheme="majorBidi" w:cstheme="majorBidi"/>
          <w:bCs/>
          <w:lang w:val="en-GB"/>
        </w:rPr>
        <w:t xml:space="preserve">, which raises the prospect of improved throughput legitimacy, seems to </w:t>
      </w:r>
      <w:r w:rsidR="00D62883">
        <w:rPr>
          <w:rFonts w:asciiTheme="majorBidi" w:hAnsiTheme="majorBidi" w:cstheme="majorBidi"/>
          <w:bCs/>
          <w:lang w:val="en-GB"/>
        </w:rPr>
        <w:t xml:space="preserve">be disassociated from </w:t>
      </w:r>
      <w:r w:rsidR="00802722" w:rsidRPr="00B10073">
        <w:rPr>
          <w:rFonts w:asciiTheme="majorBidi" w:hAnsiTheme="majorBidi" w:cstheme="majorBidi"/>
          <w:bCs/>
          <w:lang w:val="en-GB"/>
        </w:rPr>
        <w:t xml:space="preserve">the </w:t>
      </w:r>
      <w:r w:rsidRPr="00B10073">
        <w:rPr>
          <w:rFonts w:asciiTheme="majorBidi" w:hAnsiTheme="majorBidi" w:cstheme="majorBidi"/>
          <w:bCs/>
          <w:lang w:val="en-GB"/>
        </w:rPr>
        <w:t>output legitimacy</w:t>
      </w:r>
      <w:r w:rsidR="00802722" w:rsidRPr="00B10073">
        <w:rPr>
          <w:rFonts w:asciiTheme="majorBidi" w:hAnsiTheme="majorBidi" w:cstheme="majorBidi"/>
          <w:bCs/>
          <w:lang w:val="en-GB"/>
        </w:rPr>
        <w:t xml:space="preserve"> </w:t>
      </w:r>
      <w:r w:rsidR="00A96119" w:rsidRPr="00B10073">
        <w:rPr>
          <w:rFonts w:asciiTheme="majorBidi" w:hAnsiTheme="majorBidi" w:cstheme="majorBidi"/>
          <w:bCs/>
          <w:lang w:val="en-GB"/>
        </w:rPr>
        <w:t>typically associated with</w:t>
      </w:r>
      <w:r w:rsidR="00802722" w:rsidRPr="00B10073">
        <w:rPr>
          <w:rFonts w:asciiTheme="majorBidi" w:hAnsiTheme="majorBidi" w:cstheme="majorBidi"/>
          <w:bCs/>
          <w:lang w:val="en-GB"/>
        </w:rPr>
        <w:t xml:space="preserve"> </w:t>
      </w:r>
      <w:r w:rsidR="00A46B6B">
        <w:rPr>
          <w:rFonts w:asciiTheme="majorBidi" w:hAnsiTheme="majorBidi" w:cstheme="majorBidi"/>
          <w:bCs/>
          <w:lang w:val="en-GB"/>
        </w:rPr>
        <w:t>technocratic</w:t>
      </w:r>
      <w:r w:rsidR="00A46B6B" w:rsidRPr="00B10073">
        <w:rPr>
          <w:rFonts w:asciiTheme="majorBidi" w:hAnsiTheme="majorBidi" w:cstheme="majorBidi"/>
          <w:bCs/>
          <w:lang w:val="en-GB"/>
        </w:rPr>
        <w:t xml:space="preserve"> </w:t>
      </w:r>
      <w:r w:rsidR="00802722" w:rsidRPr="00B10073">
        <w:rPr>
          <w:rFonts w:asciiTheme="majorBidi" w:hAnsiTheme="majorBidi" w:cstheme="majorBidi"/>
          <w:bCs/>
          <w:lang w:val="en-GB"/>
        </w:rPr>
        <w:t>bodies</w:t>
      </w:r>
      <w:r w:rsidR="00A96119" w:rsidRPr="00B10073">
        <w:rPr>
          <w:rFonts w:asciiTheme="majorBidi" w:hAnsiTheme="majorBidi" w:cstheme="majorBidi"/>
          <w:bCs/>
          <w:lang w:val="en-GB"/>
        </w:rPr>
        <w:t xml:space="preserve"> like those in our analysis</w:t>
      </w:r>
      <w:r w:rsidRPr="00B10073">
        <w:rPr>
          <w:rFonts w:asciiTheme="majorBidi" w:hAnsiTheme="majorBidi" w:cstheme="majorBidi"/>
          <w:bCs/>
          <w:lang w:val="en-GB"/>
        </w:rPr>
        <w:t>.</w:t>
      </w:r>
    </w:p>
    <w:p w14:paraId="01694B1B" w14:textId="77777777" w:rsidR="003024D6" w:rsidRDefault="003024D6" w:rsidP="00172513">
      <w:pPr>
        <w:spacing w:line="360" w:lineRule="auto"/>
        <w:jc w:val="both"/>
        <w:rPr>
          <w:rFonts w:asciiTheme="majorBidi" w:hAnsiTheme="majorBidi" w:cstheme="majorBidi"/>
          <w:bCs/>
          <w:lang w:val="en-GB"/>
        </w:rPr>
      </w:pPr>
    </w:p>
    <w:p w14:paraId="3AD3C262" w14:textId="69919164" w:rsidR="00805FA7" w:rsidRDefault="003024D6" w:rsidP="00685E65">
      <w:pPr>
        <w:spacing w:line="360" w:lineRule="auto"/>
        <w:jc w:val="both"/>
        <w:rPr>
          <w:rFonts w:asciiTheme="majorBidi" w:hAnsiTheme="majorBidi" w:cstheme="majorBidi"/>
          <w:bCs/>
          <w:lang w:val="en-GB"/>
        </w:rPr>
      </w:pPr>
      <w:r>
        <w:rPr>
          <w:rFonts w:asciiTheme="majorBidi" w:hAnsiTheme="majorBidi" w:cstheme="majorBidi"/>
          <w:bCs/>
          <w:lang w:val="en-GB"/>
        </w:rPr>
        <w:t xml:space="preserve">The third and most </w:t>
      </w:r>
      <w:r w:rsidR="001145F1">
        <w:rPr>
          <w:rFonts w:asciiTheme="majorBidi" w:hAnsiTheme="majorBidi" w:cstheme="majorBidi"/>
          <w:bCs/>
          <w:lang w:val="en-GB"/>
        </w:rPr>
        <w:t>fundamental</w:t>
      </w:r>
      <w:r>
        <w:rPr>
          <w:rFonts w:asciiTheme="majorBidi" w:hAnsiTheme="majorBidi" w:cstheme="majorBidi"/>
          <w:bCs/>
          <w:lang w:val="en-GB"/>
        </w:rPr>
        <w:t xml:space="preserve"> is </w:t>
      </w:r>
      <w:r w:rsidR="00A46B6B">
        <w:rPr>
          <w:rFonts w:asciiTheme="majorBidi" w:hAnsiTheme="majorBidi" w:cstheme="majorBidi"/>
          <w:bCs/>
          <w:lang w:val="en-GB"/>
        </w:rPr>
        <w:t xml:space="preserve">that </w:t>
      </w:r>
      <w:r w:rsidR="00A46B6B" w:rsidRPr="00BD359A">
        <w:rPr>
          <w:rFonts w:asciiTheme="majorBidi" w:hAnsiTheme="majorBidi" w:cstheme="majorBidi"/>
          <w:bCs/>
          <w:i/>
          <w:iCs/>
          <w:lang w:val="en-GB"/>
        </w:rPr>
        <w:t xml:space="preserve">participatory mechanisms alone </w:t>
      </w:r>
      <w:r w:rsidR="00805FA7" w:rsidRPr="00BD359A">
        <w:rPr>
          <w:rFonts w:asciiTheme="majorBidi" w:hAnsiTheme="majorBidi" w:cstheme="majorBidi"/>
          <w:bCs/>
          <w:i/>
          <w:iCs/>
          <w:lang w:val="en-GB"/>
        </w:rPr>
        <w:t>seem</w:t>
      </w:r>
      <w:r w:rsidR="00A46B6B" w:rsidRPr="00BD359A">
        <w:rPr>
          <w:rFonts w:asciiTheme="majorBidi" w:hAnsiTheme="majorBidi" w:cstheme="majorBidi"/>
          <w:bCs/>
          <w:i/>
          <w:iCs/>
          <w:lang w:val="en-GB"/>
        </w:rPr>
        <w:t xml:space="preserve"> insufficient in eliciting throughput legitimacy</w:t>
      </w:r>
      <w:r w:rsidR="00A46B6B">
        <w:rPr>
          <w:rFonts w:asciiTheme="majorBidi" w:hAnsiTheme="majorBidi" w:cstheme="majorBidi"/>
          <w:bCs/>
          <w:lang w:val="en-GB"/>
        </w:rPr>
        <w:t>, and that parallel strategies are needed to aug</w:t>
      </w:r>
      <w:r w:rsidR="00C93DF1">
        <w:rPr>
          <w:rFonts w:asciiTheme="majorBidi" w:hAnsiTheme="majorBidi" w:cstheme="majorBidi"/>
          <w:bCs/>
          <w:lang w:val="en-GB"/>
        </w:rPr>
        <w:t>ment or strengthen their impact.</w:t>
      </w:r>
      <w:r w:rsidR="00A46B6B">
        <w:rPr>
          <w:rFonts w:asciiTheme="majorBidi" w:hAnsiTheme="majorBidi" w:cstheme="majorBidi"/>
          <w:bCs/>
          <w:lang w:val="en-GB"/>
        </w:rPr>
        <w:t xml:space="preserve"> </w:t>
      </w:r>
      <w:r w:rsidR="00C93DF1">
        <w:rPr>
          <w:rFonts w:asciiTheme="majorBidi" w:hAnsiTheme="majorBidi" w:cstheme="majorBidi"/>
          <w:bCs/>
          <w:lang w:val="en-GB"/>
        </w:rPr>
        <w:t>In particular,</w:t>
      </w:r>
      <w:r>
        <w:rPr>
          <w:rFonts w:asciiTheme="majorBidi" w:hAnsiTheme="majorBidi" w:cstheme="majorBidi"/>
          <w:bCs/>
          <w:lang w:val="en-GB"/>
        </w:rPr>
        <w:t xml:space="preserve"> mitigating the</w:t>
      </w:r>
      <w:r w:rsidR="00A46B6B">
        <w:rPr>
          <w:rFonts w:asciiTheme="majorBidi" w:hAnsiTheme="majorBidi" w:cstheme="majorBidi"/>
          <w:bCs/>
          <w:lang w:val="en-GB"/>
        </w:rPr>
        <w:t xml:space="preserve"> aforementioned</w:t>
      </w:r>
      <w:r>
        <w:rPr>
          <w:rFonts w:asciiTheme="majorBidi" w:hAnsiTheme="majorBidi" w:cstheme="majorBidi"/>
          <w:bCs/>
          <w:lang w:val="en-GB"/>
        </w:rPr>
        <w:t xml:space="preserve"> risks</w:t>
      </w:r>
      <w:r w:rsidR="00FC0616">
        <w:rPr>
          <w:rFonts w:asciiTheme="majorBidi" w:hAnsiTheme="majorBidi" w:cstheme="majorBidi"/>
          <w:bCs/>
          <w:lang w:val="en-GB"/>
        </w:rPr>
        <w:t xml:space="preserve"> requires considerable behind-the-scenes management</w:t>
      </w:r>
      <w:r w:rsidR="00A46B6B">
        <w:rPr>
          <w:rFonts w:asciiTheme="majorBidi" w:hAnsiTheme="majorBidi" w:cstheme="majorBidi"/>
          <w:bCs/>
          <w:lang w:val="en-GB"/>
        </w:rPr>
        <w:t xml:space="preserve">. </w:t>
      </w:r>
      <w:r w:rsidR="00805FA7">
        <w:rPr>
          <w:rFonts w:asciiTheme="majorBidi" w:hAnsiTheme="majorBidi" w:cstheme="majorBidi"/>
          <w:bCs/>
          <w:lang w:val="en-GB"/>
        </w:rPr>
        <w:t xml:space="preserve">This is especially apparent where the Forum has encountered so much scepticism. </w:t>
      </w:r>
      <w:r w:rsidR="00EC2B74">
        <w:rPr>
          <w:rFonts w:asciiTheme="majorBidi" w:hAnsiTheme="majorBidi" w:cstheme="majorBidi"/>
          <w:bCs/>
          <w:lang w:val="en-GB"/>
        </w:rPr>
        <w:t>Indeed, Commission external services have been more successful in engaging informally with civil society actors to address child rights issues in EU external policy (Iusmen 2012).</w:t>
      </w:r>
      <w:r w:rsidR="00BD359A">
        <w:rPr>
          <w:rFonts w:asciiTheme="majorBidi" w:hAnsiTheme="majorBidi" w:cstheme="majorBidi"/>
          <w:bCs/>
          <w:lang w:val="en-GB"/>
        </w:rPr>
        <w:t xml:space="preserve"> </w:t>
      </w:r>
      <w:r>
        <w:rPr>
          <w:rFonts w:asciiTheme="majorBidi" w:hAnsiTheme="majorBidi" w:cstheme="majorBidi"/>
          <w:bCs/>
          <w:lang w:val="en-GB"/>
        </w:rPr>
        <w:t xml:space="preserve">These </w:t>
      </w:r>
      <w:r w:rsidR="00EC2B74">
        <w:rPr>
          <w:rFonts w:asciiTheme="majorBidi" w:hAnsiTheme="majorBidi" w:cstheme="majorBidi"/>
          <w:bCs/>
          <w:lang w:val="en-GB"/>
        </w:rPr>
        <w:t xml:space="preserve">consultative </w:t>
      </w:r>
      <w:r>
        <w:rPr>
          <w:rFonts w:asciiTheme="majorBidi" w:hAnsiTheme="majorBidi" w:cstheme="majorBidi"/>
          <w:bCs/>
          <w:lang w:val="en-GB"/>
        </w:rPr>
        <w:t xml:space="preserve">arrangements provide civil society actors </w:t>
      </w:r>
      <w:r w:rsidRPr="00B10073">
        <w:rPr>
          <w:rFonts w:asciiTheme="majorBidi" w:hAnsiTheme="majorBidi" w:cstheme="majorBidi"/>
          <w:bCs/>
          <w:lang w:val="en-GB"/>
        </w:rPr>
        <w:t xml:space="preserve">with </w:t>
      </w:r>
      <w:r>
        <w:rPr>
          <w:rFonts w:asciiTheme="majorBidi" w:hAnsiTheme="majorBidi" w:cstheme="majorBidi"/>
          <w:bCs/>
          <w:lang w:val="en-GB"/>
        </w:rPr>
        <w:t xml:space="preserve">informal and regular </w:t>
      </w:r>
      <w:r w:rsidRPr="00B10073">
        <w:rPr>
          <w:rFonts w:asciiTheme="majorBidi" w:hAnsiTheme="majorBidi" w:cstheme="majorBidi"/>
          <w:bCs/>
          <w:lang w:val="en-GB"/>
        </w:rPr>
        <w:t xml:space="preserve">access to Commission officials behind-closed-doors and thus greater </w:t>
      </w:r>
      <w:r>
        <w:rPr>
          <w:rFonts w:asciiTheme="majorBidi" w:hAnsiTheme="majorBidi" w:cstheme="majorBidi"/>
          <w:bCs/>
          <w:lang w:val="en-GB"/>
        </w:rPr>
        <w:t xml:space="preserve">input into </w:t>
      </w:r>
      <w:r w:rsidRPr="00B10073">
        <w:rPr>
          <w:rFonts w:asciiTheme="majorBidi" w:hAnsiTheme="majorBidi" w:cstheme="majorBidi"/>
          <w:bCs/>
          <w:lang w:val="en-GB"/>
        </w:rPr>
        <w:t>children’s rights’ p</w:t>
      </w:r>
      <w:r>
        <w:rPr>
          <w:rFonts w:asciiTheme="majorBidi" w:hAnsiTheme="majorBidi" w:cstheme="majorBidi"/>
          <w:bCs/>
          <w:lang w:val="en-GB"/>
        </w:rPr>
        <w:t>olicies pursued by Commission external services</w:t>
      </w:r>
      <w:r w:rsidRPr="00B10073">
        <w:rPr>
          <w:rFonts w:asciiTheme="majorBidi" w:hAnsiTheme="majorBidi" w:cstheme="majorBidi"/>
          <w:bCs/>
          <w:lang w:val="en-GB"/>
        </w:rPr>
        <w:t xml:space="preserve">. </w:t>
      </w:r>
      <w:r w:rsidR="00805FA7">
        <w:rPr>
          <w:rFonts w:asciiTheme="majorBidi" w:hAnsiTheme="majorBidi" w:cstheme="majorBidi"/>
          <w:bCs/>
          <w:lang w:val="en-GB"/>
        </w:rPr>
        <w:t>This is a significant concession made in the face of ill-will created by the tokenistic Forum. Yet in the NHS England case we see something similar (if lesser in degree), with</w:t>
      </w:r>
      <w:r>
        <w:rPr>
          <w:rFonts w:asciiTheme="majorBidi" w:hAnsiTheme="majorBidi" w:cstheme="majorBidi"/>
          <w:bCs/>
          <w:lang w:val="en-GB"/>
        </w:rPr>
        <w:t xml:space="preserve"> the </w:t>
      </w:r>
      <w:r w:rsidR="00805FA7">
        <w:rPr>
          <w:rFonts w:asciiTheme="majorBidi" w:hAnsiTheme="majorBidi" w:cstheme="majorBidi"/>
          <w:bCs/>
          <w:lang w:val="en-GB"/>
        </w:rPr>
        <w:t>deliverers of</w:t>
      </w:r>
      <w:r>
        <w:rPr>
          <w:rFonts w:asciiTheme="majorBidi" w:hAnsiTheme="majorBidi" w:cstheme="majorBidi"/>
          <w:bCs/>
          <w:lang w:val="en-GB"/>
        </w:rPr>
        <w:t xml:space="preserve"> </w:t>
      </w:r>
      <w:r w:rsidR="00FC0616">
        <w:rPr>
          <w:rFonts w:asciiTheme="majorBidi" w:hAnsiTheme="majorBidi" w:cstheme="majorBidi"/>
          <w:bCs/>
          <w:lang w:val="en-GB"/>
        </w:rPr>
        <w:t>NHS Citizen</w:t>
      </w:r>
      <w:r>
        <w:rPr>
          <w:rFonts w:asciiTheme="majorBidi" w:hAnsiTheme="majorBidi" w:cstheme="majorBidi"/>
          <w:bCs/>
          <w:lang w:val="en-GB"/>
        </w:rPr>
        <w:t xml:space="preserve"> </w:t>
      </w:r>
      <w:r w:rsidR="00805FA7">
        <w:rPr>
          <w:rFonts w:asciiTheme="majorBidi" w:hAnsiTheme="majorBidi" w:cstheme="majorBidi"/>
          <w:bCs/>
          <w:lang w:val="en-GB"/>
        </w:rPr>
        <w:t>engaging</w:t>
      </w:r>
      <w:r>
        <w:rPr>
          <w:rFonts w:asciiTheme="majorBidi" w:hAnsiTheme="majorBidi" w:cstheme="majorBidi"/>
          <w:bCs/>
          <w:lang w:val="en-GB"/>
        </w:rPr>
        <w:t xml:space="preserve"> in significant back-channel negotiation to keep key stakeholders on board. </w:t>
      </w:r>
      <w:r w:rsidR="00FC0616">
        <w:rPr>
          <w:rFonts w:asciiTheme="majorBidi" w:hAnsiTheme="majorBidi" w:cstheme="majorBidi"/>
          <w:bCs/>
          <w:lang w:val="en-GB"/>
        </w:rPr>
        <w:t>In fact, from the outset, o</w:t>
      </w:r>
      <w:r>
        <w:rPr>
          <w:rFonts w:asciiTheme="majorBidi" w:hAnsiTheme="majorBidi" w:cstheme="majorBidi"/>
          <w:bCs/>
          <w:lang w:val="en-GB"/>
        </w:rPr>
        <w:t xml:space="preserve">ne partner in the enterprise—the </w:t>
      </w:r>
      <w:r w:rsidR="00FC0616">
        <w:rPr>
          <w:rFonts w:asciiTheme="majorBidi" w:hAnsiTheme="majorBidi" w:cstheme="majorBidi"/>
          <w:bCs/>
          <w:lang w:val="en-GB"/>
        </w:rPr>
        <w:t>Tavisto</w:t>
      </w:r>
      <w:r>
        <w:rPr>
          <w:rFonts w:asciiTheme="majorBidi" w:hAnsiTheme="majorBidi" w:cstheme="majorBidi"/>
          <w:bCs/>
          <w:lang w:val="en-GB"/>
        </w:rPr>
        <w:t>c</w:t>
      </w:r>
      <w:r w:rsidR="00FC0616">
        <w:rPr>
          <w:rFonts w:asciiTheme="majorBidi" w:hAnsiTheme="majorBidi" w:cstheme="majorBidi"/>
          <w:bCs/>
          <w:lang w:val="en-GB"/>
        </w:rPr>
        <w:t>k</w:t>
      </w:r>
      <w:r>
        <w:rPr>
          <w:rFonts w:asciiTheme="majorBidi" w:hAnsiTheme="majorBidi" w:cstheme="majorBidi"/>
          <w:bCs/>
          <w:lang w:val="en-GB"/>
        </w:rPr>
        <w:t xml:space="preserve"> Institute—</w:t>
      </w:r>
      <w:r w:rsidR="00FC0616">
        <w:rPr>
          <w:rFonts w:asciiTheme="majorBidi" w:hAnsiTheme="majorBidi" w:cstheme="majorBidi"/>
          <w:bCs/>
          <w:lang w:val="en-GB"/>
        </w:rPr>
        <w:t>has been almost</w:t>
      </w:r>
      <w:r>
        <w:rPr>
          <w:rFonts w:asciiTheme="majorBidi" w:hAnsiTheme="majorBidi" w:cstheme="majorBidi"/>
          <w:bCs/>
          <w:lang w:val="en-GB"/>
        </w:rPr>
        <w:t xml:space="preserve"> entirely devoted to behind-the-scenes engagement with NHS managers in a bid to </w:t>
      </w:r>
      <w:r w:rsidR="00FC0616">
        <w:rPr>
          <w:rFonts w:asciiTheme="majorBidi" w:hAnsiTheme="majorBidi" w:cstheme="majorBidi"/>
          <w:bCs/>
          <w:lang w:val="en-GB"/>
        </w:rPr>
        <w:t>build buy-in from within</w:t>
      </w:r>
      <w:r>
        <w:rPr>
          <w:rFonts w:asciiTheme="majorBidi" w:hAnsiTheme="majorBidi" w:cstheme="majorBidi"/>
          <w:bCs/>
          <w:lang w:val="en-GB"/>
        </w:rPr>
        <w:t xml:space="preserve">. </w:t>
      </w:r>
      <w:r w:rsidR="00805FA7">
        <w:rPr>
          <w:rFonts w:asciiTheme="majorBidi" w:hAnsiTheme="majorBidi" w:cstheme="majorBidi"/>
          <w:bCs/>
          <w:lang w:val="en-GB"/>
        </w:rPr>
        <w:t>Doubtless, the authentic, refreshing ‘openness’ of NHS Citizen has manufactured a greater deal of good-will among s</w:t>
      </w:r>
      <w:r w:rsidR="005573CE">
        <w:rPr>
          <w:rFonts w:asciiTheme="majorBidi" w:hAnsiTheme="majorBidi" w:cstheme="majorBidi"/>
          <w:bCs/>
          <w:lang w:val="en-GB"/>
        </w:rPr>
        <w:t>takeholders, and so there is no</w:t>
      </w:r>
      <w:r w:rsidR="00805FA7">
        <w:rPr>
          <w:rFonts w:asciiTheme="majorBidi" w:hAnsiTheme="majorBidi" w:cstheme="majorBidi"/>
          <w:bCs/>
          <w:lang w:val="en-GB"/>
        </w:rPr>
        <w:t xml:space="preserve"> demand for such a large-scale ‘backstage’ operation as we see in the Forum case.</w:t>
      </w:r>
      <w:r w:rsidR="00805FA7" w:rsidRPr="00805FA7">
        <w:rPr>
          <w:rFonts w:asciiTheme="majorBidi" w:hAnsiTheme="majorBidi" w:cstheme="majorBidi"/>
          <w:bCs/>
          <w:lang w:val="en-GB"/>
        </w:rPr>
        <w:t xml:space="preserve"> </w:t>
      </w:r>
      <w:r w:rsidR="00805FA7">
        <w:rPr>
          <w:rFonts w:asciiTheme="majorBidi" w:hAnsiTheme="majorBidi" w:cstheme="majorBidi"/>
          <w:bCs/>
          <w:lang w:val="en-GB"/>
        </w:rPr>
        <w:t xml:space="preserve">But the balance may change over time as actors engaged in NHS Citizen become disillusioned with its outcomes (or, more pertinently, lack of outcomes). Indeed, </w:t>
      </w:r>
      <w:r w:rsidR="00685E65">
        <w:rPr>
          <w:rFonts w:asciiTheme="majorBidi" w:hAnsiTheme="majorBidi" w:cstheme="majorBidi"/>
          <w:bCs/>
          <w:lang w:val="en-GB"/>
        </w:rPr>
        <w:t>organizers</w:t>
      </w:r>
      <w:r w:rsidR="003C0786">
        <w:rPr>
          <w:rFonts w:asciiTheme="majorBidi" w:hAnsiTheme="majorBidi" w:cstheme="majorBidi"/>
          <w:bCs/>
          <w:lang w:val="en-GB"/>
        </w:rPr>
        <w:t xml:space="preserve"> shared off-the-record stories about</w:t>
      </w:r>
      <w:r w:rsidR="00805FA7">
        <w:rPr>
          <w:rFonts w:asciiTheme="majorBidi" w:hAnsiTheme="majorBidi" w:cstheme="majorBidi"/>
          <w:bCs/>
          <w:lang w:val="en-GB"/>
        </w:rPr>
        <w:t xml:space="preserve"> having to liaise privately with key civil society groups to </w:t>
      </w:r>
      <w:r w:rsidR="00685E65">
        <w:rPr>
          <w:rFonts w:asciiTheme="majorBidi" w:hAnsiTheme="majorBidi" w:cstheme="majorBidi"/>
          <w:bCs/>
          <w:lang w:val="en-GB"/>
        </w:rPr>
        <w:t xml:space="preserve">keep </w:t>
      </w:r>
      <w:r w:rsidR="00805FA7">
        <w:rPr>
          <w:rFonts w:asciiTheme="majorBidi" w:hAnsiTheme="majorBidi" w:cstheme="majorBidi"/>
          <w:bCs/>
          <w:lang w:val="en-GB"/>
        </w:rPr>
        <w:t>them</w:t>
      </w:r>
      <w:r w:rsidR="00C93DF1">
        <w:rPr>
          <w:rFonts w:asciiTheme="majorBidi" w:hAnsiTheme="majorBidi" w:cstheme="majorBidi"/>
          <w:bCs/>
          <w:lang w:val="en-GB"/>
        </w:rPr>
        <w:t xml:space="preserve"> engaged with the process. </w:t>
      </w:r>
      <w:r w:rsidR="00A46B6B">
        <w:rPr>
          <w:rFonts w:asciiTheme="majorBidi" w:hAnsiTheme="majorBidi" w:cstheme="majorBidi"/>
          <w:bCs/>
          <w:lang w:val="en-GB"/>
        </w:rPr>
        <w:t xml:space="preserve">As such, the dilemmas associated with </w:t>
      </w:r>
      <w:r w:rsidR="003665C2">
        <w:rPr>
          <w:rFonts w:asciiTheme="majorBidi" w:hAnsiTheme="majorBidi" w:cstheme="majorBidi"/>
          <w:bCs/>
          <w:lang w:val="en-GB"/>
        </w:rPr>
        <w:t xml:space="preserve">pursuing </w:t>
      </w:r>
      <w:r w:rsidR="00A46B6B">
        <w:rPr>
          <w:rFonts w:asciiTheme="majorBidi" w:hAnsiTheme="majorBidi" w:cstheme="majorBidi"/>
          <w:bCs/>
          <w:lang w:val="en-GB"/>
        </w:rPr>
        <w:t xml:space="preserve">throughput legitimacy </w:t>
      </w:r>
      <w:r w:rsidR="00805FA7">
        <w:rPr>
          <w:rFonts w:asciiTheme="majorBidi" w:hAnsiTheme="majorBidi" w:cstheme="majorBidi"/>
          <w:bCs/>
          <w:lang w:val="en-GB"/>
        </w:rPr>
        <w:t xml:space="preserve">seem to </w:t>
      </w:r>
      <w:r w:rsidR="00A46B6B">
        <w:rPr>
          <w:rFonts w:asciiTheme="majorBidi" w:hAnsiTheme="majorBidi" w:cstheme="majorBidi"/>
          <w:bCs/>
          <w:lang w:val="en-GB"/>
        </w:rPr>
        <w:t xml:space="preserve">generate a </w:t>
      </w:r>
      <w:r w:rsidR="00805FA7">
        <w:rPr>
          <w:rFonts w:asciiTheme="majorBidi" w:hAnsiTheme="majorBidi" w:cstheme="majorBidi"/>
          <w:bCs/>
          <w:lang w:val="en-GB"/>
        </w:rPr>
        <w:t xml:space="preserve">more </w:t>
      </w:r>
      <w:r w:rsidR="00A46B6B">
        <w:rPr>
          <w:rFonts w:asciiTheme="majorBidi" w:hAnsiTheme="majorBidi" w:cstheme="majorBidi"/>
          <w:bCs/>
          <w:lang w:val="en-GB"/>
        </w:rPr>
        <w:t xml:space="preserve">fundamental paradox. Despite the contrasting </w:t>
      </w:r>
      <w:r w:rsidR="00A46B6B">
        <w:rPr>
          <w:rFonts w:asciiTheme="majorBidi" w:hAnsiTheme="majorBidi" w:cstheme="majorBidi"/>
          <w:bCs/>
          <w:lang w:val="en-GB"/>
        </w:rPr>
        <w:lastRenderedPageBreak/>
        <w:t xml:space="preserve">trajectories of the mechanisms in our cases, the continued existence of both </w:t>
      </w:r>
      <w:r w:rsidR="00805FA7">
        <w:rPr>
          <w:rFonts w:asciiTheme="majorBidi" w:hAnsiTheme="majorBidi" w:cstheme="majorBidi"/>
          <w:bCs/>
          <w:lang w:val="en-GB"/>
        </w:rPr>
        <w:t>comes to rely</w:t>
      </w:r>
      <w:r w:rsidR="00A46B6B">
        <w:rPr>
          <w:rFonts w:asciiTheme="majorBidi" w:hAnsiTheme="majorBidi" w:cstheme="majorBidi"/>
          <w:bCs/>
          <w:lang w:val="en-GB"/>
        </w:rPr>
        <w:t xml:space="preserve"> on </w:t>
      </w:r>
      <w:r w:rsidR="00EC2B74">
        <w:rPr>
          <w:rFonts w:asciiTheme="majorBidi" w:hAnsiTheme="majorBidi" w:cstheme="majorBidi"/>
          <w:bCs/>
          <w:lang w:val="en-GB"/>
        </w:rPr>
        <w:t xml:space="preserve">more informal </w:t>
      </w:r>
      <w:r w:rsidR="00A46B6B">
        <w:rPr>
          <w:rFonts w:asciiTheme="majorBidi" w:hAnsiTheme="majorBidi" w:cstheme="majorBidi"/>
          <w:bCs/>
          <w:lang w:val="en-GB"/>
        </w:rPr>
        <w:t xml:space="preserve">practices of behind-the-scenes negotiation, in the Commission case to effectively replace the tokenistic Forum, in the NHS England case to more subtly augment the work of NHS Citizen. Either way, though, </w:t>
      </w:r>
      <w:r w:rsidR="00805FA7">
        <w:rPr>
          <w:rFonts w:asciiTheme="majorBidi" w:hAnsiTheme="majorBidi" w:cstheme="majorBidi"/>
          <w:bCs/>
          <w:lang w:val="en-GB"/>
        </w:rPr>
        <w:t>our</w:t>
      </w:r>
      <w:r w:rsidR="00A46B6B">
        <w:rPr>
          <w:rFonts w:asciiTheme="majorBidi" w:hAnsiTheme="majorBidi" w:cstheme="majorBidi"/>
          <w:bCs/>
          <w:lang w:val="en-GB"/>
        </w:rPr>
        <w:t xml:space="preserve"> analysis suggests that </w:t>
      </w:r>
      <w:r w:rsidR="00FC0616">
        <w:rPr>
          <w:rFonts w:asciiTheme="majorBidi" w:hAnsiTheme="majorBidi" w:cstheme="majorBidi"/>
          <w:bCs/>
          <w:lang w:val="en-GB"/>
        </w:rPr>
        <w:t>‘</w:t>
      </w:r>
      <w:r w:rsidR="00A46B6B">
        <w:rPr>
          <w:rFonts w:asciiTheme="majorBidi" w:hAnsiTheme="majorBidi" w:cstheme="majorBidi"/>
          <w:bCs/>
          <w:lang w:val="en-GB"/>
        </w:rPr>
        <w:t>o</w:t>
      </w:r>
      <w:r w:rsidR="00FC0616">
        <w:rPr>
          <w:rFonts w:asciiTheme="majorBidi" w:hAnsiTheme="majorBidi" w:cstheme="majorBidi"/>
          <w:bCs/>
          <w:lang w:val="en-GB"/>
        </w:rPr>
        <w:t>pening up’ the black box of technocratic governance</w:t>
      </w:r>
      <w:r w:rsidR="00A46B6B">
        <w:rPr>
          <w:rFonts w:asciiTheme="majorBidi" w:hAnsiTheme="majorBidi" w:cstheme="majorBidi"/>
          <w:bCs/>
          <w:lang w:val="en-GB"/>
        </w:rPr>
        <w:t xml:space="preserve"> </w:t>
      </w:r>
      <w:r w:rsidR="00FC0616">
        <w:rPr>
          <w:rFonts w:asciiTheme="majorBidi" w:hAnsiTheme="majorBidi" w:cstheme="majorBidi"/>
          <w:bCs/>
          <w:lang w:val="en-GB"/>
        </w:rPr>
        <w:t xml:space="preserve">might actually hinge on instantiating new processes and </w:t>
      </w:r>
      <w:r w:rsidR="00FC0616" w:rsidRPr="00052538">
        <w:rPr>
          <w:rFonts w:asciiTheme="majorBidi" w:hAnsiTheme="majorBidi" w:cstheme="majorBidi"/>
          <w:bCs/>
          <w:i/>
          <w:iCs/>
          <w:lang w:val="en-GB"/>
        </w:rPr>
        <w:t>practices of ‘closing down’</w:t>
      </w:r>
      <w:r w:rsidR="00805FA7">
        <w:rPr>
          <w:rFonts w:asciiTheme="majorBidi" w:hAnsiTheme="majorBidi" w:cstheme="majorBidi"/>
          <w:bCs/>
          <w:lang w:val="en-GB"/>
        </w:rPr>
        <w:t>.</w:t>
      </w:r>
    </w:p>
    <w:p w14:paraId="5078C622" w14:textId="77777777" w:rsidR="00805FA7" w:rsidRDefault="00805FA7" w:rsidP="00172513">
      <w:pPr>
        <w:spacing w:line="360" w:lineRule="auto"/>
        <w:jc w:val="both"/>
        <w:rPr>
          <w:rFonts w:asciiTheme="majorBidi" w:hAnsiTheme="majorBidi" w:cstheme="majorBidi"/>
          <w:bCs/>
          <w:lang w:val="en-GB"/>
        </w:rPr>
      </w:pPr>
    </w:p>
    <w:p w14:paraId="6B51E3C9" w14:textId="41CCE5A8" w:rsidR="00E2221F" w:rsidRDefault="00096E67" w:rsidP="007A0DBA">
      <w:pPr>
        <w:spacing w:line="360" w:lineRule="auto"/>
        <w:jc w:val="both"/>
        <w:rPr>
          <w:rFonts w:asciiTheme="majorBidi" w:hAnsiTheme="majorBidi" w:cstheme="majorBidi"/>
          <w:bCs/>
          <w:lang w:val="en-GB"/>
        </w:rPr>
      </w:pPr>
      <w:r>
        <w:rPr>
          <w:rFonts w:asciiTheme="majorBidi" w:hAnsiTheme="majorBidi" w:cstheme="majorBidi"/>
          <w:bCs/>
          <w:lang w:val="en-GB"/>
        </w:rPr>
        <w:t xml:space="preserve">Our account has </w:t>
      </w:r>
      <w:r w:rsidR="00685E65">
        <w:rPr>
          <w:rFonts w:asciiTheme="majorBidi" w:hAnsiTheme="majorBidi" w:cstheme="majorBidi"/>
          <w:bCs/>
          <w:lang w:val="en-GB"/>
        </w:rPr>
        <w:t xml:space="preserve">thus </w:t>
      </w:r>
      <w:r>
        <w:rPr>
          <w:rFonts w:asciiTheme="majorBidi" w:hAnsiTheme="majorBidi" w:cstheme="majorBidi"/>
          <w:bCs/>
          <w:lang w:val="en-GB"/>
        </w:rPr>
        <w:t>added nuanced understanding of the challenges, trade-offs and contradictions associated with pursuing throughput legitimacy in practice—an intriguing conclusion that further in-depth case research might parse out in two ways.</w:t>
      </w:r>
      <w:r w:rsidR="00685E65">
        <w:rPr>
          <w:rFonts w:asciiTheme="majorBidi" w:hAnsiTheme="majorBidi" w:cstheme="majorBidi"/>
          <w:bCs/>
          <w:lang w:val="en-GB"/>
        </w:rPr>
        <w:t xml:space="preserve"> </w:t>
      </w:r>
      <w:r w:rsidR="002802A6">
        <w:rPr>
          <w:rFonts w:asciiTheme="majorBidi" w:hAnsiTheme="majorBidi" w:cstheme="majorBidi"/>
          <w:bCs/>
          <w:lang w:val="en-GB"/>
        </w:rPr>
        <w:t xml:space="preserve">First, </w:t>
      </w:r>
      <w:r>
        <w:rPr>
          <w:rFonts w:asciiTheme="majorBidi" w:hAnsiTheme="majorBidi" w:cstheme="majorBidi"/>
          <w:bCs/>
          <w:lang w:val="en-GB"/>
        </w:rPr>
        <w:t xml:space="preserve">it </w:t>
      </w:r>
      <w:r w:rsidR="00685E65">
        <w:rPr>
          <w:rFonts w:asciiTheme="majorBidi" w:hAnsiTheme="majorBidi" w:cstheme="majorBidi"/>
          <w:bCs/>
          <w:lang w:val="en-GB"/>
        </w:rPr>
        <w:t>can further</w:t>
      </w:r>
      <w:r w:rsidR="00815CBE">
        <w:rPr>
          <w:rFonts w:asciiTheme="majorBidi" w:hAnsiTheme="majorBidi" w:cstheme="majorBidi"/>
          <w:bCs/>
          <w:lang w:val="en-GB"/>
        </w:rPr>
        <w:t xml:space="preserve"> </w:t>
      </w:r>
      <w:r>
        <w:rPr>
          <w:rFonts w:asciiTheme="majorBidi" w:hAnsiTheme="majorBidi" w:cstheme="majorBidi"/>
          <w:bCs/>
          <w:lang w:val="en-GB"/>
        </w:rPr>
        <w:t xml:space="preserve">tease out the relationship between </w:t>
      </w:r>
      <w:r w:rsidR="007A0DBA">
        <w:rPr>
          <w:rFonts w:asciiTheme="majorBidi" w:hAnsiTheme="majorBidi" w:cstheme="majorBidi"/>
          <w:bCs/>
          <w:lang w:val="en-GB"/>
        </w:rPr>
        <w:t xml:space="preserve">governance </w:t>
      </w:r>
      <w:r>
        <w:rPr>
          <w:rFonts w:asciiTheme="majorBidi" w:hAnsiTheme="majorBidi" w:cstheme="majorBidi"/>
          <w:bCs/>
          <w:lang w:val="en-GB"/>
        </w:rPr>
        <w:t xml:space="preserve">level and participation. In particular, there is an opportunity to </w:t>
      </w:r>
      <w:r w:rsidR="00815CBE">
        <w:rPr>
          <w:rFonts w:asciiTheme="majorBidi" w:hAnsiTheme="majorBidi" w:cstheme="majorBidi"/>
          <w:bCs/>
          <w:lang w:val="en-GB"/>
        </w:rPr>
        <w:t>explore whether participation in governance processes at sub-national level could indeed be more effective in generating throughput legitimacy</w:t>
      </w:r>
      <w:r>
        <w:rPr>
          <w:rFonts w:asciiTheme="majorBidi" w:hAnsiTheme="majorBidi" w:cstheme="majorBidi"/>
          <w:bCs/>
          <w:lang w:val="en-GB"/>
        </w:rPr>
        <w:t xml:space="preserve"> for administrative bodies</w:t>
      </w:r>
      <w:r w:rsidR="00815CBE">
        <w:rPr>
          <w:rFonts w:asciiTheme="majorBidi" w:hAnsiTheme="majorBidi" w:cstheme="majorBidi"/>
          <w:bCs/>
          <w:lang w:val="en-GB"/>
        </w:rPr>
        <w:t xml:space="preserve">. </w:t>
      </w:r>
      <w:r>
        <w:rPr>
          <w:rFonts w:asciiTheme="majorBidi" w:hAnsiTheme="majorBidi" w:cstheme="majorBidi"/>
          <w:bCs/>
          <w:lang w:val="en-GB"/>
        </w:rPr>
        <w:t>Second</w:t>
      </w:r>
      <w:r w:rsidR="00815CBE">
        <w:rPr>
          <w:rFonts w:asciiTheme="majorBidi" w:hAnsiTheme="majorBidi" w:cstheme="majorBidi"/>
          <w:bCs/>
          <w:lang w:val="en-GB"/>
        </w:rPr>
        <w:t>, future research in this area may consider whether, indeed, the typology of the policy sector – whether the focus is on politically sensitive areas, as in our analysis, or sectors less salient to the general public – can shape the effectiveness of participatory mechanisms in shaping the quality of governance processes, and hence throughput legitimacy.</w:t>
      </w:r>
      <w:r>
        <w:rPr>
          <w:rFonts w:asciiTheme="majorBidi" w:hAnsiTheme="majorBidi" w:cstheme="majorBidi"/>
          <w:bCs/>
          <w:lang w:val="en-GB"/>
        </w:rPr>
        <w:t xml:space="preserve"> Such work is vital in building a fuller picture of </w:t>
      </w:r>
      <w:r w:rsidR="00815CBE">
        <w:rPr>
          <w:rFonts w:asciiTheme="majorBidi" w:hAnsiTheme="majorBidi" w:cstheme="majorBidi"/>
          <w:bCs/>
          <w:lang w:val="en-GB"/>
        </w:rPr>
        <w:t xml:space="preserve">participation in governance processes and the broader issue of legitimacy. </w:t>
      </w:r>
    </w:p>
    <w:p w14:paraId="68C4BFAE" w14:textId="77777777" w:rsidR="00E3395B" w:rsidRDefault="00E3395B" w:rsidP="00172513">
      <w:pPr>
        <w:spacing w:line="360" w:lineRule="auto"/>
        <w:jc w:val="both"/>
        <w:rPr>
          <w:rFonts w:asciiTheme="majorBidi" w:hAnsiTheme="majorBidi" w:cstheme="majorBidi"/>
          <w:b/>
          <w:lang w:val="en-GB"/>
        </w:rPr>
      </w:pPr>
    </w:p>
    <w:p w14:paraId="316C9D88" w14:textId="71D80129" w:rsidR="0032082E" w:rsidRPr="00B10073" w:rsidRDefault="0032082E" w:rsidP="00172513">
      <w:pPr>
        <w:spacing w:line="360" w:lineRule="auto"/>
        <w:jc w:val="both"/>
        <w:rPr>
          <w:rFonts w:asciiTheme="majorBidi" w:hAnsiTheme="majorBidi" w:cstheme="majorBidi"/>
          <w:b/>
          <w:lang w:val="en-GB"/>
        </w:rPr>
      </w:pPr>
      <w:r>
        <w:rPr>
          <w:rFonts w:asciiTheme="majorBidi" w:hAnsiTheme="majorBidi" w:cstheme="majorBidi"/>
          <w:b/>
          <w:lang w:val="en-GB"/>
        </w:rPr>
        <w:t>Notes</w:t>
      </w:r>
    </w:p>
    <w:sectPr w:rsidR="0032082E" w:rsidRPr="00B10073" w:rsidSect="00DD3B1D">
      <w:footerReference w:type="default" r:id="rId9"/>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F89DB" w14:textId="77777777" w:rsidR="00E4256A" w:rsidRDefault="00E4256A" w:rsidP="00BA4DEF">
      <w:r>
        <w:separator/>
      </w:r>
    </w:p>
  </w:endnote>
  <w:endnote w:type="continuationSeparator" w:id="0">
    <w:p w14:paraId="00F83035" w14:textId="77777777" w:rsidR="00E4256A" w:rsidRDefault="00E4256A" w:rsidP="00BA4DEF">
      <w:r>
        <w:continuationSeparator/>
      </w:r>
    </w:p>
  </w:endnote>
  <w:endnote w:id="1">
    <w:p w14:paraId="1B969316" w14:textId="6C933DDD" w:rsidR="001101F8" w:rsidRPr="00052538" w:rsidRDefault="00E4256A" w:rsidP="00B220F8">
      <w:pPr>
        <w:pStyle w:val="EndnoteText"/>
        <w:jc w:val="both"/>
        <w:rPr>
          <w:rFonts w:asciiTheme="majorBidi" w:hAnsiTheme="majorBidi" w:cstheme="majorBidi"/>
        </w:rPr>
      </w:pPr>
      <w:r w:rsidRPr="00D572F7">
        <w:rPr>
          <w:rStyle w:val="EndnoteReference"/>
          <w:rFonts w:asciiTheme="majorBidi" w:hAnsiTheme="majorBidi" w:cstheme="majorBidi"/>
        </w:rPr>
        <w:endnoteRef/>
      </w:r>
      <w:r w:rsidRPr="00D572F7">
        <w:rPr>
          <w:rFonts w:asciiTheme="majorBidi" w:hAnsiTheme="majorBidi" w:cstheme="majorBidi"/>
        </w:rPr>
        <w:t xml:space="preserve"> </w:t>
      </w:r>
      <w:r w:rsidRPr="009F6CFD">
        <w:rPr>
          <w:rFonts w:asciiTheme="majorBidi" w:hAnsiTheme="majorBidi" w:cstheme="majorBidi"/>
        </w:rPr>
        <w:t xml:space="preserve">We </w:t>
      </w:r>
      <w:r w:rsidR="00773B2D">
        <w:rPr>
          <w:rFonts w:asciiTheme="majorBidi" w:hAnsiTheme="majorBidi" w:cstheme="majorBidi"/>
        </w:rPr>
        <w:t>employ the terms ‘participatory’ and ‘participation’ here in line with</w:t>
      </w:r>
      <w:r w:rsidR="001101F8">
        <w:rPr>
          <w:rFonts w:asciiTheme="majorBidi" w:hAnsiTheme="majorBidi" w:cstheme="majorBidi"/>
        </w:rPr>
        <w:t xml:space="preserve"> </w:t>
      </w:r>
      <w:r w:rsidR="00685E65">
        <w:rPr>
          <w:rFonts w:asciiTheme="majorBidi" w:hAnsiTheme="majorBidi" w:cstheme="majorBidi"/>
        </w:rPr>
        <w:t>Schmidt’s (2013</w:t>
      </w:r>
      <w:r w:rsidR="00773B2D">
        <w:rPr>
          <w:rFonts w:asciiTheme="majorBidi" w:hAnsiTheme="majorBidi" w:cstheme="majorBidi"/>
        </w:rPr>
        <w:t xml:space="preserve">) </w:t>
      </w:r>
      <w:r w:rsidR="00644503">
        <w:rPr>
          <w:rFonts w:asciiTheme="majorBidi" w:hAnsiTheme="majorBidi" w:cstheme="majorBidi"/>
        </w:rPr>
        <w:t>account of democratic governance ‘with’ the people</w:t>
      </w:r>
      <w:r w:rsidR="00773B2D">
        <w:rPr>
          <w:rFonts w:asciiTheme="majorBidi" w:hAnsiTheme="majorBidi" w:cstheme="majorBidi"/>
        </w:rPr>
        <w:t xml:space="preserve">. As a distinct addition to Abraham Lincoln’s famous dictum about democracy as being by, of, and for the people—understood respectively as </w:t>
      </w:r>
      <w:r w:rsidR="00B220F8">
        <w:rPr>
          <w:rFonts w:asciiTheme="majorBidi" w:hAnsiTheme="majorBidi" w:cstheme="majorBidi"/>
        </w:rPr>
        <w:t>voting</w:t>
      </w:r>
      <w:r w:rsidR="00F679B9">
        <w:rPr>
          <w:rFonts w:asciiTheme="majorBidi" w:hAnsiTheme="majorBidi" w:cstheme="majorBidi"/>
        </w:rPr>
        <w:t xml:space="preserve"> in elections or referenda</w:t>
      </w:r>
      <w:r w:rsidR="00773B2D" w:rsidRPr="00773B2D">
        <w:rPr>
          <w:rFonts w:asciiTheme="majorBidi" w:hAnsiTheme="majorBidi" w:cstheme="majorBidi"/>
        </w:rPr>
        <w:t>, citizen representation and governing effectivene</w:t>
      </w:r>
      <w:r w:rsidR="00773B2D">
        <w:rPr>
          <w:rFonts w:asciiTheme="majorBidi" w:hAnsiTheme="majorBidi" w:cstheme="majorBidi"/>
        </w:rPr>
        <w:t>ss—governing ‘with’ the people in this sense entail</w:t>
      </w:r>
      <w:r w:rsidR="00644503">
        <w:rPr>
          <w:rFonts w:asciiTheme="majorBidi" w:hAnsiTheme="majorBidi" w:cstheme="majorBidi"/>
        </w:rPr>
        <w:t>s an</w:t>
      </w:r>
      <w:r w:rsidR="00773B2D">
        <w:rPr>
          <w:rFonts w:asciiTheme="majorBidi" w:hAnsiTheme="majorBidi" w:cstheme="majorBidi"/>
        </w:rPr>
        <w:t xml:space="preserve"> effort to </w:t>
      </w:r>
      <w:r w:rsidR="007D48A4">
        <w:rPr>
          <w:rFonts w:asciiTheme="majorBidi" w:hAnsiTheme="majorBidi" w:cstheme="majorBidi"/>
        </w:rPr>
        <w:t xml:space="preserve">actively consult with </w:t>
      </w:r>
      <w:r w:rsidR="00773B2D">
        <w:rPr>
          <w:rFonts w:asciiTheme="majorBidi" w:hAnsiTheme="majorBidi" w:cstheme="majorBidi"/>
        </w:rPr>
        <w:t>stakeholders</w:t>
      </w:r>
      <w:r w:rsidR="007D48A4">
        <w:rPr>
          <w:rFonts w:asciiTheme="majorBidi" w:hAnsiTheme="majorBidi" w:cstheme="majorBidi"/>
        </w:rPr>
        <w:t xml:space="preserve"> in the policy process</w:t>
      </w:r>
      <w:r w:rsidR="00644503">
        <w:rPr>
          <w:rFonts w:asciiTheme="majorBidi" w:hAnsiTheme="majorBidi" w:cstheme="majorBidi"/>
        </w:rPr>
        <w:t>.</w:t>
      </w:r>
      <w:r w:rsidR="007D48A4">
        <w:rPr>
          <w:rFonts w:asciiTheme="majorBidi" w:hAnsiTheme="majorBidi" w:cstheme="majorBidi"/>
        </w:rPr>
        <w:t xml:space="preserve"> Schmidt’s primary normative concern-like ours-is with the inclusion of marginal or poorly resourced civil society actors who have historically been peripheral to governance processes.</w:t>
      </w:r>
    </w:p>
  </w:endnote>
  <w:endnote w:id="2">
    <w:p w14:paraId="68A4022B" w14:textId="7123DD3D"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There are important exceptions, of course, including the theoretical connections made by Nabatchi (2010).</w:t>
      </w:r>
    </w:p>
  </w:endnote>
  <w:endnote w:id="3">
    <w:p w14:paraId="1024B94C" w14:textId="433091D1"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These yardsticks were developed by the authors to measure Schmidt’s dimensions of throughput legitimacy as ‘inclusiveness and openness to civil society’.</w:t>
      </w:r>
    </w:p>
  </w:endnote>
  <w:endnote w:id="4">
    <w:p w14:paraId="2D070F40" w14:textId="511E4124" w:rsidR="00E4256A" w:rsidRPr="009F6CFD" w:rsidRDefault="00E4256A" w:rsidP="009F6CFD">
      <w:pPr>
        <w:pStyle w:val="EndnoteText"/>
        <w:jc w:val="both"/>
        <w:rPr>
          <w:rFonts w:asciiTheme="majorBidi" w:hAnsiTheme="majorBidi" w:cstheme="majorBidi"/>
          <w:lang w:val="en-GB"/>
        </w:rPr>
      </w:pPr>
      <w:r w:rsidRPr="009F6CFD">
        <w:rPr>
          <w:rStyle w:val="EndnoteReference"/>
          <w:rFonts w:asciiTheme="majorBidi" w:hAnsiTheme="majorBidi" w:cstheme="majorBidi"/>
        </w:rPr>
        <w:endnoteRef/>
      </w:r>
      <w:r w:rsidRPr="009F6CFD">
        <w:rPr>
          <w:rFonts w:asciiTheme="majorBidi" w:hAnsiTheme="majorBidi" w:cstheme="majorBidi"/>
        </w:rPr>
        <w:t xml:space="preserve"> These are defined as ‘</w:t>
      </w:r>
      <w:r w:rsidRPr="009F6CFD">
        <w:rPr>
          <w:rFonts w:asciiTheme="majorBidi" w:hAnsiTheme="majorBidi" w:cstheme="majorBidi"/>
          <w:lang w:val="en-GB"/>
        </w:rPr>
        <w:t>those governmental entities that (a) possess and exercise some grant of specialised public authority, separate from that of other institutions, but (b) are neither directly elected by the people, nor directly managed by elected officials’ (Thatcher and Sweet 2002: 2).</w:t>
      </w:r>
    </w:p>
  </w:endnote>
  <w:endnote w:id="5">
    <w:p w14:paraId="356A41DB" w14:textId="3BD27231"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Work on political participation consistently shows that citizens are more likely to be actively engaged in issues closer to their daily lives or central to their sense of identity (see Lowndes et al. 2006), while EU initiatives have traditionally struggled to foster any genuine sense of a European public sphere (e.g. De Clerck-Sachsse 2012). </w:t>
      </w:r>
    </w:p>
  </w:endnote>
  <w:endnote w:id="6">
    <w:p w14:paraId="2628AB8D" w14:textId="40BC0CB3"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w:t>
      </w:r>
      <w:r w:rsidRPr="009F6CFD">
        <w:rPr>
          <w:rFonts w:asciiTheme="majorBidi" w:hAnsiTheme="majorBidi" w:cstheme="majorBidi"/>
          <w:lang w:val="en-GB"/>
        </w:rPr>
        <w:t>The empirical case focusing on the European Commission draws on several rounds of qualitative interviews (35) with Commission officials and children’s rights NGOs as part of the ESRC post-doctoral fellowship PTA-026–27-2846 ‘The EU Human Rights Regime: Policy Feedback and Children’s Rights’ (2011–2012).</w:t>
      </w:r>
    </w:p>
  </w:endnote>
  <w:endnote w:id="7">
    <w:p w14:paraId="5C70D2C7" w14:textId="466553C5"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w:t>
      </w:r>
      <w:r w:rsidRPr="009F6CFD">
        <w:rPr>
          <w:rFonts w:asciiTheme="majorBidi" w:hAnsiTheme="majorBidi" w:cstheme="majorBidi"/>
          <w:bCs/>
          <w:iCs/>
          <w:lang w:val="en-GB"/>
        </w:rPr>
        <w:t>However—given the tenuous nature of the initiative at this stage—none of the interviews or private discussions were ‘on-the-record’, and so only comments made in the explicitly public fora of the NHS Citizen events will be referred to in the analysis.</w:t>
      </w:r>
    </w:p>
  </w:endnote>
  <w:endnote w:id="8">
    <w:p w14:paraId="10F846AB" w14:textId="14A69FB6"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w:t>
      </w:r>
      <w:r w:rsidRPr="009F6CFD">
        <w:rPr>
          <w:rFonts w:asciiTheme="majorBidi" w:hAnsiTheme="majorBidi" w:cstheme="majorBidi"/>
          <w:bCs/>
          <w:iCs/>
          <w:lang w:val="en-GB"/>
        </w:rPr>
        <w:t xml:space="preserve">Author’s interview with Commission officials, Brussels, </w:t>
      </w:r>
      <w:r w:rsidR="00443BB9">
        <w:rPr>
          <w:rFonts w:asciiTheme="majorBidi" w:hAnsiTheme="majorBidi" w:cstheme="majorBidi"/>
          <w:bCs/>
          <w:iCs/>
          <w:lang w:val="en-GB"/>
        </w:rPr>
        <w:t xml:space="preserve">July </w:t>
      </w:r>
      <w:r w:rsidRPr="009F6CFD">
        <w:rPr>
          <w:rFonts w:asciiTheme="majorBidi" w:hAnsiTheme="majorBidi" w:cstheme="majorBidi"/>
          <w:bCs/>
          <w:iCs/>
          <w:lang w:val="en-GB"/>
        </w:rPr>
        <w:t>2011.</w:t>
      </w:r>
    </w:p>
  </w:endnote>
  <w:endnote w:id="9">
    <w:p w14:paraId="276B6001" w14:textId="686C9FBF" w:rsidR="00E4256A" w:rsidRPr="009F6CFD" w:rsidRDefault="00E4256A" w:rsidP="00A16DDA">
      <w:pPr>
        <w:pStyle w:val="EndnoteText"/>
        <w:jc w:val="both"/>
        <w:rPr>
          <w:rFonts w:asciiTheme="majorBidi" w:hAnsiTheme="majorBidi" w:cstheme="majorBidi"/>
          <w:lang w:val="en-GB"/>
        </w:rPr>
      </w:pPr>
      <w:r w:rsidRPr="009F6CFD">
        <w:rPr>
          <w:rStyle w:val="EndnoteReference"/>
          <w:rFonts w:asciiTheme="majorBidi" w:hAnsiTheme="majorBidi" w:cstheme="majorBidi"/>
        </w:rPr>
        <w:endnoteRef/>
      </w:r>
      <w:r w:rsidR="00A16DDA">
        <w:rPr>
          <w:rFonts w:asciiTheme="majorBidi" w:hAnsiTheme="majorBidi" w:cstheme="majorBidi"/>
        </w:rPr>
        <w:t xml:space="preserve"> For a full list of EU </w:t>
      </w:r>
      <w:r w:rsidR="00A16DDA" w:rsidRPr="00E91867">
        <w:rPr>
          <w:rFonts w:asciiTheme="majorBidi" w:hAnsiTheme="majorBidi" w:cstheme="majorBidi"/>
          <w:i/>
          <w:iCs/>
        </w:rPr>
        <w:t>acquis</w:t>
      </w:r>
      <w:r w:rsidR="00A16DDA">
        <w:rPr>
          <w:rFonts w:asciiTheme="majorBidi" w:hAnsiTheme="majorBidi" w:cstheme="majorBidi"/>
        </w:rPr>
        <w:t xml:space="preserve"> and policy documents on children’s rights check </w:t>
      </w:r>
      <w:hyperlink r:id="rId1" w:history="1">
        <w:r w:rsidR="00A16DDA" w:rsidRPr="00B91686">
          <w:rPr>
            <w:rStyle w:val="Hyperlink"/>
            <w:rFonts w:asciiTheme="majorBidi" w:hAnsiTheme="majorBidi" w:cstheme="majorBidi"/>
          </w:rPr>
          <w:t>http://ec.europa.eu/justice/fundamental-rights/files/acquis_rights_of_child.pdf</w:t>
        </w:r>
      </w:hyperlink>
      <w:r w:rsidR="00A16DDA">
        <w:rPr>
          <w:rFonts w:asciiTheme="majorBidi" w:hAnsiTheme="majorBidi" w:cstheme="majorBidi"/>
        </w:rPr>
        <w:t xml:space="preserve"> </w:t>
      </w:r>
    </w:p>
  </w:endnote>
  <w:endnote w:id="10">
    <w:p w14:paraId="67010B01" w14:textId="0231A185" w:rsidR="00E4256A" w:rsidRPr="009F6CFD" w:rsidRDefault="00E4256A" w:rsidP="009F6CFD">
      <w:pPr>
        <w:pStyle w:val="EndnoteText"/>
        <w:jc w:val="both"/>
        <w:rPr>
          <w:rFonts w:asciiTheme="majorBidi" w:hAnsiTheme="majorBidi" w:cstheme="majorBidi"/>
          <w:lang w:val="en-GB"/>
        </w:rPr>
      </w:pPr>
      <w:r w:rsidRPr="009F6CFD">
        <w:rPr>
          <w:rStyle w:val="EndnoteReference"/>
          <w:rFonts w:asciiTheme="majorBidi" w:hAnsiTheme="majorBidi" w:cstheme="majorBidi"/>
        </w:rPr>
        <w:endnoteRef/>
      </w:r>
      <w:r w:rsidRPr="009F6CFD">
        <w:rPr>
          <w:rFonts w:asciiTheme="majorBidi" w:hAnsiTheme="majorBidi" w:cstheme="majorBidi"/>
        </w:rPr>
        <w:t xml:space="preserve"> According to the Forum’s ‘Terms of Reference’(2008), it was supposed to achieve two objectives:</w:t>
      </w:r>
      <w:r w:rsidRPr="009F6CFD">
        <w:rPr>
          <w:rFonts w:asciiTheme="majorBidi" w:hAnsiTheme="majorBidi" w:cstheme="majorBidi"/>
          <w:lang w:val="en-GB"/>
        </w:rPr>
        <w:t xml:space="preserve">  ‘advise and assist the</w:t>
      </w:r>
      <w:r w:rsidR="00443BB9">
        <w:rPr>
          <w:rFonts w:asciiTheme="majorBidi" w:hAnsiTheme="majorBidi" w:cstheme="majorBidi"/>
          <w:lang w:val="en-GB"/>
        </w:rPr>
        <w:t xml:space="preserve"> Commission and other European i</w:t>
      </w:r>
      <w:r w:rsidRPr="009F6CFD">
        <w:rPr>
          <w:rFonts w:asciiTheme="majorBidi" w:hAnsiTheme="majorBidi" w:cstheme="majorBidi"/>
          <w:lang w:val="en-GB"/>
        </w:rPr>
        <w:t>nstitutions, in particular as regards mainstreaming of children's rights in EU legislation, policies, and programmes; exchange information and good practice between stakeholders […]’ (European Commission 2008:3).</w:t>
      </w:r>
    </w:p>
  </w:endnote>
  <w:endnote w:id="11">
    <w:p w14:paraId="7338DECB" w14:textId="64408B6A"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Author’s interview with child rights organizations and networks, Brussels, July, September 2011.</w:t>
      </w:r>
    </w:p>
  </w:endnote>
  <w:endnote w:id="12">
    <w:p w14:paraId="0E6CD062" w14:textId="715CE6AA" w:rsidR="00E4256A" w:rsidRPr="009F6CFD" w:rsidRDefault="00E4256A" w:rsidP="009F6CFD">
      <w:pPr>
        <w:pStyle w:val="EndnoteText"/>
        <w:jc w:val="both"/>
        <w:rPr>
          <w:rFonts w:asciiTheme="majorBidi" w:hAnsiTheme="majorBidi" w:cstheme="majorBidi"/>
          <w:lang w:val="en-GB"/>
        </w:rPr>
      </w:pPr>
      <w:r w:rsidRPr="009F6CFD">
        <w:rPr>
          <w:rStyle w:val="EndnoteReference"/>
          <w:rFonts w:asciiTheme="majorBidi" w:hAnsiTheme="majorBidi" w:cstheme="majorBidi"/>
        </w:rPr>
        <w:endnoteRef/>
      </w:r>
      <w:r w:rsidRPr="009F6CFD">
        <w:rPr>
          <w:rFonts w:asciiTheme="majorBidi" w:hAnsiTheme="majorBidi" w:cstheme="majorBidi"/>
        </w:rPr>
        <w:t xml:space="preserve"> Author’s informal conversations with child rights networks, Brussels, February 2014.</w:t>
      </w:r>
    </w:p>
  </w:endnote>
  <w:endnote w:id="13">
    <w:p w14:paraId="742CEB48" w14:textId="42429600" w:rsidR="0032364C" w:rsidRPr="0032364C" w:rsidRDefault="0032364C" w:rsidP="00443BB9">
      <w:pPr>
        <w:pStyle w:val="EndnoteText"/>
        <w:rPr>
          <w:rFonts w:asciiTheme="majorBidi" w:hAnsiTheme="majorBidi" w:cstheme="majorBidi"/>
        </w:rPr>
      </w:pPr>
      <w:r>
        <w:rPr>
          <w:rStyle w:val="EndnoteReference"/>
        </w:rPr>
        <w:endnoteRef/>
      </w:r>
      <w:r>
        <w:t xml:space="preserve"> </w:t>
      </w:r>
      <w:r w:rsidRPr="0032364C">
        <w:rPr>
          <w:rFonts w:asciiTheme="majorBidi" w:hAnsiTheme="majorBidi" w:cstheme="majorBidi"/>
        </w:rPr>
        <w:t xml:space="preserve">Author’s </w:t>
      </w:r>
      <w:r w:rsidR="00443BB9">
        <w:rPr>
          <w:rFonts w:asciiTheme="majorBidi" w:hAnsiTheme="majorBidi" w:cstheme="majorBidi"/>
        </w:rPr>
        <w:t xml:space="preserve">interview </w:t>
      </w:r>
      <w:r w:rsidRPr="0032364C">
        <w:rPr>
          <w:rFonts w:asciiTheme="majorBidi" w:hAnsiTheme="majorBidi" w:cstheme="majorBidi"/>
        </w:rPr>
        <w:t>with child rights networks, Brussels,</w:t>
      </w:r>
      <w:r w:rsidR="00443BB9">
        <w:rPr>
          <w:rFonts w:asciiTheme="majorBidi" w:hAnsiTheme="majorBidi" w:cstheme="majorBidi"/>
        </w:rPr>
        <w:t xml:space="preserve"> July 2011</w:t>
      </w:r>
      <w:r w:rsidRPr="0032364C">
        <w:rPr>
          <w:rFonts w:asciiTheme="majorBidi" w:hAnsiTheme="majorBidi" w:cstheme="majorBidi"/>
        </w:rPr>
        <w:t>.</w:t>
      </w:r>
    </w:p>
  </w:endnote>
  <w:endnote w:id="14">
    <w:p w14:paraId="36409A4A" w14:textId="74F32520" w:rsidR="0032364C" w:rsidRPr="0032364C" w:rsidRDefault="0032364C" w:rsidP="0032364C">
      <w:pPr>
        <w:pStyle w:val="EndnoteText"/>
        <w:rPr>
          <w:rFonts w:asciiTheme="majorBidi" w:hAnsiTheme="majorBidi" w:cstheme="majorBidi"/>
        </w:rPr>
      </w:pPr>
      <w:r w:rsidRPr="0032364C">
        <w:rPr>
          <w:rStyle w:val="EndnoteReference"/>
          <w:rFonts w:asciiTheme="majorBidi" w:hAnsiTheme="majorBidi" w:cstheme="majorBidi"/>
        </w:rPr>
        <w:endnoteRef/>
      </w:r>
      <w:r w:rsidRPr="0032364C">
        <w:rPr>
          <w:rFonts w:asciiTheme="majorBidi" w:hAnsiTheme="majorBidi" w:cstheme="majorBidi"/>
        </w:rPr>
        <w:t xml:space="preserve"> Author’s informal conversations with child rights networks, Brussels, February 2014.</w:t>
      </w:r>
    </w:p>
  </w:endnote>
  <w:endnote w:id="15">
    <w:p w14:paraId="3B1EFEF0" w14:textId="58635864" w:rsidR="00E4256A" w:rsidRPr="009F6CFD" w:rsidRDefault="00E4256A" w:rsidP="009F6CFD">
      <w:pPr>
        <w:pStyle w:val="EndnoteText"/>
        <w:jc w:val="both"/>
        <w:rPr>
          <w:rFonts w:asciiTheme="majorBidi" w:hAnsiTheme="majorBidi" w:cstheme="majorBidi"/>
          <w:lang w:val="en-GB"/>
        </w:rPr>
      </w:pPr>
      <w:r w:rsidRPr="009F6CFD">
        <w:rPr>
          <w:rStyle w:val="EndnoteReference"/>
          <w:rFonts w:asciiTheme="majorBidi" w:hAnsiTheme="majorBidi" w:cstheme="majorBidi"/>
        </w:rPr>
        <w:endnoteRef/>
      </w:r>
      <w:r w:rsidRPr="009F6CFD">
        <w:rPr>
          <w:rFonts w:asciiTheme="majorBidi" w:hAnsiTheme="majorBidi" w:cstheme="majorBidi"/>
        </w:rPr>
        <w:t xml:space="preserve"> </w:t>
      </w:r>
      <w:r w:rsidRPr="009F6CFD">
        <w:rPr>
          <w:rFonts w:asciiTheme="majorBidi" w:hAnsiTheme="majorBidi" w:cstheme="majorBidi"/>
          <w:lang w:val="en-GB"/>
        </w:rPr>
        <w:t>Discussion in NHS Citizen Design Workshop in Bristol, September 2014.</w:t>
      </w:r>
    </w:p>
  </w:endnote>
  <w:endnote w:id="16">
    <w:p w14:paraId="5DFBB06C" w14:textId="390CEAD0"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See items 3 and 4 in the minutes of the NHS Board Meeting in London, 28 February 2013.</w:t>
      </w:r>
    </w:p>
  </w:endnote>
  <w:endnote w:id="17">
    <w:p w14:paraId="2ED065C2" w14:textId="69272CB5"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Discussion in NHS Research Forum in London, January 2015.</w:t>
      </w:r>
    </w:p>
  </w:endnote>
  <w:endnote w:id="18">
    <w:p w14:paraId="18852061" w14:textId="71521A0C" w:rsidR="003C0786" w:rsidRPr="00052538" w:rsidRDefault="003C0786" w:rsidP="00052538">
      <w:pPr>
        <w:pStyle w:val="EndnoteText"/>
        <w:jc w:val="both"/>
        <w:rPr>
          <w:rFonts w:asciiTheme="majorBidi" w:hAnsiTheme="majorBidi" w:cstheme="majorBidi"/>
        </w:rPr>
      </w:pPr>
      <w:r>
        <w:rPr>
          <w:rStyle w:val="EndnoteReference"/>
        </w:rPr>
        <w:endnoteRef/>
      </w:r>
      <w:r>
        <w:t xml:space="preserve"> </w:t>
      </w:r>
      <w:r w:rsidRPr="00052538">
        <w:rPr>
          <w:rFonts w:asciiTheme="majorBidi" w:hAnsiTheme="majorBidi" w:cstheme="majorBidi"/>
        </w:rPr>
        <w:t>Note that despite the branding, lay citizens have tended to represent a small minority of those most active in the initiative. It is technically open to all-comers, but it has been largely those with an affiliation to a relevant civil society group in the health sector who have been aware of the opportunity and had the skills and knowledge to make use of it.</w:t>
      </w:r>
    </w:p>
  </w:endnote>
  <w:endnote w:id="19">
    <w:p w14:paraId="2C74582C" w14:textId="67B92D56" w:rsidR="00E4256A" w:rsidRPr="009F6CFD" w:rsidRDefault="00E4256A" w:rsidP="00685E65">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w:t>
      </w:r>
      <w:r w:rsidRPr="009F6CFD">
        <w:rPr>
          <w:rFonts w:asciiTheme="majorBidi" w:hAnsiTheme="majorBidi" w:cstheme="majorBidi"/>
          <w:bCs/>
          <w:lang w:val="en-GB"/>
        </w:rPr>
        <w:t>These are organisations staffed by professionals who specialise in facilitating democratic innovation, working with institutions to bring together, engage and develop citizen and civil society perspectives</w:t>
      </w:r>
      <w:r w:rsidR="00685E65">
        <w:rPr>
          <w:rFonts w:asciiTheme="majorBidi" w:hAnsiTheme="majorBidi" w:cstheme="majorBidi"/>
          <w:bCs/>
          <w:lang w:val="en-GB"/>
        </w:rPr>
        <w:t>.</w:t>
      </w:r>
    </w:p>
  </w:endnote>
  <w:endnote w:id="20">
    <w:p w14:paraId="605DA522" w14:textId="2EC91ADF"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See, for example, this set of reflections published on the blogsite of one of the collaborating organizations: </w:t>
      </w:r>
      <w:hyperlink r:id="rId2" w:history="1">
        <w:r w:rsidRPr="009F6CFD">
          <w:rPr>
            <w:rStyle w:val="Hyperlink"/>
            <w:rFonts w:asciiTheme="majorBidi" w:hAnsiTheme="majorBidi" w:cstheme="majorBidi"/>
          </w:rPr>
          <w:t>http://www.demsoc.org/265/</w:t>
        </w:r>
      </w:hyperlink>
      <w:r w:rsidRPr="009F6CFD">
        <w:rPr>
          <w:rFonts w:asciiTheme="majorBidi" w:hAnsiTheme="majorBidi" w:cstheme="majorBidi"/>
        </w:rPr>
        <w:t xml:space="preserve">. </w:t>
      </w:r>
    </w:p>
  </w:endnote>
  <w:endnote w:id="21">
    <w:p w14:paraId="25E7AE8D" w14:textId="77777777"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Discussion in NHS Citizen Research Workshop in London, April 2015.</w:t>
      </w:r>
    </w:p>
  </w:endnote>
  <w:endnote w:id="22">
    <w:p w14:paraId="2EF1CC0C" w14:textId="46C7BF52" w:rsidR="00E4256A" w:rsidRPr="009F6CFD" w:rsidRDefault="00E4256A" w:rsidP="009F6CFD">
      <w:pPr>
        <w:pStyle w:val="EndnoteText"/>
        <w:jc w:val="both"/>
        <w:rPr>
          <w:rFonts w:asciiTheme="majorBidi" w:hAnsiTheme="majorBidi" w:cstheme="majorBidi"/>
          <w:lang w:val="en-GB"/>
        </w:rPr>
      </w:pPr>
      <w:r w:rsidRPr="009F6CFD">
        <w:rPr>
          <w:rStyle w:val="EndnoteReference"/>
          <w:rFonts w:asciiTheme="majorBidi" w:hAnsiTheme="majorBidi" w:cstheme="majorBidi"/>
        </w:rPr>
        <w:endnoteRef/>
      </w:r>
      <w:r w:rsidRPr="009F6CFD">
        <w:rPr>
          <w:rFonts w:asciiTheme="majorBidi" w:hAnsiTheme="majorBidi" w:cstheme="majorBidi"/>
        </w:rPr>
        <w:t xml:space="preserve"> </w:t>
      </w:r>
      <w:r w:rsidRPr="009F6CFD">
        <w:rPr>
          <w:rFonts w:asciiTheme="majorBidi" w:hAnsiTheme="majorBidi" w:cstheme="majorBidi"/>
          <w:lang w:val="en-GB"/>
        </w:rPr>
        <w:t>Discussion in NHS Citizen Design Workshop in Bristol, September 2014.</w:t>
      </w:r>
    </w:p>
  </w:endnote>
  <w:endnote w:id="23">
    <w:p w14:paraId="61559A80" w14:textId="7814C44D"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Discussion in NHS Design Meeting in Bristol, July 2014.</w:t>
      </w:r>
    </w:p>
  </w:endnote>
  <w:endnote w:id="24">
    <w:p w14:paraId="3FD85285" w14:textId="0F89902A" w:rsidR="00E4256A" w:rsidRPr="009F6CFD" w:rsidRDefault="00E4256A" w:rsidP="009F6CFD">
      <w:pPr>
        <w:pStyle w:val="EndnoteText"/>
        <w:jc w:val="both"/>
        <w:rPr>
          <w:rFonts w:asciiTheme="majorBidi" w:hAnsiTheme="majorBidi" w:cstheme="majorBidi"/>
          <w:lang w:val="en-GB"/>
        </w:rPr>
      </w:pPr>
      <w:r w:rsidRPr="009F6CFD">
        <w:rPr>
          <w:rStyle w:val="EndnoteReference"/>
          <w:rFonts w:asciiTheme="majorBidi" w:hAnsiTheme="majorBidi" w:cstheme="majorBidi"/>
        </w:rPr>
        <w:endnoteRef/>
      </w:r>
      <w:r w:rsidRPr="009F6CFD">
        <w:rPr>
          <w:rFonts w:asciiTheme="majorBidi" w:hAnsiTheme="majorBidi" w:cstheme="majorBidi"/>
        </w:rPr>
        <w:t xml:space="preserve"> </w:t>
      </w:r>
      <w:r w:rsidRPr="009F6CFD">
        <w:rPr>
          <w:rFonts w:asciiTheme="majorBidi" w:hAnsiTheme="majorBidi" w:cstheme="majorBidi"/>
          <w:lang w:val="en-GB"/>
        </w:rPr>
        <w:t>Author’s interview with child rights organisations, Brussels, July 2011.</w:t>
      </w:r>
    </w:p>
  </w:endnote>
  <w:endnote w:id="25">
    <w:p w14:paraId="255A1D99" w14:textId="51E7774A" w:rsidR="00E4256A" w:rsidRPr="009F6CFD" w:rsidRDefault="00E4256A" w:rsidP="00443BB9">
      <w:pPr>
        <w:pStyle w:val="EndnoteText"/>
        <w:jc w:val="both"/>
        <w:rPr>
          <w:rFonts w:asciiTheme="majorBidi" w:hAnsiTheme="majorBidi" w:cstheme="majorBidi"/>
          <w:lang w:val="en-GB"/>
        </w:rPr>
      </w:pPr>
      <w:r w:rsidRPr="009F6CFD">
        <w:rPr>
          <w:rStyle w:val="EndnoteReference"/>
          <w:rFonts w:asciiTheme="majorBidi" w:hAnsiTheme="majorBidi" w:cstheme="majorBidi"/>
        </w:rPr>
        <w:endnoteRef/>
      </w:r>
      <w:r w:rsidRPr="009F6CFD">
        <w:rPr>
          <w:rFonts w:asciiTheme="majorBidi" w:hAnsiTheme="majorBidi" w:cstheme="majorBidi"/>
        </w:rPr>
        <w:t xml:space="preserve"> </w:t>
      </w:r>
      <w:r w:rsidRPr="009F6CFD">
        <w:rPr>
          <w:rFonts w:asciiTheme="majorBidi" w:hAnsiTheme="majorBidi" w:cstheme="majorBidi"/>
          <w:lang w:val="en-GB"/>
        </w:rPr>
        <w:t>Author’s</w:t>
      </w:r>
      <w:r w:rsidR="00443BB9">
        <w:rPr>
          <w:rFonts w:asciiTheme="majorBidi" w:hAnsiTheme="majorBidi" w:cstheme="majorBidi"/>
          <w:lang w:val="en-GB"/>
        </w:rPr>
        <w:t xml:space="preserve"> interview with child rights networks, Brussels, July 2011</w:t>
      </w:r>
      <w:r w:rsidRPr="009F6CFD">
        <w:rPr>
          <w:rFonts w:asciiTheme="majorBidi" w:hAnsiTheme="majorBidi" w:cstheme="majorBidi"/>
          <w:lang w:val="en-GB"/>
        </w:rPr>
        <w:t>.</w:t>
      </w:r>
    </w:p>
  </w:endnote>
  <w:endnote w:id="26">
    <w:p w14:paraId="36B3C876" w14:textId="7FB4DED0" w:rsidR="00E4256A" w:rsidRPr="009F6CFD" w:rsidRDefault="00E4256A" w:rsidP="009F6CFD">
      <w:pPr>
        <w:pStyle w:val="EndnoteText"/>
        <w:jc w:val="both"/>
        <w:rPr>
          <w:rFonts w:asciiTheme="majorBidi" w:hAnsiTheme="majorBidi" w:cstheme="majorBidi"/>
        </w:rPr>
      </w:pPr>
      <w:r w:rsidRPr="009F6CFD">
        <w:rPr>
          <w:rStyle w:val="EndnoteReference"/>
          <w:rFonts w:asciiTheme="majorBidi" w:hAnsiTheme="majorBidi" w:cstheme="majorBidi"/>
        </w:rPr>
        <w:endnoteRef/>
      </w:r>
      <w:r w:rsidRPr="009F6CFD">
        <w:rPr>
          <w:rFonts w:asciiTheme="majorBidi" w:hAnsiTheme="majorBidi" w:cstheme="majorBidi"/>
        </w:rPr>
        <w:t xml:space="preserve"> Discussion in NHS Citizen Design Workshop in Bristol, September 2014</w:t>
      </w:r>
      <w:r>
        <w:rPr>
          <w:rFonts w:asciiTheme="majorBidi" w:hAnsiTheme="majorBidi" w:cstheme="majorBidi"/>
        </w:rPr>
        <w:t>.</w:t>
      </w:r>
    </w:p>
  </w:endnote>
  <w:endnote w:id="27">
    <w:p w14:paraId="6E7904B2" w14:textId="77777777" w:rsidR="00E4256A" w:rsidRPr="009F6CFD" w:rsidRDefault="00E4256A" w:rsidP="009F6CFD">
      <w:pPr>
        <w:pStyle w:val="EndnoteText"/>
        <w:jc w:val="both"/>
        <w:rPr>
          <w:rFonts w:asciiTheme="majorBidi" w:hAnsiTheme="majorBidi" w:cstheme="majorBidi"/>
          <w:lang w:val="en-GB"/>
        </w:rPr>
      </w:pPr>
      <w:r w:rsidRPr="009F6CFD">
        <w:rPr>
          <w:rStyle w:val="EndnoteReference"/>
          <w:rFonts w:asciiTheme="majorBidi" w:hAnsiTheme="majorBidi" w:cstheme="majorBidi"/>
        </w:rPr>
        <w:endnoteRef/>
      </w:r>
      <w:r w:rsidRPr="009F6CFD">
        <w:rPr>
          <w:rFonts w:asciiTheme="majorBidi" w:hAnsiTheme="majorBidi" w:cstheme="majorBidi"/>
        </w:rPr>
        <w:t xml:space="preserve"> </w:t>
      </w:r>
      <w:r w:rsidRPr="009F6CFD">
        <w:rPr>
          <w:rFonts w:asciiTheme="majorBidi" w:hAnsiTheme="majorBidi" w:cstheme="majorBidi"/>
          <w:lang w:val="en-GB"/>
        </w:rPr>
        <w:t>Discussion in NHS Citizen Research Workshop in London, January 2015.</w:t>
      </w:r>
    </w:p>
  </w:endnote>
  <w:endnote w:id="28">
    <w:p w14:paraId="69BF05BB" w14:textId="72445507" w:rsidR="00E402E6" w:rsidRPr="00052538" w:rsidRDefault="00E402E6" w:rsidP="00052538">
      <w:pPr>
        <w:pStyle w:val="EndnoteText"/>
        <w:jc w:val="both"/>
        <w:rPr>
          <w:rFonts w:asciiTheme="majorBidi" w:hAnsiTheme="majorBidi" w:cstheme="majorBidi"/>
        </w:rPr>
      </w:pPr>
      <w:r>
        <w:rPr>
          <w:rStyle w:val="EndnoteReference"/>
        </w:rPr>
        <w:endnoteRef/>
      </w:r>
      <w:r>
        <w:t xml:space="preserve"> </w:t>
      </w:r>
      <w:r w:rsidRPr="00052538">
        <w:rPr>
          <w:rFonts w:asciiTheme="majorBidi" w:hAnsiTheme="majorBidi" w:cstheme="majorBidi"/>
        </w:rPr>
        <w:t>See the responses in the following webpage in response to the question ‘NHS Citizen</w:t>
      </w:r>
      <w:r w:rsidR="003C0786" w:rsidRPr="00052538">
        <w:rPr>
          <w:rFonts w:asciiTheme="majorBidi" w:hAnsiTheme="majorBidi" w:cstheme="majorBidi"/>
        </w:rPr>
        <w:t>: What it is and w</w:t>
      </w:r>
      <w:r w:rsidRPr="00052538">
        <w:rPr>
          <w:rFonts w:asciiTheme="majorBidi" w:hAnsiTheme="majorBidi" w:cstheme="majorBidi"/>
        </w:rPr>
        <w:t xml:space="preserve">hat </w:t>
      </w:r>
      <w:r w:rsidR="003C0786" w:rsidRPr="00052538">
        <w:rPr>
          <w:rFonts w:asciiTheme="majorBidi" w:hAnsiTheme="majorBidi" w:cstheme="majorBidi"/>
        </w:rPr>
        <w:t>it could be</w:t>
      </w:r>
      <w:r w:rsidRPr="00052538">
        <w:rPr>
          <w:rFonts w:asciiTheme="majorBidi" w:hAnsiTheme="majorBidi" w:cstheme="majorBidi"/>
        </w:rPr>
        <w:t>’: https://gather.nhscitizen.org.uk/topics/nhs-citizen-learning-eventprogramme-2016/forum/topic/nhs-citizen-what-it-is-and-what-it-could-be/</w:t>
      </w:r>
      <w:r w:rsidR="003C0786" w:rsidRPr="00052538">
        <w:rPr>
          <w:rFonts w:asciiTheme="majorBidi" w:hAnsiTheme="majorBidi" w:cstheme="majorBidi"/>
        </w:rPr>
        <w:t>.</w:t>
      </w:r>
    </w:p>
  </w:endnote>
  <w:endnote w:id="29">
    <w:p w14:paraId="23C02E69" w14:textId="70D2BDED" w:rsidR="00E4256A" w:rsidRPr="009F6CFD" w:rsidRDefault="00E4256A" w:rsidP="009F6CFD">
      <w:pPr>
        <w:pStyle w:val="EndnoteText"/>
        <w:jc w:val="both"/>
        <w:rPr>
          <w:rFonts w:asciiTheme="majorBidi" w:hAnsiTheme="majorBidi" w:cstheme="majorBidi"/>
          <w:lang w:val="en-GB"/>
        </w:rPr>
      </w:pPr>
      <w:r w:rsidRPr="009F6CFD">
        <w:rPr>
          <w:rStyle w:val="EndnoteReference"/>
          <w:rFonts w:asciiTheme="majorBidi" w:hAnsiTheme="majorBidi" w:cstheme="majorBidi"/>
        </w:rPr>
        <w:endnoteRef/>
      </w:r>
      <w:r w:rsidRPr="009F6CFD">
        <w:rPr>
          <w:rFonts w:asciiTheme="majorBidi" w:hAnsiTheme="majorBidi" w:cstheme="majorBidi"/>
        </w:rPr>
        <w:t xml:space="preserve"> </w:t>
      </w:r>
      <w:r w:rsidRPr="009F6CFD">
        <w:rPr>
          <w:rFonts w:asciiTheme="majorBidi" w:hAnsiTheme="majorBidi" w:cstheme="majorBidi"/>
          <w:lang w:val="en-GB"/>
        </w:rPr>
        <w:t>Author’s interview with children’s NGOs, Brussels, September 2011.</w:t>
      </w:r>
    </w:p>
  </w:endnote>
  <w:endnote w:id="30">
    <w:p w14:paraId="285370CD" w14:textId="6D01B1EF" w:rsidR="00E4256A" w:rsidRPr="009F6CFD" w:rsidRDefault="00E4256A" w:rsidP="009F6CFD">
      <w:pPr>
        <w:pStyle w:val="EndnoteText"/>
        <w:jc w:val="both"/>
        <w:rPr>
          <w:rFonts w:asciiTheme="majorBidi" w:hAnsiTheme="majorBidi" w:cstheme="majorBidi"/>
          <w:lang w:val="en-GB"/>
        </w:rPr>
      </w:pPr>
      <w:r w:rsidRPr="009F6CFD">
        <w:rPr>
          <w:rStyle w:val="EndnoteReference"/>
          <w:rFonts w:asciiTheme="majorBidi" w:hAnsiTheme="majorBidi" w:cstheme="majorBidi"/>
        </w:rPr>
        <w:endnoteRef/>
      </w:r>
      <w:r w:rsidRPr="009F6CFD">
        <w:rPr>
          <w:rFonts w:asciiTheme="majorBidi" w:hAnsiTheme="majorBidi" w:cstheme="majorBidi"/>
        </w:rPr>
        <w:t xml:space="preserve"> </w:t>
      </w:r>
      <w:r w:rsidRPr="009F6CFD">
        <w:rPr>
          <w:rFonts w:asciiTheme="majorBidi" w:hAnsiTheme="majorBidi" w:cstheme="majorBidi"/>
          <w:lang w:val="en-GB"/>
        </w:rPr>
        <w:t>Author’s interview with children’s NGOs, Brussels, July, September 2011.</w:t>
      </w:r>
    </w:p>
    <w:p w14:paraId="4FA05BC3" w14:textId="77777777" w:rsidR="00E4256A" w:rsidRPr="009F6CFD" w:rsidRDefault="00E4256A" w:rsidP="009F6CFD">
      <w:pPr>
        <w:pStyle w:val="EndnoteText"/>
        <w:jc w:val="both"/>
        <w:rPr>
          <w:rFonts w:asciiTheme="majorBidi" w:hAnsiTheme="majorBidi" w:cstheme="majorBidi"/>
          <w:lang w:val="en-GB"/>
        </w:rPr>
      </w:pPr>
    </w:p>
    <w:p w14:paraId="55ED2BF1" w14:textId="77777777" w:rsidR="00E4256A" w:rsidRDefault="00E4256A" w:rsidP="003C162C">
      <w:pPr>
        <w:pStyle w:val="EndnoteText"/>
        <w:rPr>
          <w:lang w:val="en-GB"/>
        </w:rPr>
      </w:pPr>
    </w:p>
    <w:p w14:paraId="06BBB02B" w14:textId="77777777" w:rsidR="00E4256A" w:rsidRDefault="00E4256A" w:rsidP="003C162C">
      <w:pPr>
        <w:pStyle w:val="EndnoteText"/>
        <w:rPr>
          <w:lang w:val="en-GB"/>
        </w:rPr>
      </w:pPr>
    </w:p>
    <w:p w14:paraId="69621F82" w14:textId="77777777" w:rsidR="00E4256A" w:rsidRDefault="00E4256A" w:rsidP="003C162C">
      <w:pPr>
        <w:pStyle w:val="EndnoteText"/>
        <w:rPr>
          <w:lang w:val="en-GB"/>
        </w:rPr>
      </w:pPr>
    </w:p>
    <w:p w14:paraId="184D114F" w14:textId="77777777" w:rsidR="00E4256A" w:rsidRDefault="00E4256A" w:rsidP="003C162C">
      <w:pPr>
        <w:pStyle w:val="EndnoteText"/>
        <w:rPr>
          <w:lang w:val="en-GB"/>
        </w:rPr>
      </w:pPr>
    </w:p>
    <w:p w14:paraId="26785D26" w14:textId="77777777" w:rsidR="00E4256A" w:rsidRDefault="00E4256A" w:rsidP="003C162C">
      <w:pPr>
        <w:pStyle w:val="EndnoteText"/>
        <w:rPr>
          <w:lang w:val="en-GB"/>
        </w:rPr>
      </w:pPr>
    </w:p>
    <w:p w14:paraId="5F9DB945" w14:textId="77777777" w:rsidR="00E4256A" w:rsidRDefault="00E4256A" w:rsidP="003C162C">
      <w:pPr>
        <w:pStyle w:val="EndnoteText"/>
        <w:rPr>
          <w:lang w:val="en-GB"/>
        </w:rPr>
      </w:pPr>
    </w:p>
    <w:p w14:paraId="68978499" w14:textId="77777777" w:rsidR="00E4256A" w:rsidRPr="006E18EA" w:rsidRDefault="00E4256A" w:rsidP="006E18EA">
      <w:pPr>
        <w:pStyle w:val="EndnoteText"/>
        <w:rPr>
          <w:rFonts w:asciiTheme="majorBidi" w:hAnsiTheme="majorBidi" w:cstheme="majorBidi"/>
          <w:b/>
          <w:sz w:val="24"/>
          <w:szCs w:val="24"/>
          <w:lang w:val="en-GB"/>
        </w:rPr>
      </w:pPr>
      <w:r w:rsidRPr="006E18EA">
        <w:rPr>
          <w:rFonts w:asciiTheme="majorBidi" w:hAnsiTheme="majorBidi" w:cstheme="majorBidi"/>
          <w:b/>
          <w:sz w:val="24"/>
          <w:szCs w:val="24"/>
          <w:lang w:val="en-GB"/>
        </w:rPr>
        <w:t>References</w:t>
      </w:r>
    </w:p>
    <w:p w14:paraId="17C6C949" w14:textId="77777777" w:rsidR="00E4256A" w:rsidRPr="006E18EA" w:rsidRDefault="00E4256A" w:rsidP="006E18EA">
      <w:pPr>
        <w:pStyle w:val="EndnoteText"/>
        <w:rPr>
          <w:rFonts w:asciiTheme="majorBidi" w:hAnsiTheme="majorBidi" w:cstheme="majorBidi"/>
          <w:bCs/>
          <w:sz w:val="24"/>
          <w:szCs w:val="24"/>
          <w:lang w:val="en-GB"/>
        </w:rPr>
      </w:pPr>
    </w:p>
    <w:p w14:paraId="4024B7FB" w14:textId="54C47D34" w:rsidR="00E4256A" w:rsidRPr="00FA2D24" w:rsidRDefault="00E4256A" w:rsidP="00FA2D24">
      <w:pPr>
        <w:pStyle w:val="EndnoteText"/>
        <w:jc w:val="both"/>
        <w:rPr>
          <w:rFonts w:asciiTheme="majorBidi" w:hAnsiTheme="majorBidi" w:cstheme="majorBidi"/>
          <w:sz w:val="24"/>
          <w:szCs w:val="24"/>
          <w:lang w:val="en-GB"/>
        </w:rPr>
      </w:pPr>
      <w:r w:rsidRPr="00FA2D24">
        <w:rPr>
          <w:rFonts w:asciiTheme="majorBidi" w:hAnsiTheme="majorBidi" w:cstheme="majorBidi"/>
          <w:sz w:val="24"/>
          <w:szCs w:val="24"/>
          <w:lang w:val="en-GB"/>
        </w:rPr>
        <w:t xml:space="preserve">Arnstein, S. R. </w:t>
      </w:r>
      <w:r>
        <w:rPr>
          <w:rFonts w:asciiTheme="majorBidi" w:hAnsiTheme="majorBidi" w:cstheme="majorBidi"/>
          <w:sz w:val="24"/>
          <w:szCs w:val="24"/>
          <w:lang w:val="en-GB"/>
        </w:rPr>
        <w:t>(</w:t>
      </w:r>
      <w:r w:rsidRPr="00FA2D24">
        <w:rPr>
          <w:rFonts w:asciiTheme="majorBidi" w:hAnsiTheme="majorBidi" w:cstheme="majorBidi"/>
          <w:sz w:val="24"/>
          <w:szCs w:val="24"/>
          <w:lang w:val="en-GB"/>
        </w:rPr>
        <w:t>1969</w:t>
      </w:r>
      <w:r>
        <w:rPr>
          <w:rFonts w:asciiTheme="majorBidi" w:hAnsiTheme="majorBidi" w:cstheme="majorBidi"/>
          <w:sz w:val="24"/>
          <w:szCs w:val="24"/>
          <w:lang w:val="en-GB"/>
        </w:rPr>
        <w:t>)</w:t>
      </w:r>
      <w:r w:rsidRPr="00FA2D24">
        <w:rPr>
          <w:rFonts w:asciiTheme="majorBidi" w:hAnsiTheme="majorBidi" w:cstheme="majorBidi"/>
          <w:sz w:val="24"/>
          <w:szCs w:val="24"/>
          <w:lang w:val="en-GB"/>
        </w:rPr>
        <w:t xml:space="preserve">. ‘A ladder of citizen participation’, </w:t>
      </w:r>
      <w:r w:rsidRPr="00FA2D24">
        <w:rPr>
          <w:rFonts w:asciiTheme="majorBidi" w:hAnsiTheme="majorBidi" w:cstheme="majorBidi"/>
          <w:i/>
          <w:iCs/>
          <w:sz w:val="24"/>
          <w:szCs w:val="24"/>
          <w:lang w:val="en-GB"/>
        </w:rPr>
        <w:t>Journal of the American Institute of planners</w:t>
      </w:r>
      <w:r>
        <w:rPr>
          <w:rFonts w:asciiTheme="majorBidi" w:hAnsiTheme="majorBidi" w:cstheme="majorBidi"/>
          <w:sz w:val="24"/>
          <w:szCs w:val="24"/>
          <w:lang w:val="en-GB"/>
        </w:rPr>
        <w:t xml:space="preserve">, 35: </w:t>
      </w:r>
      <w:r w:rsidRPr="00FA2D24">
        <w:rPr>
          <w:rFonts w:asciiTheme="majorBidi" w:hAnsiTheme="majorBidi" w:cstheme="majorBidi"/>
          <w:sz w:val="24"/>
          <w:szCs w:val="24"/>
          <w:lang w:val="en-GB"/>
        </w:rPr>
        <w:t>4 , 216-224.</w:t>
      </w:r>
    </w:p>
    <w:p w14:paraId="5BB2F671" w14:textId="77777777" w:rsidR="00E4256A" w:rsidRPr="00FA2D24" w:rsidRDefault="00E4256A" w:rsidP="00FA2D24">
      <w:pPr>
        <w:pStyle w:val="EndnoteText"/>
        <w:jc w:val="both"/>
        <w:rPr>
          <w:rFonts w:asciiTheme="majorBidi" w:hAnsiTheme="majorBidi" w:cstheme="majorBidi"/>
          <w:sz w:val="24"/>
          <w:szCs w:val="24"/>
          <w:lang w:val="en-GB"/>
        </w:rPr>
      </w:pPr>
    </w:p>
    <w:p w14:paraId="7BA53A38" w14:textId="3F79ED34" w:rsidR="00E4256A" w:rsidRDefault="00E4256A" w:rsidP="00FA2D24">
      <w:pPr>
        <w:pStyle w:val="EndnoteText"/>
        <w:jc w:val="both"/>
        <w:rPr>
          <w:rFonts w:asciiTheme="majorBidi" w:hAnsiTheme="majorBidi" w:cstheme="majorBidi"/>
          <w:sz w:val="24"/>
          <w:szCs w:val="24"/>
        </w:rPr>
      </w:pPr>
      <w:r w:rsidRPr="00FA2D24">
        <w:rPr>
          <w:rFonts w:asciiTheme="majorBidi" w:hAnsiTheme="majorBidi" w:cstheme="majorBidi"/>
          <w:sz w:val="24"/>
          <w:szCs w:val="24"/>
        </w:rPr>
        <w:t xml:space="preserve">Barnes, M, Newman, J, Knops, A and Sullivan, H. </w:t>
      </w:r>
      <w:r>
        <w:rPr>
          <w:rFonts w:asciiTheme="majorBidi" w:hAnsiTheme="majorBidi" w:cstheme="majorBidi"/>
          <w:sz w:val="24"/>
          <w:szCs w:val="24"/>
        </w:rPr>
        <w:t>(</w:t>
      </w:r>
      <w:r w:rsidRPr="00FA2D24">
        <w:rPr>
          <w:rFonts w:asciiTheme="majorBidi" w:hAnsiTheme="majorBidi" w:cstheme="majorBidi"/>
          <w:sz w:val="24"/>
          <w:szCs w:val="24"/>
        </w:rPr>
        <w:t>2003</w:t>
      </w:r>
      <w:r>
        <w:rPr>
          <w:rFonts w:asciiTheme="majorBidi" w:hAnsiTheme="majorBidi" w:cstheme="majorBidi"/>
          <w:sz w:val="24"/>
          <w:szCs w:val="24"/>
        </w:rPr>
        <w:t>)</w:t>
      </w:r>
      <w:r w:rsidRPr="00FA2D24">
        <w:rPr>
          <w:rFonts w:asciiTheme="majorBidi" w:hAnsiTheme="majorBidi" w:cstheme="majorBidi"/>
          <w:sz w:val="24"/>
          <w:szCs w:val="24"/>
        </w:rPr>
        <w:t xml:space="preserve">. ‘Constituting “the public” in public participation’, </w:t>
      </w:r>
      <w:r w:rsidRPr="00FA2D24">
        <w:rPr>
          <w:rFonts w:asciiTheme="majorBidi" w:hAnsiTheme="majorBidi" w:cstheme="majorBidi"/>
          <w:i/>
          <w:sz w:val="24"/>
          <w:szCs w:val="24"/>
        </w:rPr>
        <w:t>Public Administration</w:t>
      </w:r>
      <w:r>
        <w:rPr>
          <w:rFonts w:asciiTheme="majorBidi" w:hAnsiTheme="majorBidi" w:cstheme="majorBidi"/>
          <w:sz w:val="24"/>
          <w:szCs w:val="24"/>
        </w:rPr>
        <w:t>, 81:</w:t>
      </w:r>
      <w:r w:rsidRPr="00FA2D24">
        <w:rPr>
          <w:rFonts w:asciiTheme="majorBidi" w:hAnsiTheme="majorBidi" w:cstheme="majorBidi"/>
          <w:sz w:val="24"/>
          <w:szCs w:val="24"/>
        </w:rPr>
        <w:t>2, 379-399.</w:t>
      </w:r>
    </w:p>
    <w:p w14:paraId="579DF25E" w14:textId="77777777" w:rsidR="00E4256A" w:rsidRPr="00FA2D24" w:rsidRDefault="00E4256A" w:rsidP="00FA2D24">
      <w:pPr>
        <w:pStyle w:val="EndnoteText"/>
        <w:jc w:val="both"/>
        <w:rPr>
          <w:rFonts w:asciiTheme="majorBidi" w:hAnsiTheme="majorBidi" w:cstheme="majorBidi"/>
          <w:bCs/>
          <w:sz w:val="24"/>
          <w:szCs w:val="24"/>
          <w:lang w:val="en-GB"/>
        </w:rPr>
      </w:pPr>
    </w:p>
    <w:p w14:paraId="6167D80A" w14:textId="5B49C3FE" w:rsidR="00E4256A" w:rsidRPr="00FA2D24" w:rsidRDefault="00E4256A" w:rsidP="001F1891">
      <w:pPr>
        <w:pStyle w:val="EndnoteText"/>
        <w:jc w:val="both"/>
        <w:rPr>
          <w:rFonts w:asciiTheme="majorBidi" w:hAnsiTheme="majorBidi" w:cstheme="majorBidi"/>
          <w:bCs/>
          <w:sz w:val="24"/>
          <w:szCs w:val="24"/>
          <w:lang w:val="en-GB"/>
        </w:rPr>
      </w:pPr>
      <w:r w:rsidRPr="00FA2D24">
        <w:rPr>
          <w:rFonts w:asciiTheme="majorBidi" w:hAnsiTheme="majorBidi" w:cstheme="majorBidi"/>
          <w:bCs/>
          <w:sz w:val="24"/>
          <w:szCs w:val="24"/>
          <w:lang w:val="en-GB"/>
        </w:rPr>
        <w:t xml:space="preserve">Boswell, J and Corbett, J </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2015</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 xml:space="preserve"> ‘Stoic democrats? Anti-politics, elite cynicism and the policy process’, </w:t>
      </w:r>
      <w:r w:rsidRPr="00FA2D24">
        <w:rPr>
          <w:rFonts w:asciiTheme="majorBidi" w:hAnsiTheme="majorBidi" w:cstheme="majorBidi"/>
          <w:bCs/>
          <w:i/>
          <w:iCs/>
          <w:sz w:val="24"/>
          <w:szCs w:val="24"/>
          <w:lang w:val="en-GB"/>
        </w:rPr>
        <w:t>Journal of European Public Policy</w:t>
      </w:r>
      <w:r>
        <w:rPr>
          <w:rFonts w:asciiTheme="majorBidi" w:hAnsiTheme="majorBidi" w:cstheme="majorBidi"/>
          <w:bCs/>
          <w:sz w:val="24"/>
          <w:szCs w:val="24"/>
          <w:lang w:val="en-GB"/>
        </w:rPr>
        <w:t xml:space="preserve">, </w:t>
      </w:r>
      <w:r w:rsidRPr="001F1891">
        <w:rPr>
          <w:rFonts w:asciiTheme="majorBidi" w:hAnsiTheme="majorBidi" w:cstheme="majorBidi"/>
          <w:bCs/>
          <w:sz w:val="24"/>
          <w:szCs w:val="24"/>
          <w:lang w:val="en-GB"/>
        </w:rPr>
        <w:t>22:10, 1388-1405</w:t>
      </w:r>
      <w:r>
        <w:rPr>
          <w:rFonts w:asciiTheme="majorBidi" w:hAnsiTheme="majorBidi" w:cstheme="majorBidi"/>
          <w:bCs/>
          <w:sz w:val="24"/>
          <w:szCs w:val="24"/>
          <w:lang w:val="en-GB"/>
        </w:rPr>
        <w:t>.</w:t>
      </w:r>
    </w:p>
    <w:p w14:paraId="67D7D3F1" w14:textId="77777777" w:rsidR="00E4256A" w:rsidRPr="00FA2D24" w:rsidRDefault="00E4256A" w:rsidP="00FA2D24">
      <w:pPr>
        <w:pStyle w:val="EndnoteText"/>
        <w:jc w:val="both"/>
        <w:rPr>
          <w:rFonts w:asciiTheme="majorBidi" w:hAnsiTheme="majorBidi" w:cstheme="majorBidi"/>
          <w:bCs/>
          <w:sz w:val="24"/>
          <w:szCs w:val="24"/>
          <w:lang w:val="en-GB"/>
        </w:rPr>
      </w:pPr>
    </w:p>
    <w:p w14:paraId="5DEABC5C" w14:textId="74EB89B2" w:rsidR="00E4256A" w:rsidRPr="00FA2D24" w:rsidRDefault="00E4256A" w:rsidP="00FA2D24">
      <w:pPr>
        <w:pStyle w:val="EndnoteText"/>
        <w:jc w:val="both"/>
        <w:rPr>
          <w:rFonts w:asciiTheme="majorBidi" w:hAnsiTheme="majorBidi" w:cstheme="majorBidi"/>
          <w:bCs/>
          <w:sz w:val="24"/>
          <w:szCs w:val="24"/>
          <w:lang w:val="en-GB"/>
        </w:rPr>
      </w:pPr>
      <w:r w:rsidRPr="00FA2D24">
        <w:rPr>
          <w:rFonts w:asciiTheme="majorBidi" w:hAnsiTheme="majorBidi" w:cstheme="majorBidi"/>
          <w:bCs/>
          <w:sz w:val="24"/>
          <w:szCs w:val="24"/>
          <w:lang w:val="en-GB"/>
        </w:rPr>
        <w:t xml:space="preserve">Brehm, J., &amp; Gates, S. </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1999</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 xml:space="preserve">. </w:t>
      </w:r>
      <w:r w:rsidRPr="00FA2D24">
        <w:rPr>
          <w:rFonts w:asciiTheme="majorBidi" w:hAnsiTheme="majorBidi" w:cstheme="majorBidi"/>
          <w:bCs/>
          <w:i/>
          <w:iCs/>
          <w:sz w:val="24"/>
          <w:szCs w:val="24"/>
          <w:lang w:val="en-GB"/>
        </w:rPr>
        <w:t>Working, shirking, and sabotage: Bureaucratic response to a democratic public</w:t>
      </w:r>
      <w:r w:rsidRPr="00FA2D24">
        <w:rPr>
          <w:rFonts w:asciiTheme="majorBidi" w:hAnsiTheme="majorBidi" w:cstheme="majorBidi"/>
          <w:bCs/>
          <w:sz w:val="24"/>
          <w:szCs w:val="24"/>
          <w:lang w:val="en-GB"/>
        </w:rPr>
        <w:t>.</w:t>
      </w:r>
      <w:r w:rsidR="00CB51DE">
        <w:rPr>
          <w:rFonts w:asciiTheme="majorBidi" w:hAnsiTheme="majorBidi" w:cstheme="majorBidi"/>
          <w:bCs/>
          <w:sz w:val="24"/>
          <w:szCs w:val="24"/>
          <w:lang w:val="en-GB"/>
        </w:rPr>
        <w:t xml:space="preserve"> Michigan:</w:t>
      </w:r>
      <w:r w:rsidRPr="00FA2D24">
        <w:rPr>
          <w:rFonts w:asciiTheme="majorBidi" w:hAnsiTheme="majorBidi" w:cstheme="majorBidi"/>
          <w:bCs/>
          <w:sz w:val="24"/>
          <w:szCs w:val="24"/>
          <w:lang w:val="en-GB"/>
        </w:rPr>
        <w:t xml:space="preserve"> University of Michigan Press.</w:t>
      </w:r>
    </w:p>
    <w:p w14:paraId="51284C55" w14:textId="231BA0D6" w:rsidR="00685E65" w:rsidRDefault="00685E65" w:rsidP="00FA2D24">
      <w:pPr>
        <w:pStyle w:val="EndnoteText"/>
        <w:jc w:val="both"/>
        <w:rPr>
          <w:rFonts w:asciiTheme="majorBidi" w:hAnsiTheme="majorBidi" w:cstheme="majorBidi"/>
          <w:bCs/>
          <w:sz w:val="24"/>
          <w:szCs w:val="24"/>
          <w:lang w:val="en-GB"/>
        </w:rPr>
      </w:pPr>
    </w:p>
    <w:p w14:paraId="182A74E1" w14:textId="19600307" w:rsidR="00685E65" w:rsidRPr="00FA2D24" w:rsidRDefault="00685E65" w:rsidP="00685E65">
      <w:pPr>
        <w:pStyle w:val="EndnoteText"/>
        <w:jc w:val="both"/>
        <w:rPr>
          <w:rFonts w:asciiTheme="majorBidi" w:hAnsiTheme="majorBidi" w:cstheme="majorBidi"/>
          <w:bCs/>
          <w:sz w:val="24"/>
          <w:szCs w:val="24"/>
          <w:lang w:val="en-GB"/>
        </w:rPr>
      </w:pPr>
      <w:r>
        <w:rPr>
          <w:rFonts w:asciiTheme="majorBidi" w:hAnsiTheme="majorBidi" w:cstheme="majorBidi"/>
          <w:bCs/>
          <w:sz w:val="24"/>
          <w:szCs w:val="24"/>
          <w:lang w:val="en-GB"/>
        </w:rPr>
        <w:t>Dahl, R. A. (1</w:t>
      </w:r>
      <w:r w:rsidRPr="00685E65">
        <w:rPr>
          <w:rFonts w:asciiTheme="majorBidi" w:hAnsiTheme="majorBidi" w:cstheme="majorBidi"/>
          <w:bCs/>
          <w:sz w:val="24"/>
          <w:szCs w:val="24"/>
          <w:lang w:val="en-GB"/>
        </w:rPr>
        <w:t>994</w:t>
      </w:r>
      <w:r>
        <w:rPr>
          <w:rFonts w:asciiTheme="majorBidi" w:hAnsiTheme="majorBidi" w:cstheme="majorBidi"/>
          <w:bCs/>
          <w:sz w:val="24"/>
          <w:szCs w:val="24"/>
          <w:lang w:val="en-GB"/>
        </w:rPr>
        <w:t>)</w:t>
      </w:r>
      <w:r w:rsidRPr="00685E65">
        <w:rPr>
          <w:rFonts w:asciiTheme="majorBidi" w:hAnsiTheme="majorBidi" w:cstheme="majorBidi"/>
          <w:bCs/>
          <w:sz w:val="24"/>
          <w:szCs w:val="24"/>
          <w:lang w:val="en-GB"/>
        </w:rPr>
        <w:t xml:space="preserve">. </w:t>
      </w:r>
      <w:r>
        <w:rPr>
          <w:rFonts w:asciiTheme="majorBidi" w:hAnsiTheme="majorBidi" w:cstheme="majorBidi"/>
          <w:bCs/>
          <w:sz w:val="24"/>
          <w:szCs w:val="24"/>
          <w:lang w:val="en-GB"/>
        </w:rPr>
        <w:t>‘</w:t>
      </w:r>
      <w:r w:rsidRPr="00685E65">
        <w:rPr>
          <w:rFonts w:asciiTheme="majorBidi" w:hAnsiTheme="majorBidi" w:cstheme="majorBidi"/>
          <w:bCs/>
          <w:sz w:val="24"/>
          <w:szCs w:val="24"/>
          <w:lang w:val="en-GB"/>
        </w:rPr>
        <w:t>A Democrati</w:t>
      </w:r>
      <w:r>
        <w:rPr>
          <w:rFonts w:asciiTheme="majorBidi" w:hAnsiTheme="majorBidi" w:cstheme="majorBidi"/>
          <w:bCs/>
          <w:sz w:val="24"/>
          <w:szCs w:val="24"/>
          <w:lang w:val="en-GB"/>
        </w:rPr>
        <w:t xml:space="preserve">c Dilemma: System Effectiveness </w:t>
      </w:r>
      <w:r w:rsidRPr="00685E65">
        <w:rPr>
          <w:rFonts w:asciiTheme="majorBidi" w:hAnsiTheme="majorBidi" w:cstheme="majorBidi"/>
          <w:bCs/>
          <w:sz w:val="24"/>
          <w:szCs w:val="24"/>
          <w:lang w:val="en-GB"/>
        </w:rPr>
        <w:t>Versus Citiz</w:t>
      </w:r>
      <w:r>
        <w:rPr>
          <w:rFonts w:asciiTheme="majorBidi" w:hAnsiTheme="majorBidi" w:cstheme="majorBidi"/>
          <w:bCs/>
          <w:sz w:val="24"/>
          <w:szCs w:val="24"/>
          <w:lang w:val="en-GB"/>
        </w:rPr>
        <w:t xml:space="preserve">en Participation’, </w:t>
      </w:r>
      <w:r w:rsidRPr="00052538">
        <w:rPr>
          <w:rFonts w:asciiTheme="majorBidi" w:hAnsiTheme="majorBidi" w:cstheme="majorBidi"/>
          <w:bCs/>
          <w:i/>
          <w:iCs/>
          <w:sz w:val="24"/>
          <w:szCs w:val="24"/>
          <w:lang w:val="en-GB"/>
        </w:rPr>
        <w:t>Political Science Quarterly</w:t>
      </w:r>
      <w:r>
        <w:rPr>
          <w:rFonts w:asciiTheme="majorBidi" w:hAnsiTheme="majorBidi" w:cstheme="majorBidi"/>
          <w:bCs/>
          <w:sz w:val="24"/>
          <w:szCs w:val="24"/>
          <w:lang w:val="en-GB"/>
        </w:rPr>
        <w:t xml:space="preserve"> 109, </w:t>
      </w:r>
      <w:r w:rsidRPr="00685E65">
        <w:rPr>
          <w:rFonts w:asciiTheme="majorBidi" w:hAnsiTheme="majorBidi" w:cstheme="majorBidi"/>
          <w:bCs/>
          <w:sz w:val="24"/>
          <w:szCs w:val="24"/>
          <w:lang w:val="en-GB"/>
        </w:rPr>
        <w:t>23–34.</w:t>
      </w:r>
    </w:p>
    <w:p w14:paraId="34FF2041" w14:textId="77777777" w:rsidR="00E4256A" w:rsidRPr="00FA2D24" w:rsidRDefault="00E4256A" w:rsidP="00FA2D24">
      <w:pPr>
        <w:pStyle w:val="EndnoteText"/>
        <w:jc w:val="both"/>
        <w:rPr>
          <w:rFonts w:asciiTheme="majorBidi" w:hAnsiTheme="majorBidi" w:cstheme="majorBidi"/>
          <w:bCs/>
          <w:sz w:val="24"/>
          <w:szCs w:val="24"/>
          <w:lang w:val="en-GB"/>
        </w:rPr>
      </w:pPr>
    </w:p>
    <w:p w14:paraId="11490046" w14:textId="30348561" w:rsidR="00E4256A" w:rsidRPr="00FA2D24" w:rsidRDefault="00E4256A" w:rsidP="00FA2D24">
      <w:pPr>
        <w:pStyle w:val="EndnoteText"/>
        <w:jc w:val="both"/>
        <w:rPr>
          <w:rFonts w:asciiTheme="majorBidi" w:hAnsiTheme="majorBidi" w:cstheme="majorBidi"/>
          <w:bCs/>
          <w:sz w:val="24"/>
          <w:szCs w:val="24"/>
          <w:lang w:val="en-GB"/>
        </w:rPr>
      </w:pPr>
      <w:r w:rsidRPr="00FA2D24">
        <w:rPr>
          <w:rFonts w:asciiTheme="majorBidi" w:hAnsiTheme="majorBidi" w:cstheme="majorBidi"/>
          <w:bCs/>
          <w:sz w:val="24"/>
          <w:szCs w:val="24"/>
          <w:lang w:val="en-GB"/>
        </w:rPr>
        <w:t xml:space="preserve">De Clerck-Sachsse, J. </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2012</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 ‘Civil Society and Democracy in the EU:</w:t>
      </w:r>
      <w:r>
        <w:rPr>
          <w:rFonts w:asciiTheme="majorBidi" w:hAnsiTheme="majorBidi" w:cstheme="majorBidi"/>
          <w:bCs/>
          <w:sz w:val="24"/>
          <w:szCs w:val="24"/>
          <w:lang w:val="en-GB"/>
        </w:rPr>
        <w:t xml:space="preserve"> </w:t>
      </w:r>
      <w:r w:rsidRPr="00FA2D24">
        <w:rPr>
          <w:rFonts w:asciiTheme="majorBidi" w:hAnsiTheme="majorBidi" w:cstheme="majorBidi"/>
          <w:bCs/>
          <w:sz w:val="24"/>
          <w:szCs w:val="24"/>
          <w:lang w:val="en-GB"/>
        </w:rPr>
        <w:t xml:space="preserve">The Paradox of the European Citizens’ Initiative’, </w:t>
      </w:r>
      <w:r w:rsidRPr="00FA2D24">
        <w:rPr>
          <w:rFonts w:asciiTheme="majorBidi" w:hAnsiTheme="majorBidi" w:cstheme="majorBidi"/>
          <w:bCs/>
          <w:i/>
          <w:iCs/>
          <w:sz w:val="24"/>
          <w:szCs w:val="24"/>
          <w:lang w:val="en-GB"/>
        </w:rPr>
        <w:t>Perspectives on</w:t>
      </w:r>
      <w:r>
        <w:rPr>
          <w:rFonts w:asciiTheme="majorBidi" w:hAnsiTheme="majorBidi" w:cstheme="majorBidi"/>
          <w:bCs/>
          <w:sz w:val="24"/>
          <w:szCs w:val="24"/>
          <w:lang w:val="en-GB"/>
        </w:rPr>
        <w:t xml:space="preserve"> </w:t>
      </w:r>
      <w:r w:rsidRPr="00FA2D24">
        <w:rPr>
          <w:rFonts w:asciiTheme="majorBidi" w:hAnsiTheme="majorBidi" w:cstheme="majorBidi"/>
          <w:bCs/>
          <w:i/>
          <w:iCs/>
          <w:sz w:val="24"/>
          <w:szCs w:val="24"/>
          <w:lang w:val="en-GB"/>
        </w:rPr>
        <w:t>European Politics and Society</w:t>
      </w:r>
      <w:r>
        <w:rPr>
          <w:rFonts w:asciiTheme="majorBidi" w:hAnsiTheme="majorBidi" w:cstheme="majorBidi"/>
          <w:bCs/>
          <w:sz w:val="24"/>
          <w:szCs w:val="24"/>
          <w:lang w:val="en-GB"/>
        </w:rPr>
        <w:t>, 13:</w:t>
      </w:r>
      <w:r w:rsidRPr="00FA2D24">
        <w:rPr>
          <w:rFonts w:asciiTheme="majorBidi" w:hAnsiTheme="majorBidi" w:cstheme="majorBidi"/>
          <w:bCs/>
          <w:sz w:val="24"/>
          <w:szCs w:val="24"/>
          <w:lang w:val="en-GB"/>
        </w:rPr>
        <w:t>3</w:t>
      </w:r>
      <w:r>
        <w:rPr>
          <w:rFonts w:asciiTheme="majorBidi" w:hAnsiTheme="majorBidi" w:cstheme="majorBidi"/>
          <w:bCs/>
          <w:sz w:val="24"/>
          <w:szCs w:val="24"/>
          <w:lang w:val="en-GB"/>
        </w:rPr>
        <w:t xml:space="preserve">, </w:t>
      </w:r>
      <w:r w:rsidRPr="00FA2D24">
        <w:rPr>
          <w:rFonts w:asciiTheme="majorBidi" w:hAnsiTheme="majorBidi" w:cstheme="majorBidi"/>
          <w:bCs/>
          <w:sz w:val="24"/>
          <w:szCs w:val="24"/>
          <w:lang w:val="en-GB"/>
        </w:rPr>
        <w:t>299–311.</w:t>
      </w:r>
    </w:p>
    <w:p w14:paraId="47A29229" w14:textId="77777777" w:rsidR="00E4256A" w:rsidRPr="00FA2D24" w:rsidRDefault="00E4256A" w:rsidP="00FA2D24">
      <w:pPr>
        <w:pStyle w:val="EndnoteText"/>
        <w:jc w:val="both"/>
        <w:rPr>
          <w:rFonts w:asciiTheme="majorBidi" w:hAnsiTheme="majorBidi" w:cstheme="majorBidi"/>
          <w:sz w:val="24"/>
          <w:szCs w:val="24"/>
          <w:lang w:val="en-GB"/>
        </w:rPr>
      </w:pPr>
    </w:p>
    <w:p w14:paraId="42CDFDCB" w14:textId="6F91DCB3" w:rsidR="00E4256A" w:rsidRDefault="00E4256A" w:rsidP="00FA2D24">
      <w:pPr>
        <w:pStyle w:val="EndnoteText"/>
        <w:jc w:val="both"/>
        <w:rPr>
          <w:rFonts w:asciiTheme="majorBidi" w:hAnsiTheme="majorBidi" w:cstheme="majorBidi"/>
          <w:sz w:val="24"/>
          <w:szCs w:val="24"/>
        </w:rPr>
      </w:pPr>
      <w:r w:rsidRPr="00FA2D24">
        <w:rPr>
          <w:rFonts w:asciiTheme="majorBidi" w:hAnsiTheme="majorBidi" w:cstheme="majorBidi"/>
          <w:sz w:val="24"/>
          <w:szCs w:val="24"/>
        </w:rPr>
        <w:t xml:space="preserve">Dunleavy, P., H. Margetts, S. Bastow and J. Tinkler. </w:t>
      </w:r>
      <w:r>
        <w:rPr>
          <w:rFonts w:asciiTheme="majorBidi" w:hAnsiTheme="majorBidi" w:cstheme="majorBidi"/>
          <w:sz w:val="24"/>
          <w:szCs w:val="24"/>
        </w:rPr>
        <w:t>(</w:t>
      </w:r>
      <w:r w:rsidRPr="00FA2D24">
        <w:rPr>
          <w:rFonts w:asciiTheme="majorBidi" w:hAnsiTheme="majorBidi" w:cstheme="majorBidi"/>
          <w:sz w:val="24"/>
          <w:szCs w:val="24"/>
        </w:rPr>
        <w:t>2006</w:t>
      </w:r>
      <w:r>
        <w:rPr>
          <w:rFonts w:asciiTheme="majorBidi" w:hAnsiTheme="majorBidi" w:cstheme="majorBidi"/>
          <w:sz w:val="24"/>
          <w:szCs w:val="24"/>
        </w:rPr>
        <w:t>)</w:t>
      </w:r>
      <w:r w:rsidRPr="00FA2D24">
        <w:rPr>
          <w:rFonts w:asciiTheme="majorBidi" w:hAnsiTheme="majorBidi" w:cstheme="majorBidi"/>
          <w:sz w:val="24"/>
          <w:szCs w:val="24"/>
        </w:rPr>
        <w:t xml:space="preserve">. ‘New Public Management is Dead – Long Live Digital-Era Governance’, </w:t>
      </w:r>
      <w:r w:rsidRPr="00FA2D24">
        <w:rPr>
          <w:rFonts w:asciiTheme="majorBidi" w:hAnsiTheme="majorBidi" w:cstheme="majorBidi"/>
          <w:i/>
          <w:iCs/>
          <w:sz w:val="24"/>
          <w:szCs w:val="24"/>
        </w:rPr>
        <w:t>Journal of Public Administration Research and Theory</w:t>
      </w:r>
      <w:r>
        <w:rPr>
          <w:rFonts w:asciiTheme="majorBidi" w:hAnsiTheme="majorBidi" w:cstheme="majorBidi"/>
          <w:sz w:val="24"/>
          <w:szCs w:val="24"/>
        </w:rPr>
        <w:t>, 16:</w:t>
      </w:r>
      <w:r w:rsidRPr="00FA2D24">
        <w:rPr>
          <w:rFonts w:asciiTheme="majorBidi" w:hAnsiTheme="majorBidi" w:cstheme="majorBidi"/>
          <w:sz w:val="24"/>
          <w:szCs w:val="24"/>
        </w:rPr>
        <w:t>3, 467–94.</w:t>
      </w:r>
    </w:p>
    <w:p w14:paraId="16613C16" w14:textId="77777777" w:rsidR="00685E65" w:rsidRDefault="00685E65" w:rsidP="00FA2D24">
      <w:pPr>
        <w:pStyle w:val="EndnoteText"/>
        <w:jc w:val="both"/>
        <w:rPr>
          <w:rFonts w:asciiTheme="majorBidi" w:hAnsiTheme="majorBidi" w:cstheme="majorBidi"/>
          <w:sz w:val="24"/>
          <w:szCs w:val="24"/>
        </w:rPr>
      </w:pPr>
    </w:p>
    <w:p w14:paraId="50802297" w14:textId="5ACBF7AE" w:rsidR="00685E65" w:rsidRPr="00FA2D24" w:rsidRDefault="00685E65" w:rsidP="00FA2D24">
      <w:pPr>
        <w:pStyle w:val="EndnoteText"/>
        <w:jc w:val="both"/>
        <w:rPr>
          <w:rFonts w:asciiTheme="majorBidi" w:hAnsiTheme="majorBidi" w:cstheme="majorBidi"/>
          <w:sz w:val="24"/>
          <w:szCs w:val="24"/>
        </w:rPr>
      </w:pPr>
      <w:r w:rsidRPr="00685E65">
        <w:rPr>
          <w:rFonts w:asciiTheme="majorBidi" w:hAnsiTheme="majorBidi" w:cstheme="majorBidi"/>
          <w:sz w:val="24"/>
          <w:szCs w:val="24"/>
        </w:rPr>
        <w:t xml:space="preserve">Egeberg, M. and Trondal, J. (2011) ‘EU-level agencies: new executive centre formation or vehicles for national control?’, </w:t>
      </w:r>
      <w:r w:rsidRPr="00052538">
        <w:rPr>
          <w:rFonts w:asciiTheme="majorBidi" w:hAnsiTheme="majorBidi" w:cstheme="majorBidi"/>
          <w:i/>
          <w:iCs/>
          <w:sz w:val="24"/>
          <w:szCs w:val="24"/>
        </w:rPr>
        <w:t>Journal of European Public Policy</w:t>
      </w:r>
      <w:r>
        <w:rPr>
          <w:rFonts w:asciiTheme="majorBidi" w:hAnsiTheme="majorBidi" w:cstheme="majorBidi"/>
          <w:sz w:val="24"/>
          <w:szCs w:val="24"/>
        </w:rPr>
        <w:t xml:space="preserve"> 18:6,</w:t>
      </w:r>
      <w:r w:rsidRPr="00685E65">
        <w:rPr>
          <w:rFonts w:asciiTheme="majorBidi" w:hAnsiTheme="majorBidi" w:cstheme="majorBidi"/>
          <w:sz w:val="24"/>
          <w:szCs w:val="24"/>
        </w:rPr>
        <w:t xml:space="preserve"> 868–87.</w:t>
      </w:r>
    </w:p>
    <w:p w14:paraId="3C7489BE" w14:textId="77777777" w:rsidR="00E4256A" w:rsidRPr="00FA2D24" w:rsidRDefault="00E4256A" w:rsidP="00FA2D24">
      <w:pPr>
        <w:pStyle w:val="EndnoteText"/>
        <w:jc w:val="both"/>
        <w:rPr>
          <w:rFonts w:asciiTheme="majorBidi" w:hAnsiTheme="majorBidi" w:cstheme="majorBidi"/>
          <w:sz w:val="24"/>
          <w:szCs w:val="24"/>
        </w:rPr>
      </w:pPr>
    </w:p>
    <w:p w14:paraId="5DD5202E" w14:textId="525D45CF" w:rsidR="00E4256A" w:rsidRPr="00FA2D24" w:rsidRDefault="00E4256A" w:rsidP="00FA2D24">
      <w:pPr>
        <w:pStyle w:val="EndnoteText"/>
        <w:jc w:val="both"/>
        <w:rPr>
          <w:rFonts w:asciiTheme="majorBidi" w:hAnsiTheme="majorBidi" w:cstheme="majorBidi"/>
          <w:sz w:val="24"/>
          <w:szCs w:val="24"/>
          <w:lang w:val="en-GB"/>
        </w:rPr>
      </w:pPr>
      <w:r>
        <w:rPr>
          <w:rFonts w:asciiTheme="majorBidi" w:hAnsiTheme="majorBidi" w:cstheme="majorBidi"/>
          <w:sz w:val="24"/>
          <w:szCs w:val="24"/>
          <w:lang w:val="en-GB"/>
        </w:rPr>
        <w:t>European Commission</w:t>
      </w:r>
      <w:r w:rsidRPr="00FA2D24">
        <w:rPr>
          <w:rFonts w:asciiTheme="majorBidi" w:hAnsiTheme="majorBidi" w:cstheme="majorBidi"/>
          <w:sz w:val="24"/>
          <w:szCs w:val="24"/>
          <w:lang w:val="en-GB"/>
        </w:rPr>
        <w:t xml:space="preserve"> </w:t>
      </w:r>
      <w:r>
        <w:rPr>
          <w:rFonts w:asciiTheme="majorBidi" w:hAnsiTheme="majorBidi" w:cstheme="majorBidi"/>
          <w:sz w:val="24"/>
          <w:szCs w:val="24"/>
          <w:lang w:val="en-GB"/>
        </w:rPr>
        <w:t>(</w:t>
      </w:r>
      <w:r w:rsidRPr="00FA2D24">
        <w:rPr>
          <w:rFonts w:asciiTheme="majorBidi" w:hAnsiTheme="majorBidi" w:cstheme="majorBidi"/>
          <w:sz w:val="24"/>
          <w:szCs w:val="24"/>
          <w:lang w:val="en-GB"/>
        </w:rPr>
        <w:t>2006</w:t>
      </w:r>
      <w:r>
        <w:rPr>
          <w:rFonts w:asciiTheme="majorBidi" w:hAnsiTheme="majorBidi" w:cstheme="majorBidi"/>
          <w:sz w:val="24"/>
          <w:szCs w:val="24"/>
          <w:lang w:val="en-GB"/>
        </w:rPr>
        <w:t>)</w:t>
      </w:r>
      <w:r w:rsidRPr="00FA2D24">
        <w:rPr>
          <w:rFonts w:asciiTheme="majorBidi" w:hAnsiTheme="majorBidi" w:cstheme="majorBidi"/>
          <w:sz w:val="24"/>
          <w:szCs w:val="24"/>
          <w:lang w:val="en-GB"/>
        </w:rPr>
        <w:t xml:space="preserve">. </w:t>
      </w:r>
      <w:r w:rsidRPr="00FA2D24">
        <w:rPr>
          <w:rFonts w:asciiTheme="majorBidi" w:hAnsiTheme="majorBidi" w:cstheme="majorBidi"/>
          <w:i/>
          <w:iCs/>
          <w:sz w:val="24"/>
          <w:szCs w:val="24"/>
          <w:lang w:val="en-GB"/>
        </w:rPr>
        <w:t>Communication From the Commission: Towards an EU Strategy on the Rights of the Child</w:t>
      </w:r>
      <w:r w:rsidRPr="00FA2D24">
        <w:rPr>
          <w:rFonts w:asciiTheme="majorBidi" w:hAnsiTheme="majorBidi" w:cstheme="majorBidi"/>
          <w:sz w:val="24"/>
          <w:szCs w:val="24"/>
          <w:lang w:val="en-GB"/>
        </w:rPr>
        <w:t>, COM, 367 final, Brussels, 4 July.</w:t>
      </w:r>
    </w:p>
    <w:p w14:paraId="54405C9A" w14:textId="77777777" w:rsidR="00E4256A" w:rsidRPr="00FA2D24" w:rsidRDefault="00E4256A" w:rsidP="00FA2D24">
      <w:pPr>
        <w:pStyle w:val="EndnoteText"/>
        <w:jc w:val="both"/>
        <w:rPr>
          <w:rFonts w:asciiTheme="majorBidi" w:hAnsiTheme="majorBidi" w:cstheme="majorBidi"/>
          <w:sz w:val="24"/>
          <w:szCs w:val="24"/>
          <w:lang w:val="en-GB"/>
        </w:rPr>
      </w:pPr>
    </w:p>
    <w:p w14:paraId="442D5C42" w14:textId="1157B746" w:rsidR="00E4256A" w:rsidRPr="00FA2D24" w:rsidRDefault="00E4256A" w:rsidP="00FA2D24">
      <w:pPr>
        <w:pStyle w:val="EndnoteText"/>
        <w:jc w:val="both"/>
        <w:rPr>
          <w:rFonts w:asciiTheme="majorBidi" w:hAnsiTheme="majorBidi" w:cstheme="majorBidi"/>
          <w:sz w:val="24"/>
          <w:szCs w:val="24"/>
          <w:lang w:val="en-GB"/>
        </w:rPr>
      </w:pPr>
      <w:r>
        <w:rPr>
          <w:rFonts w:asciiTheme="majorBidi" w:hAnsiTheme="majorBidi" w:cstheme="majorBidi"/>
          <w:sz w:val="24"/>
          <w:szCs w:val="24"/>
          <w:lang w:val="en-GB"/>
        </w:rPr>
        <w:t>European Commission</w:t>
      </w:r>
      <w:r w:rsidRPr="00FA2D24">
        <w:rPr>
          <w:rFonts w:asciiTheme="majorBidi" w:hAnsiTheme="majorBidi" w:cstheme="majorBidi"/>
          <w:sz w:val="24"/>
          <w:szCs w:val="24"/>
          <w:lang w:val="en-GB"/>
        </w:rPr>
        <w:t xml:space="preserve"> </w:t>
      </w:r>
      <w:r>
        <w:rPr>
          <w:rFonts w:asciiTheme="majorBidi" w:hAnsiTheme="majorBidi" w:cstheme="majorBidi"/>
          <w:sz w:val="24"/>
          <w:szCs w:val="24"/>
          <w:lang w:val="en-GB"/>
        </w:rPr>
        <w:t>(</w:t>
      </w:r>
      <w:r w:rsidRPr="00FA2D24">
        <w:rPr>
          <w:rFonts w:asciiTheme="majorBidi" w:hAnsiTheme="majorBidi" w:cstheme="majorBidi"/>
          <w:sz w:val="24"/>
          <w:szCs w:val="24"/>
          <w:lang w:val="en-GB"/>
        </w:rPr>
        <w:t>2008</w:t>
      </w:r>
      <w:r>
        <w:rPr>
          <w:rFonts w:asciiTheme="majorBidi" w:hAnsiTheme="majorBidi" w:cstheme="majorBidi"/>
          <w:sz w:val="24"/>
          <w:szCs w:val="24"/>
          <w:lang w:val="en-GB"/>
        </w:rPr>
        <w:t>)</w:t>
      </w:r>
      <w:r w:rsidRPr="00FA2D24">
        <w:rPr>
          <w:rFonts w:asciiTheme="majorBidi" w:hAnsiTheme="majorBidi" w:cstheme="majorBidi"/>
          <w:sz w:val="24"/>
          <w:szCs w:val="24"/>
          <w:lang w:val="en-GB"/>
        </w:rPr>
        <w:t xml:space="preserve">. </w:t>
      </w:r>
      <w:r w:rsidRPr="00FA2D24">
        <w:rPr>
          <w:rFonts w:asciiTheme="majorBidi" w:hAnsiTheme="majorBidi" w:cstheme="majorBidi"/>
          <w:i/>
          <w:iCs/>
          <w:sz w:val="24"/>
          <w:szCs w:val="24"/>
          <w:lang w:val="en-GB"/>
        </w:rPr>
        <w:t>12th Meeting of the Commissioners Group on Fundamental Rights, Anti-Discrimination and Equal Opportunities. Rights of the Child</w:t>
      </w:r>
      <w:r w:rsidRPr="00FA2D24">
        <w:rPr>
          <w:rFonts w:asciiTheme="majorBidi" w:hAnsiTheme="majorBidi" w:cstheme="majorBidi"/>
          <w:sz w:val="24"/>
          <w:szCs w:val="24"/>
          <w:lang w:val="en-GB"/>
        </w:rPr>
        <w:t>, CG4, 3/2.</w:t>
      </w:r>
    </w:p>
    <w:p w14:paraId="1B39216D" w14:textId="77777777" w:rsidR="00E4256A" w:rsidRPr="00FA2D24" w:rsidRDefault="00E4256A" w:rsidP="00FA2D24">
      <w:pPr>
        <w:pStyle w:val="EndnoteText"/>
        <w:jc w:val="both"/>
        <w:rPr>
          <w:rFonts w:asciiTheme="majorBidi" w:hAnsiTheme="majorBidi" w:cstheme="majorBidi"/>
          <w:sz w:val="24"/>
          <w:szCs w:val="24"/>
          <w:lang w:val="en-GB"/>
        </w:rPr>
      </w:pPr>
    </w:p>
    <w:p w14:paraId="79C41714" w14:textId="4CB894D3" w:rsidR="00E4256A" w:rsidRPr="00FA2D24" w:rsidRDefault="00E4256A" w:rsidP="00FA2D24">
      <w:pPr>
        <w:pStyle w:val="EndnoteText"/>
        <w:jc w:val="both"/>
        <w:rPr>
          <w:rFonts w:asciiTheme="majorBidi" w:hAnsiTheme="majorBidi" w:cstheme="majorBidi"/>
          <w:sz w:val="24"/>
          <w:szCs w:val="24"/>
          <w:lang w:val="en-GB"/>
        </w:rPr>
      </w:pPr>
      <w:r>
        <w:rPr>
          <w:rFonts w:asciiTheme="majorBidi" w:hAnsiTheme="majorBidi" w:cstheme="majorBidi"/>
          <w:sz w:val="24"/>
          <w:szCs w:val="24"/>
          <w:lang w:val="en-GB"/>
        </w:rPr>
        <w:t>European Commission</w:t>
      </w:r>
      <w:r w:rsidRPr="00FA2D24">
        <w:rPr>
          <w:rFonts w:asciiTheme="majorBidi" w:hAnsiTheme="majorBidi" w:cstheme="majorBidi"/>
          <w:sz w:val="24"/>
          <w:szCs w:val="24"/>
          <w:lang w:val="en-GB"/>
        </w:rPr>
        <w:t xml:space="preserve"> </w:t>
      </w:r>
      <w:r>
        <w:rPr>
          <w:rFonts w:asciiTheme="majorBidi" w:hAnsiTheme="majorBidi" w:cstheme="majorBidi"/>
          <w:sz w:val="24"/>
          <w:szCs w:val="24"/>
          <w:lang w:val="en-GB"/>
        </w:rPr>
        <w:t>(</w:t>
      </w:r>
      <w:r w:rsidRPr="00FA2D24">
        <w:rPr>
          <w:rFonts w:asciiTheme="majorBidi" w:hAnsiTheme="majorBidi" w:cstheme="majorBidi"/>
          <w:sz w:val="24"/>
          <w:szCs w:val="24"/>
          <w:lang w:val="en-GB"/>
        </w:rPr>
        <w:t>2011</w:t>
      </w:r>
      <w:r>
        <w:rPr>
          <w:rFonts w:asciiTheme="majorBidi" w:hAnsiTheme="majorBidi" w:cstheme="majorBidi"/>
          <w:sz w:val="24"/>
          <w:szCs w:val="24"/>
          <w:lang w:val="en-GB"/>
        </w:rPr>
        <w:t>)</w:t>
      </w:r>
      <w:r w:rsidRPr="00FA2D24">
        <w:rPr>
          <w:rFonts w:asciiTheme="majorBidi" w:hAnsiTheme="majorBidi" w:cstheme="majorBidi"/>
          <w:sz w:val="24"/>
          <w:szCs w:val="24"/>
          <w:lang w:val="en-GB"/>
        </w:rPr>
        <w:t xml:space="preserve">. </w:t>
      </w:r>
      <w:r w:rsidRPr="00FA2D24">
        <w:rPr>
          <w:rFonts w:asciiTheme="majorBidi" w:hAnsiTheme="majorBidi" w:cstheme="majorBidi"/>
          <w:i/>
          <w:iCs/>
          <w:sz w:val="24"/>
          <w:szCs w:val="24"/>
          <w:lang w:val="en-GB"/>
        </w:rPr>
        <w:t>An EU Agenda for the Rights of the Child</w:t>
      </w:r>
      <w:r w:rsidRPr="00FA2D24">
        <w:rPr>
          <w:rFonts w:asciiTheme="majorBidi" w:hAnsiTheme="majorBidi" w:cstheme="majorBidi"/>
          <w:sz w:val="24"/>
          <w:szCs w:val="24"/>
          <w:lang w:val="en-GB"/>
        </w:rPr>
        <w:t>, COM, 60 Final, Brussels, 15 February.</w:t>
      </w:r>
    </w:p>
    <w:p w14:paraId="72B65B37" w14:textId="77777777" w:rsidR="00E4256A" w:rsidRPr="00FA2D24" w:rsidRDefault="00E4256A" w:rsidP="00FA2D24">
      <w:pPr>
        <w:pStyle w:val="EndnoteText"/>
        <w:jc w:val="both"/>
        <w:rPr>
          <w:rFonts w:asciiTheme="majorBidi" w:hAnsiTheme="majorBidi" w:cstheme="majorBidi"/>
          <w:sz w:val="24"/>
          <w:szCs w:val="24"/>
          <w:lang w:val="en-GB"/>
        </w:rPr>
      </w:pPr>
    </w:p>
    <w:p w14:paraId="58D63E0C" w14:textId="019B0735" w:rsidR="00E4256A" w:rsidRPr="00FA2D24" w:rsidRDefault="00E4256A" w:rsidP="00FA2D24">
      <w:pPr>
        <w:pStyle w:val="EndnoteText"/>
        <w:jc w:val="both"/>
        <w:rPr>
          <w:rFonts w:asciiTheme="majorBidi" w:hAnsiTheme="majorBidi" w:cstheme="majorBidi"/>
          <w:sz w:val="24"/>
          <w:szCs w:val="24"/>
        </w:rPr>
      </w:pPr>
      <w:r w:rsidRPr="00FA2D24">
        <w:rPr>
          <w:rFonts w:asciiTheme="majorBidi" w:hAnsiTheme="majorBidi" w:cstheme="majorBidi"/>
          <w:sz w:val="24"/>
          <w:szCs w:val="24"/>
        </w:rPr>
        <w:t xml:space="preserve">Flinders, M. </w:t>
      </w:r>
      <w:r>
        <w:rPr>
          <w:rFonts w:asciiTheme="majorBidi" w:hAnsiTheme="majorBidi" w:cstheme="majorBidi"/>
          <w:sz w:val="24"/>
          <w:szCs w:val="24"/>
        </w:rPr>
        <w:t>(</w:t>
      </w:r>
      <w:r w:rsidRPr="00FA2D24">
        <w:rPr>
          <w:rFonts w:asciiTheme="majorBidi" w:hAnsiTheme="majorBidi" w:cstheme="majorBidi"/>
          <w:sz w:val="24"/>
          <w:szCs w:val="24"/>
        </w:rPr>
        <w:t>2008</w:t>
      </w:r>
      <w:r>
        <w:rPr>
          <w:rFonts w:asciiTheme="majorBidi" w:hAnsiTheme="majorBidi" w:cstheme="majorBidi"/>
          <w:sz w:val="24"/>
          <w:szCs w:val="24"/>
        </w:rPr>
        <w:t>)</w:t>
      </w:r>
      <w:r w:rsidRPr="00FA2D24">
        <w:rPr>
          <w:rFonts w:asciiTheme="majorBidi" w:hAnsiTheme="majorBidi" w:cstheme="majorBidi"/>
          <w:sz w:val="24"/>
          <w:szCs w:val="24"/>
        </w:rPr>
        <w:t xml:space="preserve">. </w:t>
      </w:r>
      <w:r w:rsidRPr="00FA2D24">
        <w:rPr>
          <w:rFonts w:asciiTheme="majorBidi" w:hAnsiTheme="majorBidi" w:cstheme="majorBidi"/>
          <w:i/>
          <w:iCs/>
          <w:sz w:val="24"/>
          <w:szCs w:val="24"/>
        </w:rPr>
        <w:t>Delegated Governance and the British State: Walking without Order</w:t>
      </w:r>
      <w:r w:rsidRPr="00FA2D24">
        <w:rPr>
          <w:rFonts w:asciiTheme="majorBidi" w:hAnsiTheme="majorBidi" w:cstheme="majorBidi"/>
          <w:sz w:val="24"/>
          <w:szCs w:val="24"/>
        </w:rPr>
        <w:t>. Oxford: Oxford University Press</w:t>
      </w:r>
    </w:p>
    <w:p w14:paraId="12E406D8" w14:textId="77777777" w:rsidR="0026479A" w:rsidRDefault="0026479A" w:rsidP="00FA2D24">
      <w:pPr>
        <w:pStyle w:val="EndnoteText"/>
        <w:jc w:val="both"/>
        <w:rPr>
          <w:rFonts w:asciiTheme="majorBidi" w:hAnsiTheme="majorBidi" w:cstheme="majorBidi"/>
          <w:bCs/>
          <w:sz w:val="24"/>
          <w:szCs w:val="24"/>
          <w:lang w:val="en-GB"/>
        </w:rPr>
      </w:pPr>
    </w:p>
    <w:p w14:paraId="4A972BBC" w14:textId="272EB1D0" w:rsidR="00E4256A" w:rsidRPr="00FA2D24" w:rsidRDefault="00E4256A" w:rsidP="00FA2D24">
      <w:pPr>
        <w:pStyle w:val="EndnoteText"/>
        <w:jc w:val="both"/>
        <w:rPr>
          <w:rFonts w:asciiTheme="majorBidi" w:hAnsiTheme="majorBidi" w:cstheme="majorBidi"/>
          <w:bCs/>
          <w:sz w:val="24"/>
          <w:szCs w:val="24"/>
          <w:lang w:val="en-GB"/>
        </w:rPr>
      </w:pPr>
      <w:r w:rsidRPr="00FA2D24">
        <w:rPr>
          <w:rFonts w:asciiTheme="majorBidi" w:hAnsiTheme="majorBidi" w:cstheme="majorBidi"/>
          <w:bCs/>
          <w:sz w:val="24"/>
          <w:szCs w:val="24"/>
          <w:lang w:val="en-GB"/>
        </w:rPr>
        <w:t xml:space="preserve">Gould, C. C. (2004). </w:t>
      </w:r>
      <w:r>
        <w:rPr>
          <w:rFonts w:asciiTheme="majorBidi" w:hAnsiTheme="majorBidi" w:cstheme="majorBidi"/>
          <w:bCs/>
          <w:i/>
          <w:iCs/>
          <w:sz w:val="24"/>
          <w:szCs w:val="24"/>
          <w:lang w:val="en-GB"/>
        </w:rPr>
        <w:t>Globalizing Democracy and Human R</w:t>
      </w:r>
      <w:r w:rsidRPr="00FA2D24">
        <w:rPr>
          <w:rFonts w:asciiTheme="majorBidi" w:hAnsiTheme="majorBidi" w:cstheme="majorBidi"/>
          <w:bCs/>
          <w:i/>
          <w:iCs/>
          <w:sz w:val="24"/>
          <w:szCs w:val="24"/>
          <w:lang w:val="en-GB"/>
        </w:rPr>
        <w:t>ights</w:t>
      </w:r>
      <w:r w:rsidRPr="00FA2D24">
        <w:rPr>
          <w:rFonts w:asciiTheme="majorBidi" w:hAnsiTheme="majorBidi" w:cstheme="majorBidi"/>
          <w:bCs/>
          <w:sz w:val="24"/>
          <w:szCs w:val="24"/>
          <w:lang w:val="en-GB"/>
        </w:rPr>
        <w:t>. Cambridge: Cambridge University Press.</w:t>
      </w:r>
    </w:p>
    <w:p w14:paraId="24759674" w14:textId="77777777" w:rsidR="00E4256A" w:rsidRPr="00FA2D24" w:rsidRDefault="00E4256A" w:rsidP="00FA2D24">
      <w:pPr>
        <w:pStyle w:val="EndnoteText"/>
        <w:jc w:val="both"/>
        <w:rPr>
          <w:rFonts w:asciiTheme="majorBidi" w:hAnsiTheme="majorBidi" w:cstheme="majorBidi"/>
          <w:bCs/>
          <w:sz w:val="24"/>
          <w:szCs w:val="24"/>
          <w:lang w:val="en-GB"/>
        </w:rPr>
      </w:pPr>
    </w:p>
    <w:p w14:paraId="4E199ABC" w14:textId="3370405D" w:rsidR="00E4256A" w:rsidRPr="00FA2D24" w:rsidRDefault="00E4256A" w:rsidP="00FA2D24">
      <w:pPr>
        <w:pStyle w:val="EndnoteText"/>
        <w:jc w:val="both"/>
        <w:rPr>
          <w:rFonts w:asciiTheme="majorBidi" w:hAnsiTheme="majorBidi" w:cstheme="majorBidi"/>
          <w:bCs/>
          <w:sz w:val="24"/>
          <w:szCs w:val="24"/>
          <w:lang w:val="en-GB"/>
        </w:rPr>
      </w:pPr>
      <w:r w:rsidRPr="00FA2D24">
        <w:rPr>
          <w:rFonts w:asciiTheme="majorBidi" w:hAnsiTheme="majorBidi" w:cstheme="majorBidi"/>
          <w:bCs/>
          <w:sz w:val="24"/>
          <w:szCs w:val="24"/>
          <w:lang w:val="en-GB"/>
        </w:rPr>
        <w:t>Grugel, J. and Iusmen, I. (2013)</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 xml:space="preserve"> ‘The European Commission as Guardian Angel: The</w:t>
      </w:r>
    </w:p>
    <w:p w14:paraId="2EE8658B" w14:textId="75B00B60" w:rsidR="00E4256A" w:rsidRPr="00FA2D24" w:rsidRDefault="00E4256A" w:rsidP="00FA2D24">
      <w:pPr>
        <w:pStyle w:val="EndnoteText"/>
        <w:jc w:val="both"/>
        <w:rPr>
          <w:rFonts w:asciiTheme="majorBidi" w:hAnsiTheme="majorBidi" w:cstheme="majorBidi"/>
          <w:bCs/>
          <w:i/>
          <w:iCs/>
          <w:sz w:val="24"/>
          <w:szCs w:val="24"/>
          <w:lang w:val="en-GB"/>
        </w:rPr>
      </w:pPr>
      <w:r w:rsidRPr="00FA2D24">
        <w:rPr>
          <w:rFonts w:asciiTheme="majorBidi" w:hAnsiTheme="majorBidi" w:cstheme="majorBidi"/>
          <w:bCs/>
          <w:sz w:val="24"/>
          <w:szCs w:val="24"/>
          <w:lang w:val="en-GB"/>
        </w:rPr>
        <w:t xml:space="preserve">Challenges of Agenda-Setting for Children’s Rights’, </w:t>
      </w:r>
      <w:r w:rsidRPr="00FA2D24">
        <w:rPr>
          <w:rFonts w:asciiTheme="majorBidi" w:hAnsiTheme="majorBidi" w:cstheme="majorBidi"/>
          <w:bCs/>
          <w:i/>
          <w:iCs/>
          <w:sz w:val="24"/>
          <w:szCs w:val="24"/>
          <w:lang w:val="en-GB"/>
        </w:rPr>
        <w:t xml:space="preserve">Journal of European Public Policy, </w:t>
      </w:r>
      <w:r>
        <w:rPr>
          <w:rFonts w:asciiTheme="majorBidi" w:hAnsiTheme="majorBidi" w:cstheme="majorBidi"/>
          <w:bCs/>
          <w:sz w:val="24"/>
          <w:szCs w:val="24"/>
          <w:lang w:val="en-GB"/>
        </w:rPr>
        <w:t>20:</w:t>
      </w:r>
      <w:r w:rsidRPr="00FA2D24">
        <w:rPr>
          <w:rFonts w:asciiTheme="majorBidi" w:hAnsiTheme="majorBidi" w:cstheme="majorBidi"/>
          <w:bCs/>
          <w:sz w:val="24"/>
          <w:szCs w:val="24"/>
          <w:lang w:val="en-GB"/>
        </w:rPr>
        <w:t>1, 77–94.</w:t>
      </w:r>
    </w:p>
    <w:p w14:paraId="1E683710" w14:textId="77777777" w:rsidR="00E4256A" w:rsidRPr="00FA2D24" w:rsidRDefault="00E4256A" w:rsidP="00FA2D24">
      <w:pPr>
        <w:pStyle w:val="EndnoteText"/>
        <w:jc w:val="both"/>
        <w:rPr>
          <w:rFonts w:asciiTheme="majorBidi" w:hAnsiTheme="majorBidi" w:cstheme="majorBidi"/>
          <w:bCs/>
          <w:sz w:val="24"/>
          <w:szCs w:val="24"/>
          <w:lang w:val="en-GB"/>
        </w:rPr>
      </w:pPr>
    </w:p>
    <w:p w14:paraId="1F153196" w14:textId="75CF3CC7" w:rsidR="00E4256A" w:rsidRPr="00FA2D24" w:rsidRDefault="00E4256A" w:rsidP="00FA2D24">
      <w:pPr>
        <w:pStyle w:val="EndnoteText"/>
        <w:jc w:val="both"/>
        <w:rPr>
          <w:rFonts w:asciiTheme="majorBidi" w:hAnsiTheme="majorBidi" w:cstheme="majorBidi"/>
          <w:sz w:val="24"/>
          <w:szCs w:val="24"/>
        </w:rPr>
      </w:pPr>
      <w:r w:rsidRPr="00FA2D24">
        <w:rPr>
          <w:rFonts w:asciiTheme="majorBidi" w:hAnsiTheme="majorBidi" w:cstheme="majorBidi"/>
          <w:sz w:val="24"/>
          <w:szCs w:val="24"/>
        </w:rPr>
        <w:t xml:space="preserve">Iusmen, I. </w:t>
      </w:r>
      <w:r>
        <w:rPr>
          <w:rFonts w:asciiTheme="majorBidi" w:hAnsiTheme="majorBidi" w:cstheme="majorBidi"/>
          <w:sz w:val="24"/>
          <w:szCs w:val="24"/>
        </w:rPr>
        <w:t>(</w:t>
      </w:r>
      <w:r w:rsidRPr="00FA2D24">
        <w:rPr>
          <w:rFonts w:asciiTheme="majorBidi" w:hAnsiTheme="majorBidi" w:cstheme="majorBidi"/>
          <w:sz w:val="24"/>
          <w:szCs w:val="24"/>
        </w:rPr>
        <w:t>2012</w:t>
      </w:r>
      <w:r>
        <w:rPr>
          <w:rFonts w:asciiTheme="majorBidi" w:hAnsiTheme="majorBidi" w:cstheme="majorBidi"/>
          <w:sz w:val="24"/>
          <w:szCs w:val="24"/>
        </w:rPr>
        <w:t>)</w:t>
      </w:r>
      <w:r w:rsidRPr="00FA2D24">
        <w:rPr>
          <w:rFonts w:asciiTheme="majorBidi" w:hAnsiTheme="majorBidi" w:cstheme="majorBidi"/>
          <w:sz w:val="24"/>
          <w:szCs w:val="24"/>
        </w:rPr>
        <w:t xml:space="preserve">. ‘Civil society participation and EU children’s rights policy’, </w:t>
      </w:r>
      <w:r w:rsidRPr="00FA2D24">
        <w:rPr>
          <w:rFonts w:asciiTheme="majorBidi" w:hAnsiTheme="majorBidi" w:cstheme="majorBidi"/>
          <w:i/>
          <w:iCs/>
          <w:sz w:val="24"/>
          <w:szCs w:val="24"/>
        </w:rPr>
        <w:t>Journal of Civil Society</w:t>
      </w:r>
      <w:r>
        <w:rPr>
          <w:rFonts w:asciiTheme="majorBidi" w:hAnsiTheme="majorBidi" w:cstheme="majorBidi"/>
          <w:sz w:val="24"/>
          <w:szCs w:val="24"/>
        </w:rPr>
        <w:t>, 8:</w:t>
      </w:r>
      <w:r w:rsidRPr="00FA2D24">
        <w:rPr>
          <w:rFonts w:asciiTheme="majorBidi" w:hAnsiTheme="majorBidi" w:cstheme="majorBidi"/>
          <w:sz w:val="24"/>
          <w:szCs w:val="24"/>
        </w:rPr>
        <w:t>2,137-154.</w:t>
      </w:r>
    </w:p>
    <w:p w14:paraId="0B1C19FE" w14:textId="77777777" w:rsidR="00E4256A" w:rsidRPr="00FA2D24" w:rsidRDefault="00E4256A" w:rsidP="00FA2D24">
      <w:pPr>
        <w:pStyle w:val="EndnoteText"/>
        <w:jc w:val="both"/>
        <w:rPr>
          <w:rFonts w:asciiTheme="majorBidi" w:hAnsiTheme="majorBidi" w:cstheme="majorBidi"/>
          <w:sz w:val="24"/>
          <w:szCs w:val="24"/>
        </w:rPr>
      </w:pPr>
    </w:p>
    <w:p w14:paraId="23FCF054" w14:textId="3F0A2A1E" w:rsidR="00E4256A" w:rsidRPr="00FA2D24" w:rsidRDefault="00E4256A" w:rsidP="00FA2D24">
      <w:pPr>
        <w:pStyle w:val="EndnoteText"/>
        <w:jc w:val="both"/>
        <w:rPr>
          <w:rFonts w:asciiTheme="majorBidi" w:hAnsiTheme="majorBidi" w:cstheme="majorBidi"/>
          <w:sz w:val="24"/>
          <w:szCs w:val="24"/>
          <w:lang w:val="en-GB"/>
        </w:rPr>
      </w:pPr>
      <w:r w:rsidRPr="00FA2D24">
        <w:rPr>
          <w:rFonts w:asciiTheme="majorBidi" w:hAnsiTheme="majorBidi" w:cstheme="majorBidi"/>
          <w:sz w:val="24"/>
          <w:szCs w:val="24"/>
          <w:lang w:val="en-GB"/>
        </w:rPr>
        <w:t xml:space="preserve">Iusmen, I. </w:t>
      </w:r>
      <w:r>
        <w:rPr>
          <w:rFonts w:asciiTheme="majorBidi" w:hAnsiTheme="majorBidi" w:cstheme="majorBidi"/>
          <w:sz w:val="24"/>
          <w:szCs w:val="24"/>
          <w:lang w:val="en-GB"/>
        </w:rPr>
        <w:t>(</w:t>
      </w:r>
      <w:r w:rsidRPr="00FA2D24">
        <w:rPr>
          <w:rFonts w:asciiTheme="majorBidi" w:hAnsiTheme="majorBidi" w:cstheme="majorBidi"/>
          <w:sz w:val="24"/>
          <w:szCs w:val="24"/>
          <w:lang w:val="en-GB"/>
        </w:rPr>
        <w:t>2013</w:t>
      </w:r>
      <w:r>
        <w:rPr>
          <w:rFonts w:asciiTheme="majorBidi" w:hAnsiTheme="majorBidi" w:cstheme="majorBidi"/>
          <w:sz w:val="24"/>
          <w:szCs w:val="24"/>
          <w:lang w:val="en-GB"/>
        </w:rPr>
        <w:t>)</w:t>
      </w:r>
      <w:r w:rsidRPr="00FA2D24">
        <w:rPr>
          <w:rFonts w:asciiTheme="majorBidi" w:hAnsiTheme="majorBidi" w:cstheme="majorBidi"/>
          <w:sz w:val="24"/>
          <w:szCs w:val="24"/>
          <w:lang w:val="en-GB"/>
        </w:rPr>
        <w:t xml:space="preserve">. ‘Policy Entrepreneurship and Eastern Enlargement: the Case of EU Children’s Rights Policy’, </w:t>
      </w:r>
      <w:r w:rsidRPr="00FA2D24">
        <w:rPr>
          <w:rFonts w:asciiTheme="majorBidi" w:hAnsiTheme="majorBidi" w:cstheme="majorBidi"/>
          <w:i/>
          <w:iCs/>
          <w:sz w:val="24"/>
          <w:szCs w:val="24"/>
          <w:lang w:val="en-GB"/>
        </w:rPr>
        <w:t>Comparative European Politics</w:t>
      </w:r>
      <w:r>
        <w:rPr>
          <w:rFonts w:asciiTheme="majorBidi" w:hAnsiTheme="majorBidi" w:cstheme="majorBidi"/>
          <w:sz w:val="24"/>
          <w:szCs w:val="24"/>
          <w:lang w:val="en-GB"/>
        </w:rPr>
        <w:t>, 11:</w:t>
      </w:r>
      <w:r w:rsidRPr="00FA2D24">
        <w:rPr>
          <w:rFonts w:asciiTheme="majorBidi" w:hAnsiTheme="majorBidi" w:cstheme="majorBidi"/>
          <w:sz w:val="24"/>
          <w:szCs w:val="24"/>
          <w:lang w:val="en-GB"/>
        </w:rPr>
        <w:t>4, 511–529.</w:t>
      </w:r>
    </w:p>
    <w:p w14:paraId="54819FDD" w14:textId="77777777" w:rsidR="00E4256A" w:rsidRPr="00FA2D24" w:rsidRDefault="00E4256A" w:rsidP="00FA2D24">
      <w:pPr>
        <w:pStyle w:val="EndnoteText"/>
        <w:jc w:val="both"/>
        <w:rPr>
          <w:rFonts w:asciiTheme="majorBidi" w:hAnsiTheme="majorBidi" w:cstheme="majorBidi"/>
          <w:sz w:val="24"/>
          <w:szCs w:val="24"/>
          <w:lang w:val="en-GB"/>
        </w:rPr>
      </w:pPr>
    </w:p>
    <w:p w14:paraId="34D87AB2" w14:textId="311534FA" w:rsidR="00E4256A" w:rsidRPr="00FA2D24" w:rsidRDefault="00E4256A" w:rsidP="00685E65">
      <w:pPr>
        <w:pStyle w:val="EndnoteText"/>
        <w:jc w:val="both"/>
        <w:rPr>
          <w:rFonts w:asciiTheme="majorBidi" w:hAnsiTheme="majorBidi" w:cstheme="majorBidi"/>
          <w:sz w:val="24"/>
          <w:szCs w:val="24"/>
          <w:lang w:val="en-GB"/>
        </w:rPr>
      </w:pPr>
      <w:r w:rsidRPr="00FA2D24">
        <w:rPr>
          <w:rFonts w:asciiTheme="majorBidi" w:hAnsiTheme="majorBidi" w:cstheme="majorBidi"/>
          <w:sz w:val="24"/>
          <w:szCs w:val="24"/>
          <w:lang w:val="en-GB"/>
        </w:rPr>
        <w:t>Iusmen,</w:t>
      </w:r>
      <w:r w:rsidR="00CF6E88">
        <w:rPr>
          <w:rFonts w:asciiTheme="majorBidi" w:hAnsiTheme="majorBidi" w:cstheme="majorBidi"/>
          <w:sz w:val="24"/>
          <w:szCs w:val="24"/>
          <w:lang w:val="en-GB"/>
        </w:rPr>
        <w:t xml:space="preserve"> I and Stalford, H. (2016</w:t>
      </w:r>
      <w:r w:rsidRPr="00FA2D24">
        <w:rPr>
          <w:rFonts w:asciiTheme="majorBidi" w:hAnsiTheme="majorBidi" w:cstheme="majorBidi"/>
          <w:sz w:val="24"/>
          <w:szCs w:val="24"/>
          <w:lang w:val="en-GB"/>
        </w:rPr>
        <w:t>)</w:t>
      </w:r>
      <w:r>
        <w:rPr>
          <w:rFonts w:asciiTheme="majorBidi" w:hAnsiTheme="majorBidi" w:cstheme="majorBidi"/>
          <w:sz w:val="24"/>
          <w:szCs w:val="24"/>
          <w:lang w:val="en-GB"/>
        </w:rPr>
        <w:t>.</w:t>
      </w:r>
      <w:r w:rsidRPr="00FA2D24">
        <w:rPr>
          <w:rFonts w:asciiTheme="majorBidi" w:hAnsiTheme="majorBidi" w:cstheme="majorBidi"/>
          <w:sz w:val="24"/>
          <w:szCs w:val="24"/>
          <w:lang w:val="en-GB"/>
        </w:rPr>
        <w:t xml:space="preserve"> </w:t>
      </w:r>
      <w:r w:rsidRPr="00FA2D24">
        <w:rPr>
          <w:rFonts w:asciiTheme="majorBidi" w:hAnsiTheme="majorBidi" w:cstheme="majorBidi"/>
          <w:i/>
          <w:iCs/>
          <w:sz w:val="24"/>
          <w:szCs w:val="24"/>
          <w:lang w:val="en-GB"/>
        </w:rPr>
        <w:t>The EU as a Children’s Rights Actor Law, Policy and Structural Dimensions</w:t>
      </w:r>
      <w:r w:rsidRPr="00FA2D24">
        <w:rPr>
          <w:rFonts w:asciiTheme="majorBidi" w:hAnsiTheme="majorBidi" w:cstheme="majorBidi"/>
          <w:sz w:val="24"/>
          <w:szCs w:val="24"/>
          <w:lang w:val="en-GB"/>
        </w:rPr>
        <w:t xml:space="preserve">. London: Budrich Academic Publishers. </w:t>
      </w:r>
    </w:p>
    <w:p w14:paraId="2AA372F8" w14:textId="77777777" w:rsidR="00E4256A" w:rsidRPr="00FA2D24" w:rsidRDefault="00E4256A" w:rsidP="00FA2D24">
      <w:pPr>
        <w:pStyle w:val="EndnoteText"/>
        <w:jc w:val="both"/>
        <w:rPr>
          <w:rFonts w:asciiTheme="majorBidi" w:hAnsiTheme="majorBidi" w:cstheme="majorBidi"/>
          <w:bCs/>
          <w:sz w:val="24"/>
          <w:szCs w:val="24"/>
          <w:lang w:val="en-GB"/>
        </w:rPr>
      </w:pPr>
    </w:p>
    <w:p w14:paraId="787F1679" w14:textId="77777777" w:rsidR="00E4256A" w:rsidRPr="00FA2D24" w:rsidRDefault="00E4256A" w:rsidP="00FA2D24">
      <w:pPr>
        <w:pStyle w:val="EndnoteText"/>
        <w:jc w:val="both"/>
        <w:rPr>
          <w:rFonts w:asciiTheme="majorBidi" w:hAnsiTheme="majorBidi" w:cstheme="majorBidi"/>
          <w:bCs/>
          <w:sz w:val="24"/>
          <w:szCs w:val="24"/>
          <w:lang w:val="en-GB"/>
        </w:rPr>
      </w:pPr>
    </w:p>
    <w:p w14:paraId="16130AB7" w14:textId="499622B2" w:rsidR="00E4256A" w:rsidRPr="00FA2D24" w:rsidRDefault="00E4256A" w:rsidP="00685E65">
      <w:pPr>
        <w:pStyle w:val="EndnoteText"/>
        <w:jc w:val="both"/>
        <w:rPr>
          <w:rFonts w:asciiTheme="majorBidi" w:hAnsiTheme="majorBidi" w:cstheme="majorBidi"/>
          <w:bCs/>
          <w:sz w:val="24"/>
          <w:szCs w:val="24"/>
          <w:lang w:val="en-GB"/>
        </w:rPr>
      </w:pPr>
      <w:r w:rsidRPr="0025482D">
        <w:rPr>
          <w:rFonts w:asciiTheme="majorBidi" w:hAnsiTheme="majorBidi" w:cstheme="majorBidi"/>
          <w:bCs/>
          <w:sz w:val="24"/>
          <w:szCs w:val="24"/>
          <w:lang w:val="en-GB"/>
        </w:rPr>
        <w:t xml:space="preserve">Kohler-Koch, B. and Quittkat, C. (2013). </w:t>
      </w:r>
      <w:r w:rsidRPr="00FA2D24">
        <w:rPr>
          <w:rFonts w:asciiTheme="majorBidi" w:hAnsiTheme="majorBidi" w:cstheme="majorBidi"/>
          <w:bCs/>
          <w:i/>
          <w:iCs/>
          <w:sz w:val="24"/>
          <w:szCs w:val="24"/>
        </w:rPr>
        <w:t>De-Mystification of Participatory Democracy: EU-Governance and Civil Society</w:t>
      </w:r>
      <w:r w:rsidRPr="00FA2D24">
        <w:rPr>
          <w:rFonts w:asciiTheme="majorBidi" w:hAnsiTheme="majorBidi" w:cstheme="majorBidi"/>
          <w:bCs/>
          <w:sz w:val="24"/>
          <w:szCs w:val="24"/>
        </w:rPr>
        <w:t>. Oxford: Oxford University Press.</w:t>
      </w:r>
    </w:p>
    <w:p w14:paraId="183FA14F" w14:textId="77777777" w:rsidR="00E4256A" w:rsidRPr="00FA2D24" w:rsidRDefault="00E4256A" w:rsidP="00FA2D24">
      <w:pPr>
        <w:pStyle w:val="EndnoteText"/>
        <w:jc w:val="both"/>
        <w:rPr>
          <w:rFonts w:asciiTheme="majorBidi" w:hAnsiTheme="majorBidi" w:cstheme="majorBidi"/>
          <w:bCs/>
          <w:sz w:val="24"/>
          <w:szCs w:val="24"/>
          <w:lang w:val="en-GB"/>
        </w:rPr>
      </w:pPr>
    </w:p>
    <w:p w14:paraId="2EC8DA71" w14:textId="142627B7" w:rsidR="00E4256A" w:rsidRPr="00FA2D24" w:rsidRDefault="00E4256A" w:rsidP="00FA2D24">
      <w:pPr>
        <w:pStyle w:val="EndnoteText"/>
        <w:jc w:val="both"/>
        <w:rPr>
          <w:rFonts w:asciiTheme="majorBidi" w:hAnsiTheme="majorBidi" w:cstheme="majorBidi"/>
          <w:bCs/>
          <w:sz w:val="24"/>
          <w:szCs w:val="24"/>
          <w:lang w:val="en-GB"/>
        </w:rPr>
      </w:pPr>
      <w:r w:rsidRPr="00FA2D24">
        <w:rPr>
          <w:rFonts w:asciiTheme="majorBidi" w:hAnsiTheme="majorBidi" w:cstheme="majorBidi"/>
          <w:bCs/>
          <w:sz w:val="24"/>
          <w:szCs w:val="24"/>
          <w:lang w:val="en-GB"/>
        </w:rPr>
        <w:t xml:space="preserve">Lowndes, V. Pratchett, L. and Stoker, G. </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2006</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 xml:space="preserve">. ‘Diagnosing and remedying the failings of official participation schemes: the CLEAR framework’, </w:t>
      </w:r>
      <w:r w:rsidRPr="00FA2D24">
        <w:rPr>
          <w:rFonts w:asciiTheme="majorBidi" w:hAnsiTheme="majorBidi" w:cstheme="majorBidi"/>
          <w:bCs/>
          <w:i/>
          <w:iCs/>
          <w:sz w:val="24"/>
          <w:szCs w:val="24"/>
          <w:lang w:val="en-GB"/>
        </w:rPr>
        <w:t>Social Policy and Society</w:t>
      </w:r>
      <w:r w:rsidRPr="00FA2D24">
        <w:rPr>
          <w:rFonts w:asciiTheme="majorBidi" w:hAnsiTheme="majorBidi" w:cstheme="majorBidi"/>
          <w:bCs/>
          <w:sz w:val="24"/>
          <w:szCs w:val="24"/>
          <w:lang w:val="en-GB"/>
        </w:rPr>
        <w:t>, 5, 2, 281–291.</w:t>
      </w:r>
    </w:p>
    <w:p w14:paraId="0919C83D" w14:textId="77777777" w:rsidR="00E4256A" w:rsidRPr="00FA2D24" w:rsidRDefault="00E4256A" w:rsidP="00E177C3">
      <w:pPr>
        <w:pStyle w:val="EndnoteText"/>
        <w:jc w:val="both"/>
        <w:rPr>
          <w:rFonts w:asciiTheme="majorBidi" w:hAnsiTheme="majorBidi" w:cstheme="majorBidi"/>
          <w:bCs/>
          <w:sz w:val="24"/>
          <w:szCs w:val="24"/>
          <w:lang w:val="en-GB"/>
        </w:rPr>
      </w:pPr>
    </w:p>
    <w:p w14:paraId="3D238DA6" w14:textId="27534402" w:rsidR="00E4256A" w:rsidRPr="00FA2D24" w:rsidRDefault="00E4256A" w:rsidP="00FA2D24">
      <w:pPr>
        <w:pStyle w:val="EndnoteText"/>
        <w:jc w:val="both"/>
        <w:rPr>
          <w:rFonts w:asciiTheme="majorBidi" w:hAnsiTheme="majorBidi" w:cstheme="majorBidi"/>
          <w:bCs/>
          <w:sz w:val="24"/>
          <w:szCs w:val="24"/>
          <w:lang w:val="en-GB"/>
        </w:rPr>
      </w:pPr>
      <w:r w:rsidRPr="00FA2D24">
        <w:rPr>
          <w:rFonts w:asciiTheme="majorBidi" w:hAnsiTheme="majorBidi" w:cstheme="majorBidi"/>
          <w:bCs/>
          <w:sz w:val="24"/>
          <w:szCs w:val="24"/>
          <w:lang w:val="en-GB"/>
        </w:rPr>
        <w:t xml:space="preserve">Majone, G. </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1999</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 xml:space="preserve">. ‘The regulatory state and its legitimacy problems’, </w:t>
      </w:r>
      <w:r w:rsidRPr="00FA2D24">
        <w:rPr>
          <w:rFonts w:asciiTheme="majorBidi" w:hAnsiTheme="majorBidi" w:cstheme="majorBidi"/>
          <w:bCs/>
          <w:i/>
          <w:iCs/>
          <w:sz w:val="24"/>
          <w:szCs w:val="24"/>
          <w:lang w:val="en-GB"/>
        </w:rPr>
        <w:t>West European Politics</w:t>
      </w:r>
      <w:r w:rsidRPr="00FA2D24">
        <w:rPr>
          <w:rFonts w:asciiTheme="majorBidi" w:hAnsiTheme="majorBidi" w:cstheme="majorBidi"/>
          <w:bCs/>
          <w:sz w:val="24"/>
          <w:szCs w:val="24"/>
          <w:lang w:val="en-GB"/>
        </w:rPr>
        <w:t>, 22</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1, 1-24.</w:t>
      </w:r>
    </w:p>
    <w:p w14:paraId="17FDE9B5" w14:textId="77777777" w:rsidR="00E4256A" w:rsidRPr="00FA2D24" w:rsidRDefault="00E4256A" w:rsidP="00FA2D24">
      <w:pPr>
        <w:pStyle w:val="EndnoteText"/>
        <w:jc w:val="both"/>
        <w:rPr>
          <w:rFonts w:asciiTheme="majorBidi" w:hAnsiTheme="majorBidi" w:cstheme="majorBidi"/>
          <w:bCs/>
          <w:sz w:val="24"/>
          <w:szCs w:val="24"/>
          <w:lang w:val="en-GB"/>
        </w:rPr>
      </w:pPr>
    </w:p>
    <w:p w14:paraId="58E5B5F3" w14:textId="05EA5917" w:rsidR="00E4256A" w:rsidRPr="00FA2D24" w:rsidRDefault="00E4256A" w:rsidP="00685E65">
      <w:pPr>
        <w:pStyle w:val="EndnoteText"/>
        <w:jc w:val="both"/>
        <w:rPr>
          <w:rFonts w:asciiTheme="majorBidi" w:hAnsiTheme="majorBidi" w:cstheme="majorBidi"/>
          <w:sz w:val="24"/>
          <w:szCs w:val="24"/>
        </w:rPr>
      </w:pPr>
      <w:r w:rsidRPr="00FA2D24">
        <w:rPr>
          <w:rFonts w:asciiTheme="majorBidi" w:hAnsiTheme="majorBidi" w:cstheme="majorBidi"/>
          <w:bCs/>
          <w:sz w:val="24"/>
          <w:szCs w:val="24"/>
          <w:lang w:val="en-GB"/>
        </w:rPr>
        <w:t xml:space="preserve">Nabatchi, T. </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2010</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 xml:space="preserve">. ‘Addressing the Citizenship and Democratic Deficits: The Potential of Deliberative Democracy for Public Administration’, </w:t>
      </w:r>
      <w:r w:rsidRPr="00FA2D24">
        <w:rPr>
          <w:rFonts w:asciiTheme="majorBidi" w:hAnsiTheme="majorBidi" w:cstheme="majorBidi"/>
          <w:bCs/>
          <w:i/>
          <w:iCs/>
          <w:sz w:val="24"/>
          <w:szCs w:val="24"/>
          <w:lang w:val="en-GB"/>
        </w:rPr>
        <w:t>American Review of Public Administration</w:t>
      </w:r>
      <w:r>
        <w:rPr>
          <w:rFonts w:asciiTheme="majorBidi" w:hAnsiTheme="majorBidi" w:cstheme="majorBidi"/>
          <w:bCs/>
          <w:sz w:val="24"/>
          <w:szCs w:val="24"/>
          <w:lang w:val="en-GB"/>
        </w:rPr>
        <w:t>, 40:</w:t>
      </w:r>
      <w:r w:rsidRPr="00FA2D24">
        <w:rPr>
          <w:rFonts w:asciiTheme="majorBidi" w:hAnsiTheme="majorBidi" w:cstheme="majorBidi"/>
          <w:bCs/>
          <w:sz w:val="24"/>
          <w:szCs w:val="24"/>
          <w:lang w:val="en-GB"/>
        </w:rPr>
        <w:t>4, 376-399.</w:t>
      </w:r>
    </w:p>
    <w:p w14:paraId="3BE84C1A" w14:textId="77777777" w:rsidR="00E4256A" w:rsidRPr="00FA2D24" w:rsidRDefault="00E4256A" w:rsidP="00FA2D24">
      <w:pPr>
        <w:pStyle w:val="EndnoteText"/>
        <w:jc w:val="both"/>
        <w:rPr>
          <w:rFonts w:asciiTheme="majorBidi" w:hAnsiTheme="majorBidi" w:cstheme="majorBidi"/>
          <w:sz w:val="24"/>
          <w:szCs w:val="24"/>
        </w:rPr>
      </w:pPr>
    </w:p>
    <w:p w14:paraId="59BC6147" w14:textId="31E534E6" w:rsidR="00E4256A" w:rsidRPr="00FA2D24" w:rsidRDefault="00E4256A" w:rsidP="00FA2D24">
      <w:pPr>
        <w:pStyle w:val="EndnoteText"/>
        <w:jc w:val="both"/>
        <w:rPr>
          <w:rFonts w:asciiTheme="majorBidi" w:hAnsiTheme="majorBidi" w:cstheme="majorBidi"/>
          <w:sz w:val="24"/>
          <w:szCs w:val="24"/>
          <w:lang w:val="en-GB"/>
        </w:rPr>
      </w:pPr>
      <w:r w:rsidRPr="00FA2D24">
        <w:rPr>
          <w:rFonts w:asciiTheme="majorBidi" w:hAnsiTheme="majorBidi" w:cstheme="majorBidi"/>
          <w:sz w:val="24"/>
          <w:szCs w:val="24"/>
          <w:lang w:val="en-GB"/>
        </w:rPr>
        <w:t xml:space="preserve">Peters, B. G. </w:t>
      </w:r>
      <w:r>
        <w:rPr>
          <w:rFonts w:asciiTheme="majorBidi" w:hAnsiTheme="majorBidi" w:cstheme="majorBidi"/>
          <w:sz w:val="24"/>
          <w:szCs w:val="24"/>
          <w:lang w:val="en-GB"/>
        </w:rPr>
        <w:t>(</w:t>
      </w:r>
      <w:r w:rsidRPr="00FA2D24">
        <w:rPr>
          <w:rFonts w:asciiTheme="majorBidi" w:hAnsiTheme="majorBidi" w:cstheme="majorBidi"/>
          <w:sz w:val="24"/>
          <w:szCs w:val="24"/>
          <w:lang w:val="en-GB"/>
        </w:rPr>
        <w:t>2010</w:t>
      </w:r>
      <w:r>
        <w:rPr>
          <w:rFonts w:asciiTheme="majorBidi" w:hAnsiTheme="majorBidi" w:cstheme="majorBidi"/>
          <w:sz w:val="24"/>
          <w:szCs w:val="24"/>
          <w:lang w:val="en-GB"/>
        </w:rPr>
        <w:t>)</w:t>
      </w:r>
      <w:r w:rsidRPr="00FA2D24">
        <w:rPr>
          <w:rFonts w:asciiTheme="majorBidi" w:hAnsiTheme="majorBidi" w:cstheme="majorBidi"/>
          <w:sz w:val="24"/>
          <w:szCs w:val="24"/>
          <w:lang w:val="en-GB"/>
        </w:rPr>
        <w:t xml:space="preserve">. ‘Bureaucracy and democracy’ </w:t>
      </w:r>
      <w:r w:rsidRPr="00FA2D24">
        <w:rPr>
          <w:rFonts w:asciiTheme="majorBidi" w:hAnsiTheme="majorBidi" w:cstheme="majorBidi"/>
          <w:i/>
          <w:iCs/>
          <w:sz w:val="24"/>
          <w:szCs w:val="24"/>
          <w:lang w:val="en-GB"/>
        </w:rPr>
        <w:t>Public Organization Review</w:t>
      </w:r>
      <w:r>
        <w:rPr>
          <w:rFonts w:asciiTheme="majorBidi" w:hAnsiTheme="majorBidi" w:cstheme="majorBidi"/>
          <w:sz w:val="24"/>
          <w:szCs w:val="24"/>
          <w:lang w:val="en-GB"/>
        </w:rPr>
        <w:t xml:space="preserve">, 10: </w:t>
      </w:r>
      <w:r w:rsidRPr="00FA2D24">
        <w:rPr>
          <w:rFonts w:asciiTheme="majorBidi" w:hAnsiTheme="majorBidi" w:cstheme="majorBidi"/>
          <w:sz w:val="24"/>
          <w:szCs w:val="24"/>
          <w:lang w:val="en-GB"/>
        </w:rPr>
        <w:t>3, 209-222.</w:t>
      </w:r>
    </w:p>
    <w:p w14:paraId="0F3BA523" w14:textId="77777777" w:rsidR="00E4256A" w:rsidRPr="00FA2D24" w:rsidRDefault="00E4256A" w:rsidP="00FA2D24">
      <w:pPr>
        <w:pStyle w:val="EndnoteText"/>
        <w:jc w:val="both"/>
        <w:rPr>
          <w:rFonts w:asciiTheme="majorBidi" w:hAnsiTheme="majorBidi" w:cstheme="majorBidi"/>
          <w:sz w:val="24"/>
          <w:szCs w:val="24"/>
        </w:rPr>
      </w:pPr>
    </w:p>
    <w:p w14:paraId="7E3AE55C" w14:textId="6C530E55" w:rsidR="00E4256A" w:rsidRPr="00FA2D24" w:rsidRDefault="00E4256A" w:rsidP="00FA2D24">
      <w:pPr>
        <w:pStyle w:val="EndnoteText"/>
        <w:jc w:val="both"/>
        <w:rPr>
          <w:rFonts w:asciiTheme="majorBidi" w:hAnsiTheme="majorBidi" w:cstheme="majorBidi"/>
          <w:sz w:val="24"/>
          <w:szCs w:val="24"/>
          <w:lang w:val="en-GB"/>
        </w:rPr>
      </w:pPr>
      <w:r w:rsidRPr="00FA2D24">
        <w:rPr>
          <w:rFonts w:asciiTheme="majorBidi" w:hAnsiTheme="majorBidi" w:cstheme="majorBidi"/>
          <w:sz w:val="24"/>
          <w:szCs w:val="24"/>
          <w:lang w:val="en-GB"/>
        </w:rPr>
        <w:t xml:space="preserve">Scharpf, F. W. </w:t>
      </w:r>
      <w:r>
        <w:rPr>
          <w:rFonts w:asciiTheme="majorBidi" w:hAnsiTheme="majorBidi" w:cstheme="majorBidi"/>
          <w:sz w:val="24"/>
          <w:szCs w:val="24"/>
          <w:lang w:val="en-GB"/>
        </w:rPr>
        <w:t>(</w:t>
      </w:r>
      <w:r w:rsidRPr="00FA2D24">
        <w:rPr>
          <w:rFonts w:asciiTheme="majorBidi" w:hAnsiTheme="majorBidi" w:cstheme="majorBidi"/>
          <w:sz w:val="24"/>
          <w:szCs w:val="24"/>
          <w:lang w:val="en-GB"/>
        </w:rPr>
        <w:t>1999</w:t>
      </w:r>
      <w:r>
        <w:rPr>
          <w:rFonts w:asciiTheme="majorBidi" w:hAnsiTheme="majorBidi" w:cstheme="majorBidi"/>
          <w:sz w:val="24"/>
          <w:szCs w:val="24"/>
          <w:lang w:val="en-GB"/>
        </w:rPr>
        <w:t>)</w:t>
      </w:r>
      <w:r w:rsidRPr="00FA2D24">
        <w:rPr>
          <w:rFonts w:asciiTheme="majorBidi" w:hAnsiTheme="majorBidi" w:cstheme="majorBidi"/>
          <w:sz w:val="24"/>
          <w:szCs w:val="24"/>
          <w:lang w:val="en-GB"/>
        </w:rPr>
        <w:t xml:space="preserve">. </w:t>
      </w:r>
      <w:r w:rsidRPr="00FA2D24">
        <w:rPr>
          <w:rFonts w:asciiTheme="majorBidi" w:hAnsiTheme="majorBidi" w:cstheme="majorBidi"/>
          <w:i/>
          <w:iCs/>
          <w:sz w:val="24"/>
          <w:szCs w:val="24"/>
          <w:lang w:val="en-GB"/>
        </w:rPr>
        <w:t>Governing in Europe: effective and democratic?.</w:t>
      </w:r>
      <w:r w:rsidRPr="00FA2D24">
        <w:rPr>
          <w:rFonts w:asciiTheme="majorBidi" w:hAnsiTheme="majorBidi" w:cstheme="majorBidi"/>
          <w:sz w:val="24"/>
          <w:szCs w:val="24"/>
          <w:lang w:val="en-GB"/>
        </w:rPr>
        <w:t xml:space="preserve"> Oxford: Oxford University Press.</w:t>
      </w:r>
    </w:p>
    <w:p w14:paraId="347DFCB9" w14:textId="77777777" w:rsidR="00E4256A" w:rsidRPr="00FA2D24" w:rsidRDefault="00E4256A" w:rsidP="00FA2D24">
      <w:pPr>
        <w:pStyle w:val="EndnoteText"/>
        <w:jc w:val="both"/>
        <w:rPr>
          <w:rFonts w:asciiTheme="majorBidi" w:hAnsiTheme="majorBidi" w:cstheme="majorBidi"/>
          <w:sz w:val="24"/>
          <w:szCs w:val="24"/>
        </w:rPr>
      </w:pPr>
    </w:p>
    <w:p w14:paraId="60551A40" w14:textId="06528AB1" w:rsidR="00E4256A" w:rsidRPr="00FA2D24" w:rsidRDefault="00E4256A" w:rsidP="00FA2D24">
      <w:pPr>
        <w:pStyle w:val="EndnoteText"/>
        <w:jc w:val="both"/>
        <w:rPr>
          <w:rFonts w:asciiTheme="majorBidi" w:hAnsiTheme="majorBidi" w:cstheme="majorBidi"/>
          <w:bCs/>
          <w:sz w:val="24"/>
          <w:szCs w:val="24"/>
          <w:lang w:val="en-GB"/>
        </w:rPr>
      </w:pPr>
      <w:r w:rsidRPr="00FA2D24">
        <w:rPr>
          <w:rFonts w:asciiTheme="majorBidi" w:hAnsiTheme="majorBidi" w:cstheme="majorBidi"/>
          <w:bCs/>
          <w:sz w:val="24"/>
          <w:szCs w:val="24"/>
          <w:lang w:val="en-GB"/>
        </w:rPr>
        <w:t xml:space="preserve">Schmidt, V. A. </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2013</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 xml:space="preserve">. Democracy and legitimacy in the European Union revisited: Input, output and ‘throughput’. </w:t>
      </w:r>
      <w:r w:rsidRPr="00FA2D24">
        <w:rPr>
          <w:rFonts w:asciiTheme="majorBidi" w:hAnsiTheme="majorBidi" w:cstheme="majorBidi"/>
          <w:bCs/>
          <w:i/>
          <w:iCs/>
          <w:sz w:val="24"/>
          <w:szCs w:val="24"/>
          <w:lang w:val="en-GB"/>
        </w:rPr>
        <w:t>Political Studies</w:t>
      </w:r>
      <w:r w:rsidRPr="00FA2D24">
        <w:rPr>
          <w:rFonts w:asciiTheme="majorBidi" w:hAnsiTheme="majorBidi" w:cstheme="majorBidi"/>
          <w:bCs/>
          <w:sz w:val="24"/>
          <w:szCs w:val="24"/>
          <w:lang w:val="en-GB"/>
        </w:rPr>
        <w:t xml:space="preserve">, </w:t>
      </w:r>
      <w:r>
        <w:rPr>
          <w:rFonts w:asciiTheme="majorBidi" w:hAnsiTheme="majorBidi" w:cstheme="majorBidi"/>
          <w:bCs/>
          <w:sz w:val="24"/>
          <w:szCs w:val="24"/>
          <w:lang w:val="en-GB"/>
        </w:rPr>
        <w:t>6:</w:t>
      </w:r>
      <w:r w:rsidRPr="00FA2D24">
        <w:rPr>
          <w:rFonts w:asciiTheme="majorBidi" w:hAnsiTheme="majorBidi" w:cstheme="majorBidi"/>
          <w:bCs/>
          <w:sz w:val="24"/>
          <w:szCs w:val="24"/>
          <w:lang w:val="en-GB"/>
        </w:rPr>
        <w:t>1, 2-22.</w:t>
      </w:r>
    </w:p>
    <w:p w14:paraId="3BDCE94F" w14:textId="77777777" w:rsidR="00E4256A" w:rsidRPr="00FA2D24" w:rsidRDefault="00E4256A" w:rsidP="00FA2D24">
      <w:pPr>
        <w:pStyle w:val="EndnoteText"/>
        <w:jc w:val="both"/>
        <w:rPr>
          <w:rFonts w:asciiTheme="majorBidi" w:hAnsiTheme="majorBidi" w:cstheme="majorBidi"/>
          <w:bCs/>
          <w:sz w:val="24"/>
          <w:szCs w:val="24"/>
          <w:lang w:val="en-GB"/>
        </w:rPr>
      </w:pPr>
    </w:p>
    <w:p w14:paraId="24EF504C" w14:textId="26DE7AFC" w:rsidR="00E4256A" w:rsidRPr="00FA2D24" w:rsidRDefault="00E4256A" w:rsidP="00FA2D24">
      <w:pPr>
        <w:pStyle w:val="EndnoteText"/>
        <w:jc w:val="both"/>
        <w:rPr>
          <w:rFonts w:asciiTheme="majorBidi" w:hAnsiTheme="majorBidi" w:cstheme="majorBidi"/>
          <w:bCs/>
          <w:sz w:val="24"/>
          <w:szCs w:val="24"/>
          <w:lang w:val="en-GB"/>
        </w:rPr>
      </w:pPr>
      <w:r w:rsidRPr="00FA2D24">
        <w:rPr>
          <w:rFonts w:asciiTheme="majorBidi" w:hAnsiTheme="majorBidi" w:cstheme="majorBidi"/>
          <w:bCs/>
          <w:sz w:val="24"/>
          <w:szCs w:val="24"/>
          <w:lang w:val="en-GB"/>
        </w:rPr>
        <w:t xml:space="preserve">Smismans, S. (ed.) </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2006</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 Civi</w:t>
      </w:r>
      <w:r w:rsidRPr="00FA2D24">
        <w:rPr>
          <w:rFonts w:asciiTheme="majorBidi" w:hAnsiTheme="majorBidi" w:cstheme="majorBidi"/>
          <w:bCs/>
          <w:i/>
          <w:iCs/>
          <w:sz w:val="24"/>
          <w:szCs w:val="24"/>
          <w:lang w:val="en-GB"/>
        </w:rPr>
        <w:t xml:space="preserve">l Society and Legitimate European Governance. </w:t>
      </w:r>
      <w:r w:rsidRPr="00FA2D24">
        <w:rPr>
          <w:rFonts w:asciiTheme="majorBidi" w:hAnsiTheme="majorBidi" w:cstheme="majorBidi"/>
          <w:bCs/>
          <w:sz w:val="24"/>
          <w:szCs w:val="24"/>
          <w:lang w:val="en-GB"/>
        </w:rPr>
        <w:t>Cheltenham: Edward Elgar Publishing.</w:t>
      </w:r>
    </w:p>
    <w:p w14:paraId="0BE829DC" w14:textId="77777777" w:rsidR="00E4256A" w:rsidRPr="00FA2D24" w:rsidRDefault="00E4256A" w:rsidP="00FA2D24">
      <w:pPr>
        <w:pStyle w:val="EndnoteText"/>
        <w:jc w:val="both"/>
        <w:rPr>
          <w:rFonts w:asciiTheme="majorBidi" w:hAnsiTheme="majorBidi" w:cstheme="majorBidi"/>
          <w:bCs/>
          <w:sz w:val="24"/>
          <w:szCs w:val="24"/>
          <w:lang w:val="en-GB"/>
        </w:rPr>
      </w:pPr>
    </w:p>
    <w:p w14:paraId="649AA3E1" w14:textId="6B1A8966" w:rsidR="00E4256A" w:rsidRPr="00FA2D24" w:rsidRDefault="00E4256A" w:rsidP="00FA2D24">
      <w:pPr>
        <w:pStyle w:val="EndnoteText"/>
        <w:jc w:val="both"/>
        <w:rPr>
          <w:rFonts w:asciiTheme="majorBidi" w:hAnsiTheme="majorBidi" w:cstheme="majorBidi"/>
          <w:sz w:val="24"/>
          <w:szCs w:val="24"/>
        </w:rPr>
      </w:pPr>
      <w:r w:rsidRPr="00FA2D24">
        <w:rPr>
          <w:rFonts w:asciiTheme="majorBidi" w:hAnsiTheme="majorBidi" w:cstheme="majorBidi"/>
          <w:sz w:val="24"/>
          <w:szCs w:val="24"/>
          <w:lang w:val="en-GB"/>
        </w:rPr>
        <w:t xml:space="preserve">Smullen, A. </w:t>
      </w:r>
      <w:r>
        <w:rPr>
          <w:rFonts w:asciiTheme="majorBidi" w:hAnsiTheme="majorBidi" w:cstheme="majorBidi"/>
          <w:sz w:val="24"/>
          <w:szCs w:val="24"/>
          <w:lang w:val="en-GB"/>
        </w:rPr>
        <w:t>(</w:t>
      </w:r>
      <w:r w:rsidRPr="00FA2D24">
        <w:rPr>
          <w:rFonts w:asciiTheme="majorBidi" w:hAnsiTheme="majorBidi" w:cstheme="majorBidi"/>
          <w:sz w:val="24"/>
          <w:szCs w:val="24"/>
          <w:lang w:val="en-GB"/>
        </w:rPr>
        <w:t>2010</w:t>
      </w:r>
      <w:r>
        <w:rPr>
          <w:rFonts w:asciiTheme="majorBidi" w:hAnsiTheme="majorBidi" w:cstheme="majorBidi"/>
          <w:sz w:val="24"/>
          <w:szCs w:val="24"/>
          <w:lang w:val="en-GB"/>
        </w:rPr>
        <w:t>)</w:t>
      </w:r>
      <w:r w:rsidRPr="00FA2D24">
        <w:rPr>
          <w:rFonts w:asciiTheme="majorBidi" w:hAnsiTheme="majorBidi" w:cstheme="majorBidi"/>
          <w:sz w:val="24"/>
          <w:szCs w:val="24"/>
          <w:lang w:val="en-GB"/>
        </w:rPr>
        <w:t xml:space="preserve">. </w:t>
      </w:r>
      <w:r w:rsidRPr="00FA2D24">
        <w:rPr>
          <w:rFonts w:asciiTheme="majorBidi" w:hAnsiTheme="majorBidi" w:cstheme="majorBidi"/>
          <w:sz w:val="24"/>
          <w:szCs w:val="24"/>
        </w:rPr>
        <w:t xml:space="preserve">‘Translating Agency Reform through Durable Rhetorical Styles: Comparing Official Agency Talk across Consensus and Adversarial Contexts’, </w:t>
      </w:r>
      <w:r w:rsidRPr="00FA2D24">
        <w:rPr>
          <w:rFonts w:asciiTheme="majorBidi" w:hAnsiTheme="majorBidi" w:cstheme="majorBidi"/>
          <w:i/>
          <w:iCs/>
          <w:sz w:val="24"/>
          <w:szCs w:val="24"/>
        </w:rPr>
        <w:t>Public Administration</w:t>
      </w:r>
      <w:r>
        <w:rPr>
          <w:rFonts w:asciiTheme="majorBidi" w:hAnsiTheme="majorBidi" w:cstheme="majorBidi"/>
          <w:sz w:val="24"/>
          <w:szCs w:val="24"/>
        </w:rPr>
        <w:t>, 88:</w:t>
      </w:r>
      <w:r w:rsidRPr="00FA2D24">
        <w:rPr>
          <w:rFonts w:asciiTheme="majorBidi" w:hAnsiTheme="majorBidi" w:cstheme="majorBidi"/>
          <w:sz w:val="24"/>
          <w:szCs w:val="24"/>
        </w:rPr>
        <w:t>4, 943–59.</w:t>
      </w:r>
    </w:p>
    <w:p w14:paraId="1B8DC91B" w14:textId="77777777" w:rsidR="00E4256A" w:rsidRPr="00FA2D24" w:rsidRDefault="00E4256A" w:rsidP="00FA2D24">
      <w:pPr>
        <w:pStyle w:val="EndnoteText"/>
        <w:jc w:val="both"/>
        <w:rPr>
          <w:rFonts w:asciiTheme="majorBidi" w:hAnsiTheme="majorBidi" w:cstheme="majorBidi"/>
          <w:sz w:val="24"/>
          <w:szCs w:val="24"/>
        </w:rPr>
      </w:pPr>
    </w:p>
    <w:p w14:paraId="2968C689" w14:textId="08B89EFF" w:rsidR="00E4256A" w:rsidRPr="00FA2D24" w:rsidRDefault="00E4256A" w:rsidP="00FA2D24">
      <w:pPr>
        <w:pStyle w:val="EndnoteText"/>
        <w:jc w:val="both"/>
        <w:rPr>
          <w:rFonts w:asciiTheme="majorBidi" w:hAnsiTheme="majorBidi" w:cstheme="majorBidi"/>
          <w:bCs/>
          <w:iCs/>
          <w:sz w:val="24"/>
          <w:szCs w:val="24"/>
          <w:lang w:val="en-GB"/>
        </w:rPr>
      </w:pPr>
      <w:r w:rsidRPr="00FA2D24">
        <w:rPr>
          <w:rFonts w:asciiTheme="majorBidi" w:hAnsiTheme="majorBidi" w:cstheme="majorBidi"/>
          <w:bCs/>
          <w:iCs/>
          <w:sz w:val="24"/>
          <w:szCs w:val="24"/>
          <w:lang w:val="en-GB"/>
        </w:rPr>
        <w:t xml:space="preserve">Stalford, H. </w:t>
      </w:r>
      <w:r>
        <w:rPr>
          <w:rFonts w:asciiTheme="majorBidi" w:hAnsiTheme="majorBidi" w:cstheme="majorBidi"/>
          <w:bCs/>
          <w:iCs/>
          <w:sz w:val="24"/>
          <w:szCs w:val="24"/>
          <w:lang w:val="en-GB"/>
        </w:rPr>
        <w:t>(</w:t>
      </w:r>
      <w:r w:rsidRPr="00FA2D24">
        <w:rPr>
          <w:rFonts w:asciiTheme="majorBidi" w:hAnsiTheme="majorBidi" w:cstheme="majorBidi"/>
          <w:bCs/>
          <w:iCs/>
          <w:sz w:val="24"/>
          <w:szCs w:val="24"/>
          <w:lang w:val="en-GB"/>
        </w:rPr>
        <w:t>2012</w:t>
      </w:r>
      <w:r>
        <w:rPr>
          <w:rFonts w:asciiTheme="majorBidi" w:hAnsiTheme="majorBidi" w:cstheme="majorBidi"/>
          <w:bCs/>
          <w:iCs/>
          <w:sz w:val="24"/>
          <w:szCs w:val="24"/>
          <w:lang w:val="en-GB"/>
        </w:rPr>
        <w:t>)</w:t>
      </w:r>
      <w:r w:rsidRPr="00FA2D24">
        <w:rPr>
          <w:rFonts w:asciiTheme="majorBidi" w:hAnsiTheme="majorBidi" w:cstheme="majorBidi"/>
          <w:bCs/>
          <w:iCs/>
          <w:sz w:val="24"/>
          <w:szCs w:val="24"/>
          <w:lang w:val="en-GB"/>
        </w:rPr>
        <w:t xml:space="preserve">. </w:t>
      </w:r>
      <w:r w:rsidRPr="00FA2D24">
        <w:rPr>
          <w:rFonts w:asciiTheme="majorBidi" w:hAnsiTheme="majorBidi" w:cstheme="majorBidi"/>
          <w:bCs/>
          <w:i/>
          <w:iCs/>
          <w:sz w:val="24"/>
          <w:szCs w:val="24"/>
          <w:lang w:val="en-GB"/>
        </w:rPr>
        <w:t>Children and the European Union: Rights, Welfare and Accountability</w:t>
      </w:r>
      <w:r w:rsidRPr="00FA2D24">
        <w:rPr>
          <w:rFonts w:asciiTheme="majorBidi" w:hAnsiTheme="majorBidi" w:cstheme="majorBidi"/>
          <w:bCs/>
          <w:iCs/>
          <w:sz w:val="24"/>
          <w:szCs w:val="24"/>
          <w:lang w:val="en-GB"/>
        </w:rPr>
        <w:t>, Oxford: Hart.</w:t>
      </w:r>
    </w:p>
    <w:p w14:paraId="33953250" w14:textId="77777777" w:rsidR="00E4256A" w:rsidRPr="00FA2D24" w:rsidRDefault="00E4256A" w:rsidP="00FA2D24">
      <w:pPr>
        <w:pStyle w:val="EndnoteText"/>
        <w:jc w:val="both"/>
        <w:rPr>
          <w:rFonts w:asciiTheme="majorBidi" w:hAnsiTheme="majorBidi" w:cstheme="majorBidi"/>
          <w:bCs/>
          <w:iCs/>
          <w:sz w:val="24"/>
          <w:szCs w:val="24"/>
          <w:lang w:val="en-GB"/>
        </w:rPr>
      </w:pPr>
    </w:p>
    <w:p w14:paraId="7DB7F7E8" w14:textId="154CE6BE" w:rsidR="00E4256A" w:rsidRPr="00FA2D24" w:rsidRDefault="00E4256A" w:rsidP="00FA2D24">
      <w:pPr>
        <w:pStyle w:val="EndnoteText"/>
        <w:jc w:val="both"/>
        <w:rPr>
          <w:rFonts w:asciiTheme="majorBidi" w:hAnsiTheme="majorBidi" w:cstheme="majorBidi"/>
          <w:bCs/>
          <w:sz w:val="24"/>
          <w:szCs w:val="24"/>
          <w:lang w:val="en-GB"/>
        </w:rPr>
      </w:pPr>
      <w:r w:rsidRPr="00FA2D24">
        <w:rPr>
          <w:rFonts w:asciiTheme="majorBidi" w:hAnsiTheme="majorBidi" w:cstheme="majorBidi"/>
          <w:bCs/>
          <w:sz w:val="24"/>
          <w:szCs w:val="24"/>
          <w:lang w:val="en-GB"/>
        </w:rPr>
        <w:t xml:space="preserve">Thatcher, M.  &amp; Stone Sweet, A. </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2002</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 xml:space="preserve">. ‘Theory and Practice of Delegation to Non-Majoritarian Institutions’, </w:t>
      </w:r>
      <w:r w:rsidRPr="00FA2D24">
        <w:rPr>
          <w:rFonts w:asciiTheme="majorBidi" w:hAnsiTheme="majorBidi" w:cstheme="majorBidi"/>
          <w:bCs/>
          <w:i/>
          <w:iCs/>
          <w:sz w:val="24"/>
          <w:szCs w:val="24"/>
          <w:lang w:val="en-GB"/>
        </w:rPr>
        <w:t>West European Politics</w:t>
      </w:r>
      <w:r>
        <w:rPr>
          <w:rFonts w:asciiTheme="majorBidi" w:hAnsiTheme="majorBidi" w:cstheme="majorBidi"/>
          <w:bCs/>
          <w:sz w:val="24"/>
          <w:szCs w:val="24"/>
          <w:lang w:val="en-GB"/>
        </w:rPr>
        <w:t>, 25:</w:t>
      </w:r>
      <w:r w:rsidRPr="00FA2D24">
        <w:rPr>
          <w:rFonts w:asciiTheme="majorBidi" w:hAnsiTheme="majorBidi" w:cstheme="majorBidi"/>
          <w:bCs/>
          <w:sz w:val="24"/>
          <w:szCs w:val="24"/>
          <w:lang w:val="en-GB"/>
        </w:rPr>
        <w:t>1, 1-22.</w:t>
      </w:r>
    </w:p>
    <w:p w14:paraId="4AA497EA" w14:textId="77777777" w:rsidR="00E4256A" w:rsidRPr="00FA2D24" w:rsidRDefault="00E4256A" w:rsidP="00FA2D24">
      <w:pPr>
        <w:pStyle w:val="EndnoteText"/>
        <w:jc w:val="both"/>
        <w:rPr>
          <w:rFonts w:asciiTheme="majorBidi" w:hAnsiTheme="majorBidi" w:cstheme="majorBidi"/>
          <w:bCs/>
          <w:sz w:val="24"/>
          <w:szCs w:val="24"/>
          <w:lang w:val="en-GB"/>
        </w:rPr>
      </w:pPr>
    </w:p>
    <w:p w14:paraId="15AE7F1D" w14:textId="530542AF" w:rsidR="00E4256A" w:rsidRPr="00052538" w:rsidRDefault="00E4256A" w:rsidP="00685E65">
      <w:pPr>
        <w:pStyle w:val="EndnoteText"/>
        <w:jc w:val="both"/>
        <w:rPr>
          <w:rFonts w:asciiTheme="majorBidi" w:hAnsiTheme="majorBidi" w:cstheme="majorBidi"/>
          <w:bCs/>
          <w:i/>
          <w:iCs/>
          <w:sz w:val="24"/>
          <w:szCs w:val="24"/>
          <w:lang w:val="en-GB"/>
        </w:rPr>
      </w:pPr>
      <w:r w:rsidRPr="00FA2D24">
        <w:rPr>
          <w:rFonts w:asciiTheme="majorBidi" w:hAnsiTheme="majorBidi" w:cstheme="majorBidi"/>
          <w:bCs/>
          <w:sz w:val="24"/>
          <w:szCs w:val="24"/>
          <w:lang w:val="en-GB"/>
        </w:rPr>
        <w:t xml:space="preserve">Van Meerkerk, I., Edelenbos, J., Klijn, E.H. </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2015</w:t>
      </w:r>
      <w:r>
        <w:rPr>
          <w:rFonts w:asciiTheme="majorBidi" w:hAnsiTheme="majorBidi" w:cstheme="majorBidi"/>
          <w:bCs/>
          <w:sz w:val="24"/>
          <w:szCs w:val="24"/>
          <w:lang w:val="en-GB"/>
        </w:rPr>
        <w:t>)</w:t>
      </w:r>
      <w:r w:rsidRPr="00FA2D24">
        <w:rPr>
          <w:rFonts w:asciiTheme="majorBidi" w:hAnsiTheme="majorBidi" w:cstheme="majorBidi"/>
          <w:bCs/>
          <w:sz w:val="24"/>
          <w:szCs w:val="24"/>
          <w:lang w:val="en-GB"/>
        </w:rPr>
        <w:t xml:space="preserve">. ‘Connective Management and Governance Network Performance: the mediating role of Throughput Legitimacy’, </w:t>
      </w:r>
      <w:r w:rsidRPr="00FA2D24">
        <w:rPr>
          <w:rFonts w:asciiTheme="majorBidi" w:hAnsiTheme="majorBidi" w:cstheme="majorBidi"/>
          <w:bCs/>
          <w:i/>
          <w:iCs/>
          <w:sz w:val="24"/>
          <w:szCs w:val="24"/>
          <w:lang w:val="en-GB"/>
        </w:rPr>
        <w:t>Environment and Planning C: Government and Policy</w:t>
      </w:r>
      <w:r>
        <w:rPr>
          <w:rFonts w:asciiTheme="majorBidi" w:hAnsiTheme="majorBidi" w:cstheme="majorBidi"/>
          <w:bCs/>
          <w:sz w:val="24"/>
          <w:szCs w:val="24"/>
          <w:lang w:val="en-GB"/>
        </w:rPr>
        <w:t xml:space="preserve">, 33:4, </w:t>
      </w:r>
      <w:r w:rsidRPr="00FA2D24">
        <w:rPr>
          <w:rFonts w:asciiTheme="majorBidi" w:hAnsiTheme="majorBidi" w:cstheme="majorBidi"/>
          <w:bCs/>
          <w:sz w:val="24"/>
          <w:szCs w:val="24"/>
          <w:lang w:val="en-GB"/>
        </w:rPr>
        <w:t>746-764.</w:t>
      </w:r>
    </w:p>
    <w:p w14:paraId="39DECF8B" w14:textId="77777777" w:rsidR="00685E65" w:rsidRDefault="00685E65" w:rsidP="00FA2D24">
      <w:pPr>
        <w:pStyle w:val="EndnoteText"/>
        <w:jc w:val="both"/>
        <w:rPr>
          <w:rFonts w:asciiTheme="majorBidi" w:hAnsiTheme="majorBidi" w:cstheme="majorBidi"/>
          <w:bCs/>
          <w:sz w:val="24"/>
          <w:szCs w:val="24"/>
          <w:lang w:val="en-GB"/>
        </w:rPr>
      </w:pPr>
    </w:p>
    <w:p w14:paraId="2D37FD74" w14:textId="163C5128" w:rsidR="00685E65" w:rsidRPr="00FA2D24" w:rsidRDefault="00685E65" w:rsidP="00052538">
      <w:pPr>
        <w:pStyle w:val="EndnoteText"/>
        <w:rPr>
          <w:rFonts w:asciiTheme="majorBidi" w:hAnsiTheme="majorBidi" w:cstheme="majorBidi"/>
          <w:bCs/>
          <w:sz w:val="24"/>
          <w:szCs w:val="24"/>
          <w:lang w:val="en-GB"/>
        </w:rPr>
      </w:pPr>
      <w:r>
        <w:rPr>
          <w:rFonts w:asciiTheme="majorBidi" w:hAnsiTheme="majorBidi" w:cstheme="majorBidi"/>
          <w:bCs/>
          <w:sz w:val="24"/>
          <w:szCs w:val="24"/>
          <w:lang w:val="en-GB"/>
        </w:rPr>
        <w:t>Yanow, D. (2014). ‘</w:t>
      </w:r>
      <w:r w:rsidRPr="00685E65">
        <w:rPr>
          <w:rFonts w:asciiTheme="majorBidi" w:hAnsiTheme="majorBidi" w:cstheme="majorBidi"/>
          <w:bCs/>
          <w:sz w:val="24"/>
          <w:szCs w:val="24"/>
          <w:lang w:val="en-GB"/>
        </w:rPr>
        <w:t>Interpretive Analysis and Comparative Research</w:t>
      </w:r>
      <w:r>
        <w:rPr>
          <w:rFonts w:asciiTheme="majorBidi" w:hAnsiTheme="majorBidi" w:cstheme="majorBidi"/>
          <w:bCs/>
          <w:sz w:val="24"/>
          <w:szCs w:val="24"/>
          <w:lang w:val="en-GB"/>
        </w:rPr>
        <w:t>’, I. Engeli and C.</w:t>
      </w:r>
      <w:r w:rsidRPr="00685E65">
        <w:rPr>
          <w:rFonts w:asciiTheme="majorBidi" w:hAnsiTheme="majorBidi" w:cstheme="majorBidi"/>
          <w:bCs/>
          <w:sz w:val="24"/>
          <w:szCs w:val="24"/>
          <w:lang w:val="en-GB"/>
        </w:rPr>
        <w:t xml:space="preserve"> Rothmayr, eds.,</w:t>
      </w:r>
      <w:r>
        <w:rPr>
          <w:rFonts w:asciiTheme="majorBidi" w:hAnsiTheme="majorBidi" w:cstheme="majorBidi"/>
          <w:bCs/>
          <w:sz w:val="24"/>
          <w:szCs w:val="24"/>
          <w:lang w:val="en-GB"/>
        </w:rPr>
        <w:t xml:space="preserve"> </w:t>
      </w:r>
      <w:r w:rsidRPr="00052538">
        <w:rPr>
          <w:rFonts w:asciiTheme="majorBidi" w:hAnsiTheme="majorBidi" w:cstheme="majorBidi"/>
          <w:bCs/>
          <w:i/>
          <w:iCs/>
          <w:sz w:val="24"/>
          <w:szCs w:val="24"/>
          <w:lang w:val="en-GB"/>
        </w:rPr>
        <w:t>Comparative policy studies: Conceptual and methodological challenges</w:t>
      </w:r>
      <w:r w:rsidRPr="00685E65">
        <w:rPr>
          <w:rFonts w:asciiTheme="majorBidi" w:hAnsiTheme="majorBidi" w:cstheme="majorBidi"/>
          <w:bCs/>
          <w:sz w:val="24"/>
          <w:szCs w:val="24"/>
          <w:lang w:val="en-GB"/>
        </w:rPr>
        <w:t>.</w:t>
      </w:r>
      <w:r w:rsidR="00D022A4">
        <w:rPr>
          <w:rFonts w:asciiTheme="majorBidi" w:hAnsiTheme="majorBidi" w:cstheme="majorBidi"/>
          <w:bCs/>
          <w:sz w:val="24"/>
          <w:szCs w:val="24"/>
          <w:lang w:val="en-GB"/>
        </w:rPr>
        <w:t xml:space="preserve"> Basingstoke:</w:t>
      </w:r>
      <w:r w:rsidRPr="00685E65">
        <w:rPr>
          <w:rFonts w:asciiTheme="majorBidi" w:hAnsiTheme="majorBidi" w:cstheme="majorBidi"/>
          <w:bCs/>
          <w:sz w:val="24"/>
          <w:szCs w:val="24"/>
          <w:lang w:val="en-GB"/>
        </w:rPr>
        <w:t xml:space="preserve"> Palgrave Macmillan, 131-59</w:t>
      </w:r>
      <w:r>
        <w:rPr>
          <w:rFonts w:asciiTheme="majorBidi" w:hAnsiTheme="majorBidi" w:cstheme="majorBidi"/>
          <w:bCs/>
          <w:sz w:val="24"/>
          <w:szCs w:val="24"/>
          <w:lang w:val="en-GB"/>
        </w:rPr>
        <w:t>.</w:t>
      </w:r>
    </w:p>
    <w:p w14:paraId="40D98766" w14:textId="77777777" w:rsidR="00E4256A" w:rsidRPr="00FA2D24" w:rsidRDefault="00E4256A" w:rsidP="00FA2D24">
      <w:pPr>
        <w:pStyle w:val="EndnoteText"/>
        <w:jc w:val="both"/>
        <w:rPr>
          <w:rFonts w:asciiTheme="majorBidi" w:hAnsiTheme="majorBidi" w:cstheme="majorBidi"/>
          <w:sz w:val="24"/>
          <w:szCs w:val="24"/>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760914"/>
      <w:docPartObj>
        <w:docPartGallery w:val="Page Numbers (Bottom of Page)"/>
        <w:docPartUnique/>
      </w:docPartObj>
    </w:sdtPr>
    <w:sdtEndPr>
      <w:rPr>
        <w:noProof/>
      </w:rPr>
    </w:sdtEndPr>
    <w:sdtContent>
      <w:p w14:paraId="59B0DFB3" w14:textId="4241F40A" w:rsidR="00E4256A" w:rsidRDefault="00E4256A">
        <w:pPr>
          <w:pStyle w:val="Footer"/>
          <w:jc w:val="right"/>
        </w:pPr>
        <w:r>
          <w:fldChar w:fldCharType="begin"/>
        </w:r>
        <w:r>
          <w:instrText xml:space="preserve"> PAGE   \* MERGEFORMAT </w:instrText>
        </w:r>
        <w:r>
          <w:fldChar w:fldCharType="separate"/>
        </w:r>
        <w:r w:rsidR="00935F53">
          <w:rPr>
            <w:noProof/>
          </w:rPr>
          <w:t>1</w:t>
        </w:r>
        <w:r>
          <w:rPr>
            <w:noProof/>
          </w:rPr>
          <w:fldChar w:fldCharType="end"/>
        </w:r>
      </w:p>
    </w:sdtContent>
  </w:sdt>
  <w:p w14:paraId="57C304D1" w14:textId="77777777" w:rsidR="00E4256A" w:rsidRDefault="00E425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E8412" w14:textId="77777777" w:rsidR="00E4256A" w:rsidRDefault="00E4256A" w:rsidP="00BA4DEF">
      <w:r>
        <w:separator/>
      </w:r>
    </w:p>
  </w:footnote>
  <w:footnote w:type="continuationSeparator" w:id="0">
    <w:p w14:paraId="0C4D7C98" w14:textId="77777777" w:rsidR="00E4256A" w:rsidRDefault="00E4256A" w:rsidP="00BA4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B7060"/>
    <w:multiLevelType w:val="hybridMultilevel"/>
    <w:tmpl w:val="F65A8B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9D2629B"/>
    <w:multiLevelType w:val="multilevel"/>
    <w:tmpl w:val="249A6D42"/>
    <w:lvl w:ilvl="0">
      <w:start w:val="1"/>
      <w:numFmt w:val="decimal"/>
      <w:lvlText w:val="%1."/>
      <w:lvlJc w:val="left"/>
      <w:pPr>
        <w:ind w:left="408" w:hanging="408"/>
      </w:pPr>
      <w:rPr>
        <w:rFonts w:hint="default"/>
      </w:rPr>
    </w:lvl>
    <w:lvl w:ilvl="1">
      <w:start w:val="1"/>
      <w:numFmt w:val="decimal"/>
      <w:lvlText w:val="%1.%2."/>
      <w:lvlJc w:val="left"/>
      <w:pPr>
        <w:ind w:left="383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ABD2C05"/>
    <w:multiLevelType w:val="hybridMultilevel"/>
    <w:tmpl w:val="D79A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E73AE2"/>
    <w:multiLevelType w:val="multilevel"/>
    <w:tmpl w:val="67628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EB77513"/>
    <w:multiLevelType w:val="hybridMultilevel"/>
    <w:tmpl w:val="C74E94DA"/>
    <w:lvl w:ilvl="0" w:tplc="D9C02864">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CB1"/>
    <w:rsid w:val="000113E9"/>
    <w:rsid w:val="0001324C"/>
    <w:rsid w:val="00016969"/>
    <w:rsid w:val="00022AA2"/>
    <w:rsid w:val="00035B62"/>
    <w:rsid w:val="0003678E"/>
    <w:rsid w:val="00042C0C"/>
    <w:rsid w:val="00043C4A"/>
    <w:rsid w:val="00050061"/>
    <w:rsid w:val="000508FB"/>
    <w:rsid w:val="00050C45"/>
    <w:rsid w:val="00052538"/>
    <w:rsid w:val="00054F7E"/>
    <w:rsid w:val="00056F93"/>
    <w:rsid w:val="00062FFD"/>
    <w:rsid w:val="000766EA"/>
    <w:rsid w:val="0007778A"/>
    <w:rsid w:val="00082346"/>
    <w:rsid w:val="00084C1A"/>
    <w:rsid w:val="00085C26"/>
    <w:rsid w:val="0009209A"/>
    <w:rsid w:val="000954BF"/>
    <w:rsid w:val="00096E67"/>
    <w:rsid w:val="000A065F"/>
    <w:rsid w:val="000A0F09"/>
    <w:rsid w:val="000B099B"/>
    <w:rsid w:val="000B1409"/>
    <w:rsid w:val="000B380F"/>
    <w:rsid w:val="000B45E7"/>
    <w:rsid w:val="000B575F"/>
    <w:rsid w:val="000B7617"/>
    <w:rsid w:val="000C2379"/>
    <w:rsid w:val="000C5170"/>
    <w:rsid w:val="000C5439"/>
    <w:rsid w:val="000C556A"/>
    <w:rsid w:val="000C6BD1"/>
    <w:rsid w:val="000C72E7"/>
    <w:rsid w:val="000D08AE"/>
    <w:rsid w:val="000E0034"/>
    <w:rsid w:val="000E0F83"/>
    <w:rsid w:val="000E19F0"/>
    <w:rsid w:val="000E2467"/>
    <w:rsid w:val="000E7292"/>
    <w:rsid w:val="000F1C2B"/>
    <w:rsid w:val="000F6FB4"/>
    <w:rsid w:val="00100B8E"/>
    <w:rsid w:val="00101164"/>
    <w:rsid w:val="00106433"/>
    <w:rsid w:val="00106556"/>
    <w:rsid w:val="001101F8"/>
    <w:rsid w:val="001145F1"/>
    <w:rsid w:val="00116E30"/>
    <w:rsid w:val="0012072F"/>
    <w:rsid w:val="001225FE"/>
    <w:rsid w:val="0012343A"/>
    <w:rsid w:val="00123D11"/>
    <w:rsid w:val="00125B6F"/>
    <w:rsid w:val="0012686F"/>
    <w:rsid w:val="00131141"/>
    <w:rsid w:val="0013130C"/>
    <w:rsid w:val="00132524"/>
    <w:rsid w:val="00133896"/>
    <w:rsid w:val="001435CD"/>
    <w:rsid w:val="00151F9B"/>
    <w:rsid w:val="00160966"/>
    <w:rsid w:val="00172513"/>
    <w:rsid w:val="001732CC"/>
    <w:rsid w:val="001762BD"/>
    <w:rsid w:val="00177777"/>
    <w:rsid w:val="00181C1B"/>
    <w:rsid w:val="00193E03"/>
    <w:rsid w:val="001A0E44"/>
    <w:rsid w:val="001A3125"/>
    <w:rsid w:val="001A51E4"/>
    <w:rsid w:val="001B25E0"/>
    <w:rsid w:val="001B4288"/>
    <w:rsid w:val="001B6C62"/>
    <w:rsid w:val="001C6279"/>
    <w:rsid w:val="001C7C17"/>
    <w:rsid w:val="001D2C8A"/>
    <w:rsid w:val="001D6AA0"/>
    <w:rsid w:val="001D6D0A"/>
    <w:rsid w:val="001E1F4B"/>
    <w:rsid w:val="001E24A0"/>
    <w:rsid w:val="001E3FFD"/>
    <w:rsid w:val="001F1795"/>
    <w:rsid w:val="001F1891"/>
    <w:rsid w:val="001F25C6"/>
    <w:rsid w:val="001F290C"/>
    <w:rsid w:val="001F3335"/>
    <w:rsid w:val="001F4C3D"/>
    <w:rsid w:val="00200B65"/>
    <w:rsid w:val="002016BE"/>
    <w:rsid w:val="00202138"/>
    <w:rsid w:val="00206151"/>
    <w:rsid w:val="00207C2F"/>
    <w:rsid w:val="0021425C"/>
    <w:rsid w:val="00214E05"/>
    <w:rsid w:val="002178A7"/>
    <w:rsid w:val="00221140"/>
    <w:rsid w:val="00235165"/>
    <w:rsid w:val="0023692D"/>
    <w:rsid w:val="0024668B"/>
    <w:rsid w:val="0025127E"/>
    <w:rsid w:val="0025482D"/>
    <w:rsid w:val="00255342"/>
    <w:rsid w:val="00261320"/>
    <w:rsid w:val="0026479A"/>
    <w:rsid w:val="002663D5"/>
    <w:rsid w:val="002666F9"/>
    <w:rsid w:val="002714BF"/>
    <w:rsid w:val="00271550"/>
    <w:rsid w:val="00271FF1"/>
    <w:rsid w:val="00273353"/>
    <w:rsid w:val="00276737"/>
    <w:rsid w:val="00276FBE"/>
    <w:rsid w:val="002802A6"/>
    <w:rsid w:val="002840CB"/>
    <w:rsid w:val="002879EB"/>
    <w:rsid w:val="00290B9A"/>
    <w:rsid w:val="002948A5"/>
    <w:rsid w:val="002A033D"/>
    <w:rsid w:val="002A06BF"/>
    <w:rsid w:val="002A63B2"/>
    <w:rsid w:val="002A724D"/>
    <w:rsid w:val="002A7F78"/>
    <w:rsid w:val="002B2B0D"/>
    <w:rsid w:val="002B69A5"/>
    <w:rsid w:val="002C3492"/>
    <w:rsid w:val="002C6445"/>
    <w:rsid w:val="002C7E43"/>
    <w:rsid w:val="002D11D3"/>
    <w:rsid w:val="002D267C"/>
    <w:rsid w:val="002D6975"/>
    <w:rsid w:val="002F1851"/>
    <w:rsid w:val="002F6C83"/>
    <w:rsid w:val="0030148B"/>
    <w:rsid w:val="00301724"/>
    <w:rsid w:val="003024D6"/>
    <w:rsid w:val="00304151"/>
    <w:rsid w:val="00311240"/>
    <w:rsid w:val="0031565D"/>
    <w:rsid w:val="0032082E"/>
    <w:rsid w:val="0032364C"/>
    <w:rsid w:val="00324AF8"/>
    <w:rsid w:val="0032530D"/>
    <w:rsid w:val="00325DD1"/>
    <w:rsid w:val="00325ED6"/>
    <w:rsid w:val="003261C0"/>
    <w:rsid w:val="003268BF"/>
    <w:rsid w:val="00334DA4"/>
    <w:rsid w:val="00335227"/>
    <w:rsid w:val="00336F7A"/>
    <w:rsid w:val="0034088C"/>
    <w:rsid w:val="0034452D"/>
    <w:rsid w:val="00353C40"/>
    <w:rsid w:val="00354467"/>
    <w:rsid w:val="00354E88"/>
    <w:rsid w:val="00355B56"/>
    <w:rsid w:val="00357940"/>
    <w:rsid w:val="00360945"/>
    <w:rsid w:val="00362EB6"/>
    <w:rsid w:val="003665C2"/>
    <w:rsid w:val="00366F9A"/>
    <w:rsid w:val="00370A0A"/>
    <w:rsid w:val="003736C8"/>
    <w:rsid w:val="0037543A"/>
    <w:rsid w:val="00375877"/>
    <w:rsid w:val="0037778D"/>
    <w:rsid w:val="00377959"/>
    <w:rsid w:val="00393C40"/>
    <w:rsid w:val="003979AB"/>
    <w:rsid w:val="003A2874"/>
    <w:rsid w:val="003A43D0"/>
    <w:rsid w:val="003A4F53"/>
    <w:rsid w:val="003B3329"/>
    <w:rsid w:val="003B7771"/>
    <w:rsid w:val="003B777C"/>
    <w:rsid w:val="003C0786"/>
    <w:rsid w:val="003C0EAE"/>
    <w:rsid w:val="003C162C"/>
    <w:rsid w:val="003C46AC"/>
    <w:rsid w:val="003C6069"/>
    <w:rsid w:val="003D5A29"/>
    <w:rsid w:val="003D6C8C"/>
    <w:rsid w:val="003E06F0"/>
    <w:rsid w:val="003E6B13"/>
    <w:rsid w:val="003F080D"/>
    <w:rsid w:val="003F0D87"/>
    <w:rsid w:val="00402BDD"/>
    <w:rsid w:val="004057DB"/>
    <w:rsid w:val="004058C0"/>
    <w:rsid w:val="00417461"/>
    <w:rsid w:val="00433EAE"/>
    <w:rsid w:val="004424E4"/>
    <w:rsid w:val="00443BB9"/>
    <w:rsid w:val="00446C6B"/>
    <w:rsid w:val="00454328"/>
    <w:rsid w:val="00463260"/>
    <w:rsid w:val="0047248E"/>
    <w:rsid w:val="00472F54"/>
    <w:rsid w:val="004819A0"/>
    <w:rsid w:val="00483320"/>
    <w:rsid w:val="004910FE"/>
    <w:rsid w:val="00496246"/>
    <w:rsid w:val="00496B86"/>
    <w:rsid w:val="00496ED9"/>
    <w:rsid w:val="004A40EA"/>
    <w:rsid w:val="004A51A8"/>
    <w:rsid w:val="004B2E8D"/>
    <w:rsid w:val="004B4790"/>
    <w:rsid w:val="004C1E23"/>
    <w:rsid w:val="004C47FF"/>
    <w:rsid w:val="004C5C7A"/>
    <w:rsid w:val="004C68DD"/>
    <w:rsid w:val="004D6C8C"/>
    <w:rsid w:val="004D7235"/>
    <w:rsid w:val="004E0835"/>
    <w:rsid w:val="004F06BB"/>
    <w:rsid w:val="004F157E"/>
    <w:rsid w:val="004F4B00"/>
    <w:rsid w:val="004F5982"/>
    <w:rsid w:val="004F6043"/>
    <w:rsid w:val="00506E21"/>
    <w:rsid w:val="00510B6F"/>
    <w:rsid w:val="00513D83"/>
    <w:rsid w:val="00514458"/>
    <w:rsid w:val="00514684"/>
    <w:rsid w:val="00515A83"/>
    <w:rsid w:val="005170AC"/>
    <w:rsid w:val="005230C0"/>
    <w:rsid w:val="0052465E"/>
    <w:rsid w:val="00527BCE"/>
    <w:rsid w:val="00536698"/>
    <w:rsid w:val="00536E24"/>
    <w:rsid w:val="005445B4"/>
    <w:rsid w:val="005460F6"/>
    <w:rsid w:val="00555CEA"/>
    <w:rsid w:val="0055647A"/>
    <w:rsid w:val="005573CE"/>
    <w:rsid w:val="00557EA8"/>
    <w:rsid w:val="00560358"/>
    <w:rsid w:val="0056064D"/>
    <w:rsid w:val="00560ACE"/>
    <w:rsid w:val="005644EB"/>
    <w:rsid w:val="005807C6"/>
    <w:rsid w:val="00581D5E"/>
    <w:rsid w:val="00587A6D"/>
    <w:rsid w:val="00594C22"/>
    <w:rsid w:val="005A056E"/>
    <w:rsid w:val="005A0661"/>
    <w:rsid w:val="005A2B0B"/>
    <w:rsid w:val="005B0867"/>
    <w:rsid w:val="005B3080"/>
    <w:rsid w:val="005B3260"/>
    <w:rsid w:val="005B3B58"/>
    <w:rsid w:val="005B460C"/>
    <w:rsid w:val="005B4FAF"/>
    <w:rsid w:val="005B6474"/>
    <w:rsid w:val="005C095E"/>
    <w:rsid w:val="005C4925"/>
    <w:rsid w:val="005D166F"/>
    <w:rsid w:val="005E0C2A"/>
    <w:rsid w:val="005E1E28"/>
    <w:rsid w:val="005E249F"/>
    <w:rsid w:val="005E59FB"/>
    <w:rsid w:val="005E622E"/>
    <w:rsid w:val="005E6DFA"/>
    <w:rsid w:val="005F0171"/>
    <w:rsid w:val="005F4A0E"/>
    <w:rsid w:val="005F73F0"/>
    <w:rsid w:val="005F74C3"/>
    <w:rsid w:val="006005B9"/>
    <w:rsid w:val="00600E27"/>
    <w:rsid w:val="00602410"/>
    <w:rsid w:val="006046EB"/>
    <w:rsid w:val="00606099"/>
    <w:rsid w:val="0061367B"/>
    <w:rsid w:val="006162B7"/>
    <w:rsid w:val="00617DB5"/>
    <w:rsid w:val="00620C51"/>
    <w:rsid w:val="00624550"/>
    <w:rsid w:val="00631744"/>
    <w:rsid w:val="006376AA"/>
    <w:rsid w:val="006421AC"/>
    <w:rsid w:val="006443CF"/>
    <w:rsid w:val="00644503"/>
    <w:rsid w:val="006476B9"/>
    <w:rsid w:val="0065589B"/>
    <w:rsid w:val="00655C32"/>
    <w:rsid w:val="00663395"/>
    <w:rsid w:val="00663DDF"/>
    <w:rsid w:val="006676A1"/>
    <w:rsid w:val="00682A05"/>
    <w:rsid w:val="006850BF"/>
    <w:rsid w:val="00685E65"/>
    <w:rsid w:val="006A0BD6"/>
    <w:rsid w:val="006B08DE"/>
    <w:rsid w:val="006B1D2E"/>
    <w:rsid w:val="006C0B6B"/>
    <w:rsid w:val="006C547A"/>
    <w:rsid w:val="006C77B3"/>
    <w:rsid w:val="006D28A4"/>
    <w:rsid w:val="006D7B67"/>
    <w:rsid w:val="006E18EA"/>
    <w:rsid w:val="006E1DEF"/>
    <w:rsid w:val="006E29E1"/>
    <w:rsid w:val="006E2A1E"/>
    <w:rsid w:val="006E3D5E"/>
    <w:rsid w:val="006F0852"/>
    <w:rsid w:val="006F1112"/>
    <w:rsid w:val="006F2FDF"/>
    <w:rsid w:val="006F3265"/>
    <w:rsid w:val="006F3A8D"/>
    <w:rsid w:val="006F6A22"/>
    <w:rsid w:val="00704302"/>
    <w:rsid w:val="00704AFC"/>
    <w:rsid w:val="00705AB2"/>
    <w:rsid w:val="007068AF"/>
    <w:rsid w:val="007120F4"/>
    <w:rsid w:val="007154F6"/>
    <w:rsid w:val="0071591C"/>
    <w:rsid w:val="00717992"/>
    <w:rsid w:val="0072043B"/>
    <w:rsid w:val="00730C65"/>
    <w:rsid w:val="00757760"/>
    <w:rsid w:val="00757D2C"/>
    <w:rsid w:val="00757FBA"/>
    <w:rsid w:val="007637F9"/>
    <w:rsid w:val="00763DD2"/>
    <w:rsid w:val="00767A87"/>
    <w:rsid w:val="00767BA7"/>
    <w:rsid w:val="007706D6"/>
    <w:rsid w:val="007733C6"/>
    <w:rsid w:val="007733DA"/>
    <w:rsid w:val="00773B2D"/>
    <w:rsid w:val="00775C6B"/>
    <w:rsid w:val="00780B13"/>
    <w:rsid w:val="00780B8C"/>
    <w:rsid w:val="00786774"/>
    <w:rsid w:val="007915AF"/>
    <w:rsid w:val="007A0DBA"/>
    <w:rsid w:val="007A3377"/>
    <w:rsid w:val="007A410A"/>
    <w:rsid w:val="007A4634"/>
    <w:rsid w:val="007B092A"/>
    <w:rsid w:val="007B11B5"/>
    <w:rsid w:val="007B3561"/>
    <w:rsid w:val="007C2A5F"/>
    <w:rsid w:val="007C3B07"/>
    <w:rsid w:val="007C6EB2"/>
    <w:rsid w:val="007D48A4"/>
    <w:rsid w:val="007D735E"/>
    <w:rsid w:val="007E25F5"/>
    <w:rsid w:val="007E5874"/>
    <w:rsid w:val="007F02A6"/>
    <w:rsid w:val="007F6E8F"/>
    <w:rsid w:val="00802722"/>
    <w:rsid w:val="00802C66"/>
    <w:rsid w:val="00804C57"/>
    <w:rsid w:val="00805FA7"/>
    <w:rsid w:val="00810053"/>
    <w:rsid w:val="00812A51"/>
    <w:rsid w:val="00812A9D"/>
    <w:rsid w:val="00813FD4"/>
    <w:rsid w:val="00815CBE"/>
    <w:rsid w:val="008164F4"/>
    <w:rsid w:val="00822087"/>
    <w:rsid w:val="008311DF"/>
    <w:rsid w:val="008411D7"/>
    <w:rsid w:val="008431A1"/>
    <w:rsid w:val="00845895"/>
    <w:rsid w:val="00845C49"/>
    <w:rsid w:val="00850256"/>
    <w:rsid w:val="00852097"/>
    <w:rsid w:val="00852437"/>
    <w:rsid w:val="00855414"/>
    <w:rsid w:val="00856A3D"/>
    <w:rsid w:val="00863E84"/>
    <w:rsid w:val="008651E0"/>
    <w:rsid w:val="0086698F"/>
    <w:rsid w:val="00873B35"/>
    <w:rsid w:val="00874089"/>
    <w:rsid w:val="008777DC"/>
    <w:rsid w:val="008804DC"/>
    <w:rsid w:val="008858DC"/>
    <w:rsid w:val="00891517"/>
    <w:rsid w:val="008A0109"/>
    <w:rsid w:val="008A6086"/>
    <w:rsid w:val="008A7516"/>
    <w:rsid w:val="008B23E2"/>
    <w:rsid w:val="008B7706"/>
    <w:rsid w:val="008C075D"/>
    <w:rsid w:val="008C08FF"/>
    <w:rsid w:val="008C2B51"/>
    <w:rsid w:val="008C2CDF"/>
    <w:rsid w:val="008D3BF9"/>
    <w:rsid w:val="008D4E71"/>
    <w:rsid w:val="008D6B54"/>
    <w:rsid w:val="008E778A"/>
    <w:rsid w:val="008F478F"/>
    <w:rsid w:val="008F5C63"/>
    <w:rsid w:val="008F63FA"/>
    <w:rsid w:val="009042CB"/>
    <w:rsid w:val="0090492B"/>
    <w:rsid w:val="00904DBE"/>
    <w:rsid w:val="009101AB"/>
    <w:rsid w:val="00911779"/>
    <w:rsid w:val="00912974"/>
    <w:rsid w:val="009133F2"/>
    <w:rsid w:val="00913782"/>
    <w:rsid w:val="00917526"/>
    <w:rsid w:val="009235B4"/>
    <w:rsid w:val="00930436"/>
    <w:rsid w:val="00931874"/>
    <w:rsid w:val="00935F53"/>
    <w:rsid w:val="00941136"/>
    <w:rsid w:val="009435BC"/>
    <w:rsid w:val="00943DFA"/>
    <w:rsid w:val="00952FC4"/>
    <w:rsid w:val="009536E4"/>
    <w:rsid w:val="00953B51"/>
    <w:rsid w:val="0095756E"/>
    <w:rsid w:val="009601C2"/>
    <w:rsid w:val="00966AB3"/>
    <w:rsid w:val="00970722"/>
    <w:rsid w:val="00970E13"/>
    <w:rsid w:val="009719FF"/>
    <w:rsid w:val="0098000F"/>
    <w:rsid w:val="00982809"/>
    <w:rsid w:val="00986CC4"/>
    <w:rsid w:val="00987EA8"/>
    <w:rsid w:val="009A1397"/>
    <w:rsid w:val="009A5676"/>
    <w:rsid w:val="009A7174"/>
    <w:rsid w:val="009B2CDA"/>
    <w:rsid w:val="009B2F6E"/>
    <w:rsid w:val="009B3EDB"/>
    <w:rsid w:val="009B4619"/>
    <w:rsid w:val="009B4E1F"/>
    <w:rsid w:val="009B5932"/>
    <w:rsid w:val="009D4B2B"/>
    <w:rsid w:val="009D615E"/>
    <w:rsid w:val="009D7841"/>
    <w:rsid w:val="009E0684"/>
    <w:rsid w:val="009E1C30"/>
    <w:rsid w:val="009F1D9E"/>
    <w:rsid w:val="009F3701"/>
    <w:rsid w:val="009F46A1"/>
    <w:rsid w:val="009F6CFD"/>
    <w:rsid w:val="00A0376C"/>
    <w:rsid w:val="00A0459E"/>
    <w:rsid w:val="00A05969"/>
    <w:rsid w:val="00A10F8F"/>
    <w:rsid w:val="00A16DDA"/>
    <w:rsid w:val="00A20D46"/>
    <w:rsid w:val="00A21CCA"/>
    <w:rsid w:val="00A22E7A"/>
    <w:rsid w:val="00A27BDB"/>
    <w:rsid w:val="00A358F1"/>
    <w:rsid w:val="00A45070"/>
    <w:rsid w:val="00A46B6B"/>
    <w:rsid w:val="00A51DC2"/>
    <w:rsid w:val="00A52518"/>
    <w:rsid w:val="00A5501A"/>
    <w:rsid w:val="00A56D2D"/>
    <w:rsid w:val="00A613AF"/>
    <w:rsid w:val="00A61D8E"/>
    <w:rsid w:val="00A6211F"/>
    <w:rsid w:val="00A62D4E"/>
    <w:rsid w:val="00A651F8"/>
    <w:rsid w:val="00A652E2"/>
    <w:rsid w:val="00A6724A"/>
    <w:rsid w:val="00A67EBF"/>
    <w:rsid w:val="00A75509"/>
    <w:rsid w:val="00A85113"/>
    <w:rsid w:val="00A876D3"/>
    <w:rsid w:val="00A95B78"/>
    <w:rsid w:val="00A96119"/>
    <w:rsid w:val="00A978CD"/>
    <w:rsid w:val="00AA348E"/>
    <w:rsid w:val="00AA46D5"/>
    <w:rsid w:val="00AB2398"/>
    <w:rsid w:val="00AC1405"/>
    <w:rsid w:val="00AC724E"/>
    <w:rsid w:val="00AC7C85"/>
    <w:rsid w:val="00AD4BDB"/>
    <w:rsid w:val="00AE0CC6"/>
    <w:rsid w:val="00AF53C6"/>
    <w:rsid w:val="00AF5820"/>
    <w:rsid w:val="00AF5BCD"/>
    <w:rsid w:val="00B05146"/>
    <w:rsid w:val="00B10073"/>
    <w:rsid w:val="00B1487F"/>
    <w:rsid w:val="00B16BB7"/>
    <w:rsid w:val="00B220F8"/>
    <w:rsid w:val="00B25FF7"/>
    <w:rsid w:val="00B3682E"/>
    <w:rsid w:val="00B37F47"/>
    <w:rsid w:val="00B403B3"/>
    <w:rsid w:val="00B4073C"/>
    <w:rsid w:val="00B40E16"/>
    <w:rsid w:val="00B4140A"/>
    <w:rsid w:val="00B46943"/>
    <w:rsid w:val="00B46CB1"/>
    <w:rsid w:val="00B470A2"/>
    <w:rsid w:val="00B508D7"/>
    <w:rsid w:val="00B519E1"/>
    <w:rsid w:val="00B55D23"/>
    <w:rsid w:val="00B60E51"/>
    <w:rsid w:val="00B62B84"/>
    <w:rsid w:val="00B65A6C"/>
    <w:rsid w:val="00B7301C"/>
    <w:rsid w:val="00B75696"/>
    <w:rsid w:val="00B76B2C"/>
    <w:rsid w:val="00B80775"/>
    <w:rsid w:val="00B80B58"/>
    <w:rsid w:val="00B80E97"/>
    <w:rsid w:val="00B822BE"/>
    <w:rsid w:val="00B87679"/>
    <w:rsid w:val="00B90E9B"/>
    <w:rsid w:val="00B96ABF"/>
    <w:rsid w:val="00BA31F8"/>
    <w:rsid w:val="00BA31F9"/>
    <w:rsid w:val="00BA4DEF"/>
    <w:rsid w:val="00BA7BCA"/>
    <w:rsid w:val="00BB57B0"/>
    <w:rsid w:val="00BB7B62"/>
    <w:rsid w:val="00BC1F4E"/>
    <w:rsid w:val="00BC39F3"/>
    <w:rsid w:val="00BC5900"/>
    <w:rsid w:val="00BD0356"/>
    <w:rsid w:val="00BD2D42"/>
    <w:rsid w:val="00BD359A"/>
    <w:rsid w:val="00BD6646"/>
    <w:rsid w:val="00BE0911"/>
    <w:rsid w:val="00BE3D64"/>
    <w:rsid w:val="00BF62AF"/>
    <w:rsid w:val="00C04331"/>
    <w:rsid w:val="00C04502"/>
    <w:rsid w:val="00C1001D"/>
    <w:rsid w:val="00C135B2"/>
    <w:rsid w:val="00C25F79"/>
    <w:rsid w:val="00C27493"/>
    <w:rsid w:val="00C440B2"/>
    <w:rsid w:val="00C523DC"/>
    <w:rsid w:val="00C53A35"/>
    <w:rsid w:val="00C53EF8"/>
    <w:rsid w:val="00C555C1"/>
    <w:rsid w:val="00C55911"/>
    <w:rsid w:val="00C564A4"/>
    <w:rsid w:val="00C602DB"/>
    <w:rsid w:val="00C61308"/>
    <w:rsid w:val="00C723B6"/>
    <w:rsid w:val="00C72D2A"/>
    <w:rsid w:val="00C763F9"/>
    <w:rsid w:val="00C84FA4"/>
    <w:rsid w:val="00C85375"/>
    <w:rsid w:val="00C873CF"/>
    <w:rsid w:val="00C91776"/>
    <w:rsid w:val="00C92699"/>
    <w:rsid w:val="00C9366E"/>
    <w:rsid w:val="00C9385E"/>
    <w:rsid w:val="00C93DF1"/>
    <w:rsid w:val="00C9417C"/>
    <w:rsid w:val="00CA24E3"/>
    <w:rsid w:val="00CA7C61"/>
    <w:rsid w:val="00CB27A4"/>
    <w:rsid w:val="00CB51DE"/>
    <w:rsid w:val="00CB74ED"/>
    <w:rsid w:val="00CB7511"/>
    <w:rsid w:val="00CC62BB"/>
    <w:rsid w:val="00CC705E"/>
    <w:rsid w:val="00CD3064"/>
    <w:rsid w:val="00CD6C67"/>
    <w:rsid w:val="00CE034B"/>
    <w:rsid w:val="00CE1AAF"/>
    <w:rsid w:val="00CE1CEC"/>
    <w:rsid w:val="00CE45D0"/>
    <w:rsid w:val="00CF3DC6"/>
    <w:rsid w:val="00CF6348"/>
    <w:rsid w:val="00CF6E88"/>
    <w:rsid w:val="00D022A4"/>
    <w:rsid w:val="00D033AD"/>
    <w:rsid w:val="00D03D3B"/>
    <w:rsid w:val="00D04FF8"/>
    <w:rsid w:val="00D060FD"/>
    <w:rsid w:val="00D0616E"/>
    <w:rsid w:val="00D06C98"/>
    <w:rsid w:val="00D12F24"/>
    <w:rsid w:val="00D1476F"/>
    <w:rsid w:val="00D153F8"/>
    <w:rsid w:val="00D1656E"/>
    <w:rsid w:val="00D167AF"/>
    <w:rsid w:val="00D21F63"/>
    <w:rsid w:val="00D2253E"/>
    <w:rsid w:val="00D25379"/>
    <w:rsid w:val="00D30441"/>
    <w:rsid w:val="00D34276"/>
    <w:rsid w:val="00D42E4E"/>
    <w:rsid w:val="00D4584B"/>
    <w:rsid w:val="00D45B85"/>
    <w:rsid w:val="00D4673A"/>
    <w:rsid w:val="00D47DDE"/>
    <w:rsid w:val="00D504CB"/>
    <w:rsid w:val="00D52686"/>
    <w:rsid w:val="00D54B93"/>
    <w:rsid w:val="00D572F7"/>
    <w:rsid w:val="00D602CD"/>
    <w:rsid w:val="00D617F9"/>
    <w:rsid w:val="00D62883"/>
    <w:rsid w:val="00D72CAC"/>
    <w:rsid w:val="00D74D2D"/>
    <w:rsid w:val="00D76D9F"/>
    <w:rsid w:val="00D77EBA"/>
    <w:rsid w:val="00D80481"/>
    <w:rsid w:val="00D8395B"/>
    <w:rsid w:val="00D8495F"/>
    <w:rsid w:val="00D90C26"/>
    <w:rsid w:val="00D90C6C"/>
    <w:rsid w:val="00D9447D"/>
    <w:rsid w:val="00D9496F"/>
    <w:rsid w:val="00D963BE"/>
    <w:rsid w:val="00DA0974"/>
    <w:rsid w:val="00DA1747"/>
    <w:rsid w:val="00DA5208"/>
    <w:rsid w:val="00DB458B"/>
    <w:rsid w:val="00DB63A8"/>
    <w:rsid w:val="00DC0DBD"/>
    <w:rsid w:val="00DC3C62"/>
    <w:rsid w:val="00DC7205"/>
    <w:rsid w:val="00DD3B1D"/>
    <w:rsid w:val="00DD3DB0"/>
    <w:rsid w:val="00DD4591"/>
    <w:rsid w:val="00DE0757"/>
    <w:rsid w:val="00DF6A1E"/>
    <w:rsid w:val="00DF6F54"/>
    <w:rsid w:val="00DF7BF9"/>
    <w:rsid w:val="00E014CA"/>
    <w:rsid w:val="00E025F4"/>
    <w:rsid w:val="00E0379F"/>
    <w:rsid w:val="00E10586"/>
    <w:rsid w:val="00E1063E"/>
    <w:rsid w:val="00E13E52"/>
    <w:rsid w:val="00E16D95"/>
    <w:rsid w:val="00E177C3"/>
    <w:rsid w:val="00E2221F"/>
    <w:rsid w:val="00E24553"/>
    <w:rsid w:val="00E258E2"/>
    <w:rsid w:val="00E26632"/>
    <w:rsid w:val="00E2686B"/>
    <w:rsid w:val="00E325F7"/>
    <w:rsid w:val="00E3395B"/>
    <w:rsid w:val="00E35610"/>
    <w:rsid w:val="00E3652C"/>
    <w:rsid w:val="00E402E6"/>
    <w:rsid w:val="00E4256A"/>
    <w:rsid w:val="00E437FD"/>
    <w:rsid w:val="00E552F4"/>
    <w:rsid w:val="00E575E9"/>
    <w:rsid w:val="00E6721A"/>
    <w:rsid w:val="00E6744A"/>
    <w:rsid w:val="00E76963"/>
    <w:rsid w:val="00E80A4B"/>
    <w:rsid w:val="00E862AE"/>
    <w:rsid w:val="00E87D22"/>
    <w:rsid w:val="00E90136"/>
    <w:rsid w:val="00E91867"/>
    <w:rsid w:val="00E93739"/>
    <w:rsid w:val="00E94A1A"/>
    <w:rsid w:val="00E97D2A"/>
    <w:rsid w:val="00EA4D4F"/>
    <w:rsid w:val="00EA74EF"/>
    <w:rsid w:val="00EB1271"/>
    <w:rsid w:val="00EB26D8"/>
    <w:rsid w:val="00EB2812"/>
    <w:rsid w:val="00EB35EF"/>
    <w:rsid w:val="00EB4714"/>
    <w:rsid w:val="00EB6F7F"/>
    <w:rsid w:val="00EB75E6"/>
    <w:rsid w:val="00EC2B74"/>
    <w:rsid w:val="00EC63C2"/>
    <w:rsid w:val="00EC7416"/>
    <w:rsid w:val="00ED5EC2"/>
    <w:rsid w:val="00ED69F5"/>
    <w:rsid w:val="00EE68FA"/>
    <w:rsid w:val="00EF32C9"/>
    <w:rsid w:val="00EF6F3A"/>
    <w:rsid w:val="00EF7782"/>
    <w:rsid w:val="00F02527"/>
    <w:rsid w:val="00F10920"/>
    <w:rsid w:val="00F14DBC"/>
    <w:rsid w:val="00F159A0"/>
    <w:rsid w:val="00F2514D"/>
    <w:rsid w:val="00F2673E"/>
    <w:rsid w:val="00F327FB"/>
    <w:rsid w:val="00F3322E"/>
    <w:rsid w:val="00F44494"/>
    <w:rsid w:val="00F4471D"/>
    <w:rsid w:val="00F45C70"/>
    <w:rsid w:val="00F571F6"/>
    <w:rsid w:val="00F631CD"/>
    <w:rsid w:val="00F66368"/>
    <w:rsid w:val="00F679B9"/>
    <w:rsid w:val="00F70479"/>
    <w:rsid w:val="00F723C5"/>
    <w:rsid w:val="00F844C1"/>
    <w:rsid w:val="00F86052"/>
    <w:rsid w:val="00F86B92"/>
    <w:rsid w:val="00F9104F"/>
    <w:rsid w:val="00F929D4"/>
    <w:rsid w:val="00F9345C"/>
    <w:rsid w:val="00FA2855"/>
    <w:rsid w:val="00FA2D24"/>
    <w:rsid w:val="00FA3AED"/>
    <w:rsid w:val="00FA6F76"/>
    <w:rsid w:val="00FB0E61"/>
    <w:rsid w:val="00FB4E5A"/>
    <w:rsid w:val="00FC0616"/>
    <w:rsid w:val="00FC1BC3"/>
    <w:rsid w:val="00FD1D40"/>
    <w:rsid w:val="00FD5AA7"/>
    <w:rsid w:val="00FD6EB6"/>
    <w:rsid w:val="00FE0B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117EF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3395"/>
    <w:rPr>
      <w:rFonts w:ascii="Lucida Grande" w:hAnsi="Lucida Grande" w:cs="Lucida Grande"/>
      <w:sz w:val="18"/>
      <w:szCs w:val="18"/>
    </w:rPr>
  </w:style>
  <w:style w:type="paragraph" w:styleId="Header">
    <w:name w:val="header"/>
    <w:basedOn w:val="Normal"/>
    <w:link w:val="HeaderChar"/>
    <w:uiPriority w:val="99"/>
    <w:unhideWhenUsed/>
    <w:rsid w:val="00BA4DEF"/>
    <w:pPr>
      <w:tabs>
        <w:tab w:val="center" w:pos="4513"/>
        <w:tab w:val="right" w:pos="9026"/>
      </w:tabs>
    </w:pPr>
  </w:style>
  <w:style w:type="character" w:customStyle="1" w:styleId="HeaderChar">
    <w:name w:val="Header Char"/>
    <w:basedOn w:val="DefaultParagraphFont"/>
    <w:link w:val="Header"/>
    <w:uiPriority w:val="99"/>
    <w:rsid w:val="00BA4DEF"/>
  </w:style>
  <w:style w:type="paragraph" w:styleId="Footer">
    <w:name w:val="footer"/>
    <w:basedOn w:val="Normal"/>
    <w:link w:val="FooterChar"/>
    <w:uiPriority w:val="99"/>
    <w:unhideWhenUsed/>
    <w:rsid w:val="00BA4DEF"/>
    <w:pPr>
      <w:tabs>
        <w:tab w:val="center" w:pos="4513"/>
        <w:tab w:val="right" w:pos="9026"/>
      </w:tabs>
    </w:pPr>
  </w:style>
  <w:style w:type="character" w:customStyle="1" w:styleId="FooterChar">
    <w:name w:val="Footer Char"/>
    <w:basedOn w:val="DefaultParagraphFont"/>
    <w:link w:val="Footer"/>
    <w:uiPriority w:val="99"/>
    <w:rsid w:val="00BA4DEF"/>
  </w:style>
  <w:style w:type="paragraph" w:styleId="ListParagraph">
    <w:name w:val="List Paragraph"/>
    <w:basedOn w:val="Normal"/>
    <w:uiPriority w:val="34"/>
    <w:qFormat/>
    <w:rsid w:val="000B575F"/>
    <w:pPr>
      <w:ind w:left="720"/>
      <w:contextualSpacing/>
    </w:pPr>
  </w:style>
  <w:style w:type="paragraph" w:styleId="FootnoteText">
    <w:name w:val="footnote text"/>
    <w:basedOn w:val="Normal"/>
    <w:link w:val="FootnoteTextChar"/>
    <w:uiPriority w:val="99"/>
    <w:unhideWhenUsed/>
    <w:rsid w:val="00D4673A"/>
    <w:rPr>
      <w:sz w:val="20"/>
      <w:szCs w:val="20"/>
    </w:rPr>
  </w:style>
  <w:style w:type="character" w:customStyle="1" w:styleId="FootnoteTextChar">
    <w:name w:val="Footnote Text Char"/>
    <w:basedOn w:val="DefaultParagraphFont"/>
    <w:link w:val="FootnoteText"/>
    <w:uiPriority w:val="99"/>
    <w:rsid w:val="00D4673A"/>
    <w:rPr>
      <w:sz w:val="20"/>
      <w:szCs w:val="20"/>
    </w:rPr>
  </w:style>
  <w:style w:type="character" w:styleId="FootnoteReference">
    <w:name w:val="footnote reference"/>
    <w:basedOn w:val="DefaultParagraphFont"/>
    <w:uiPriority w:val="99"/>
    <w:unhideWhenUsed/>
    <w:rsid w:val="00D4673A"/>
    <w:rPr>
      <w:vertAlign w:val="superscript"/>
    </w:rPr>
  </w:style>
  <w:style w:type="paragraph" w:styleId="EndnoteText">
    <w:name w:val="endnote text"/>
    <w:basedOn w:val="Normal"/>
    <w:link w:val="EndnoteTextChar"/>
    <w:semiHidden/>
    <w:rsid w:val="00AE0CC6"/>
    <w:rPr>
      <w:rFonts w:ascii="Calibri" w:eastAsia="Times New Roman" w:hAnsi="Calibri" w:cs="Times New Roman"/>
      <w:sz w:val="20"/>
      <w:szCs w:val="20"/>
    </w:rPr>
  </w:style>
  <w:style w:type="character" w:customStyle="1" w:styleId="EndnoteTextChar">
    <w:name w:val="Endnote Text Char"/>
    <w:basedOn w:val="DefaultParagraphFont"/>
    <w:link w:val="EndnoteText"/>
    <w:semiHidden/>
    <w:rsid w:val="00AE0CC6"/>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AE0CC6"/>
    <w:rPr>
      <w:vertAlign w:val="superscript"/>
    </w:rPr>
  </w:style>
  <w:style w:type="character" w:styleId="CommentReference">
    <w:name w:val="annotation reference"/>
    <w:basedOn w:val="DefaultParagraphFont"/>
    <w:uiPriority w:val="99"/>
    <w:semiHidden/>
    <w:unhideWhenUsed/>
    <w:rsid w:val="003A4F53"/>
    <w:rPr>
      <w:sz w:val="16"/>
      <w:szCs w:val="16"/>
    </w:rPr>
  </w:style>
  <w:style w:type="paragraph" w:styleId="CommentText">
    <w:name w:val="annotation text"/>
    <w:basedOn w:val="Normal"/>
    <w:link w:val="CommentTextChar"/>
    <w:uiPriority w:val="99"/>
    <w:semiHidden/>
    <w:unhideWhenUsed/>
    <w:rsid w:val="003A4F53"/>
    <w:rPr>
      <w:sz w:val="20"/>
      <w:szCs w:val="20"/>
    </w:rPr>
  </w:style>
  <w:style w:type="character" w:customStyle="1" w:styleId="CommentTextChar">
    <w:name w:val="Comment Text Char"/>
    <w:basedOn w:val="DefaultParagraphFont"/>
    <w:link w:val="CommentText"/>
    <w:uiPriority w:val="99"/>
    <w:semiHidden/>
    <w:rsid w:val="003A4F53"/>
    <w:rPr>
      <w:sz w:val="20"/>
      <w:szCs w:val="20"/>
    </w:rPr>
  </w:style>
  <w:style w:type="paragraph" w:styleId="CommentSubject">
    <w:name w:val="annotation subject"/>
    <w:basedOn w:val="CommentText"/>
    <w:next w:val="CommentText"/>
    <w:link w:val="CommentSubjectChar"/>
    <w:uiPriority w:val="99"/>
    <w:semiHidden/>
    <w:unhideWhenUsed/>
    <w:rsid w:val="003A4F53"/>
    <w:rPr>
      <w:b/>
      <w:bCs/>
    </w:rPr>
  </w:style>
  <w:style w:type="character" w:customStyle="1" w:styleId="CommentSubjectChar">
    <w:name w:val="Comment Subject Char"/>
    <w:basedOn w:val="CommentTextChar"/>
    <w:link w:val="CommentSubject"/>
    <w:uiPriority w:val="99"/>
    <w:semiHidden/>
    <w:rsid w:val="003A4F53"/>
    <w:rPr>
      <w:b/>
      <w:bCs/>
      <w:sz w:val="20"/>
      <w:szCs w:val="20"/>
    </w:rPr>
  </w:style>
  <w:style w:type="paragraph" w:styleId="NormalWeb">
    <w:name w:val="Normal (Web)"/>
    <w:basedOn w:val="Normal"/>
    <w:uiPriority w:val="99"/>
    <w:semiHidden/>
    <w:unhideWhenUsed/>
    <w:rsid w:val="009F3701"/>
    <w:pPr>
      <w:spacing w:before="100" w:beforeAutospacing="1" w:after="100" w:afterAutospacing="1"/>
    </w:pPr>
    <w:rPr>
      <w:rFonts w:ascii="Times" w:eastAsiaTheme="minorHAnsi" w:hAnsi="Times" w:cs="Times New Roman"/>
      <w:sz w:val="20"/>
      <w:szCs w:val="20"/>
      <w:lang w:val="en-GB"/>
    </w:rPr>
  </w:style>
  <w:style w:type="character" w:styleId="Hyperlink">
    <w:name w:val="Hyperlink"/>
    <w:basedOn w:val="DefaultParagraphFont"/>
    <w:uiPriority w:val="99"/>
    <w:unhideWhenUsed/>
    <w:rsid w:val="00631744"/>
    <w:rPr>
      <w:color w:val="0000FF" w:themeColor="hyperlink"/>
      <w:u w:val="single"/>
    </w:rPr>
  </w:style>
  <w:style w:type="character" w:customStyle="1" w:styleId="gsoph2">
    <w:name w:val="gs_oph2"/>
    <w:basedOn w:val="DefaultParagraphFont"/>
    <w:rsid w:val="001E1F4B"/>
    <w:rPr>
      <w:vanish/>
      <w:webHidden w:val="0"/>
      <w:specVanish w:val="0"/>
    </w:rPr>
  </w:style>
  <w:style w:type="character" w:customStyle="1" w:styleId="gscah2">
    <w:name w:val="gsc_a_h2"/>
    <w:basedOn w:val="DefaultParagraphFont"/>
    <w:rsid w:val="001E1F4B"/>
  </w:style>
  <w:style w:type="paragraph" w:styleId="Revision">
    <w:name w:val="Revision"/>
    <w:hidden/>
    <w:uiPriority w:val="99"/>
    <w:semiHidden/>
    <w:rsid w:val="00685E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3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63395"/>
    <w:rPr>
      <w:rFonts w:ascii="Lucida Grande" w:hAnsi="Lucida Grande" w:cs="Lucida Grande"/>
      <w:sz w:val="18"/>
      <w:szCs w:val="18"/>
    </w:rPr>
  </w:style>
  <w:style w:type="paragraph" w:styleId="Header">
    <w:name w:val="header"/>
    <w:basedOn w:val="Normal"/>
    <w:link w:val="HeaderChar"/>
    <w:uiPriority w:val="99"/>
    <w:unhideWhenUsed/>
    <w:rsid w:val="00BA4DEF"/>
    <w:pPr>
      <w:tabs>
        <w:tab w:val="center" w:pos="4513"/>
        <w:tab w:val="right" w:pos="9026"/>
      </w:tabs>
    </w:pPr>
  </w:style>
  <w:style w:type="character" w:customStyle="1" w:styleId="HeaderChar">
    <w:name w:val="Header Char"/>
    <w:basedOn w:val="DefaultParagraphFont"/>
    <w:link w:val="Header"/>
    <w:uiPriority w:val="99"/>
    <w:rsid w:val="00BA4DEF"/>
  </w:style>
  <w:style w:type="paragraph" w:styleId="Footer">
    <w:name w:val="footer"/>
    <w:basedOn w:val="Normal"/>
    <w:link w:val="FooterChar"/>
    <w:uiPriority w:val="99"/>
    <w:unhideWhenUsed/>
    <w:rsid w:val="00BA4DEF"/>
    <w:pPr>
      <w:tabs>
        <w:tab w:val="center" w:pos="4513"/>
        <w:tab w:val="right" w:pos="9026"/>
      </w:tabs>
    </w:pPr>
  </w:style>
  <w:style w:type="character" w:customStyle="1" w:styleId="FooterChar">
    <w:name w:val="Footer Char"/>
    <w:basedOn w:val="DefaultParagraphFont"/>
    <w:link w:val="Footer"/>
    <w:uiPriority w:val="99"/>
    <w:rsid w:val="00BA4DEF"/>
  </w:style>
  <w:style w:type="paragraph" w:styleId="ListParagraph">
    <w:name w:val="List Paragraph"/>
    <w:basedOn w:val="Normal"/>
    <w:uiPriority w:val="34"/>
    <w:qFormat/>
    <w:rsid w:val="000B575F"/>
    <w:pPr>
      <w:ind w:left="720"/>
      <w:contextualSpacing/>
    </w:pPr>
  </w:style>
  <w:style w:type="paragraph" w:styleId="FootnoteText">
    <w:name w:val="footnote text"/>
    <w:basedOn w:val="Normal"/>
    <w:link w:val="FootnoteTextChar"/>
    <w:uiPriority w:val="99"/>
    <w:unhideWhenUsed/>
    <w:rsid w:val="00D4673A"/>
    <w:rPr>
      <w:sz w:val="20"/>
      <w:szCs w:val="20"/>
    </w:rPr>
  </w:style>
  <w:style w:type="character" w:customStyle="1" w:styleId="FootnoteTextChar">
    <w:name w:val="Footnote Text Char"/>
    <w:basedOn w:val="DefaultParagraphFont"/>
    <w:link w:val="FootnoteText"/>
    <w:uiPriority w:val="99"/>
    <w:rsid w:val="00D4673A"/>
    <w:rPr>
      <w:sz w:val="20"/>
      <w:szCs w:val="20"/>
    </w:rPr>
  </w:style>
  <w:style w:type="character" w:styleId="FootnoteReference">
    <w:name w:val="footnote reference"/>
    <w:basedOn w:val="DefaultParagraphFont"/>
    <w:uiPriority w:val="99"/>
    <w:unhideWhenUsed/>
    <w:rsid w:val="00D4673A"/>
    <w:rPr>
      <w:vertAlign w:val="superscript"/>
    </w:rPr>
  </w:style>
  <w:style w:type="paragraph" w:styleId="EndnoteText">
    <w:name w:val="endnote text"/>
    <w:basedOn w:val="Normal"/>
    <w:link w:val="EndnoteTextChar"/>
    <w:semiHidden/>
    <w:rsid w:val="00AE0CC6"/>
    <w:rPr>
      <w:rFonts w:ascii="Calibri" w:eastAsia="Times New Roman" w:hAnsi="Calibri" w:cs="Times New Roman"/>
      <w:sz w:val="20"/>
      <w:szCs w:val="20"/>
    </w:rPr>
  </w:style>
  <w:style w:type="character" w:customStyle="1" w:styleId="EndnoteTextChar">
    <w:name w:val="Endnote Text Char"/>
    <w:basedOn w:val="DefaultParagraphFont"/>
    <w:link w:val="EndnoteText"/>
    <w:semiHidden/>
    <w:rsid w:val="00AE0CC6"/>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AE0CC6"/>
    <w:rPr>
      <w:vertAlign w:val="superscript"/>
    </w:rPr>
  </w:style>
  <w:style w:type="character" w:styleId="CommentReference">
    <w:name w:val="annotation reference"/>
    <w:basedOn w:val="DefaultParagraphFont"/>
    <w:uiPriority w:val="99"/>
    <w:semiHidden/>
    <w:unhideWhenUsed/>
    <w:rsid w:val="003A4F53"/>
    <w:rPr>
      <w:sz w:val="16"/>
      <w:szCs w:val="16"/>
    </w:rPr>
  </w:style>
  <w:style w:type="paragraph" w:styleId="CommentText">
    <w:name w:val="annotation text"/>
    <w:basedOn w:val="Normal"/>
    <w:link w:val="CommentTextChar"/>
    <w:uiPriority w:val="99"/>
    <w:semiHidden/>
    <w:unhideWhenUsed/>
    <w:rsid w:val="003A4F53"/>
    <w:rPr>
      <w:sz w:val="20"/>
      <w:szCs w:val="20"/>
    </w:rPr>
  </w:style>
  <w:style w:type="character" w:customStyle="1" w:styleId="CommentTextChar">
    <w:name w:val="Comment Text Char"/>
    <w:basedOn w:val="DefaultParagraphFont"/>
    <w:link w:val="CommentText"/>
    <w:uiPriority w:val="99"/>
    <w:semiHidden/>
    <w:rsid w:val="003A4F53"/>
    <w:rPr>
      <w:sz w:val="20"/>
      <w:szCs w:val="20"/>
    </w:rPr>
  </w:style>
  <w:style w:type="paragraph" w:styleId="CommentSubject">
    <w:name w:val="annotation subject"/>
    <w:basedOn w:val="CommentText"/>
    <w:next w:val="CommentText"/>
    <w:link w:val="CommentSubjectChar"/>
    <w:uiPriority w:val="99"/>
    <w:semiHidden/>
    <w:unhideWhenUsed/>
    <w:rsid w:val="003A4F53"/>
    <w:rPr>
      <w:b/>
      <w:bCs/>
    </w:rPr>
  </w:style>
  <w:style w:type="character" w:customStyle="1" w:styleId="CommentSubjectChar">
    <w:name w:val="Comment Subject Char"/>
    <w:basedOn w:val="CommentTextChar"/>
    <w:link w:val="CommentSubject"/>
    <w:uiPriority w:val="99"/>
    <w:semiHidden/>
    <w:rsid w:val="003A4F53"/>
    <w:rPr>
      <w:b/>
      <w:bCs/>
      <w:sz w:val="20"/>
      <w:szCs w:val="20"/>
    </w:rPr>
  </w:style>
  <w:style w:type="paragraph" w:styleId="NormalWeb">
    <w:name w:val="Normal (Web)"/>
    <w:basedOn w:val="Normal"/>
    <w:uiPriority w:val="99"/>
    <w:semiHidden/>
    <w:unhideWhenUsed/>
    <w:rsid w:val="009F3701"/>
    <w:pPr>
      <w:spacing w:before="100" w:beforeAutospacing="1" w:after="100" w:afterAutospacing="1"/>
    </w:pPr>
    <w:rPr>
      <w:rFonts w:ascii="Times" w:eastAsiaTheme="minorHAnsi" w:hAnsi="Times" w:cs="Times New Roman"/>
      <w:sz w:val="20"/>
      <w:szCs w:val="20"/>
      <w:lang w:val="en-GB"/>
    </w:rPr>
  </w:style>
  <w:style w:type="character" w:styleId="Hyperlink">
    <w:name w:val="Hyperlink"/>
    <w:basedOn w:val="DefaultParagraphFont"/>
    <w:uiPriority w:val="99"/>
    <w:unhideWhenUsed/>
    <w:rsid w:val="00631744"/>
    <w:rPr>
      <w:color w:val="0000FF" w:themeColor="hyperlink"/>
      <w:u w:val="single"/>
    </w:rPr>
  </w:style>
  <w:style w:type="character" w:customStyle="1" w:styleId="gsoph2">
    <w:name w:val="gs_oph2"/>
    <w:basedOn w:val="DefaultParagraphFont"/>
    <w:rsid w:val="001E1F4B"/>
    <w:rPr>
      <w:vanish/>
      <w:webHidden w:val="0"/>
      <w:specVanish w:val="0"/>
    </w:rPr>
  </w:style>
  <w:style w:type="character" w:customStyle="1" w:styleId="gscah2">
    <w:name w:val="gsc_a_h2"/>
    <w:basedOn w:val="DefaultParagraphFont"/>
    <w:rsid w:val="001E1F4B"/>
  </w:style>
  <w:style w:type="paragraph" w:styleId="Revision">
    <w:name w:val="Revision"/>
    <w:hidden/>
    <w:uiPriority w:val="99"/>
    <w:semiHidden/>
    <w:rsid w:val="00685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01938">
      <w:bodyDiv w:val="1"/>
      <w:marLeft w:val="0"/>
      <w:marRight w:val="0"/>
      <w:marTop w:val="0"/>
      <w:marBottom w:val="0"/>
      <w:divBdr>
        <w:top w:val="none" w:sz="0" w:space="0" w:color="auto"/>
        <w:left w:val="none" w:sz="0" w:space="0" w:color="auto"/>
        <w:bottom w:val="none" w:sz="0" w:space="0" w:color="auto"/>
        <w:right w:val="none" w:sz="0" w:space="0" w:color="auto"/>
      </w:divBdr>
      <w:divsChild>
        <w:div w:id="734015855">
          <w:marLeft w:val="0"/>
          <w:marRight w:val="0"/>
          <w:marTop w:val="0"/>
          <w:marBottom w:val="0"/>
          <w:divBdr>
            <w:top w:val="none" w:sz="0" w:space="0" w:color="auto"/>
            <w:left w:val="none" w:sz="0" w:space="0" w:color="auto"/>
            <w:bottom w:val="none" w:sz="0" w:space="0" w:color="auto"/>
            <w:right w:val="none" w:sz="0" w:space="0" w:color="auto"/>
          </w:divBdr>
          <w:divsChild>
            <w:div w:id="1803382296">
              <w:marLeft w:val="0"/>
              <w:marRight w:val="0"/>
              <w:marTop w:val="0"/>
              <w:marBottom w:val="0"/>
              <w:divBdr>
                <w:top w:val="none" w:sz="0" w:space="0" w:color="auto"/>
                <w:left w:val="none" w:sz="0" w:space="0" w:color="auto"/>
                <w:bottom w:val="none" w:sz="0" w:space="0" w:color="auto"/>
                <w:right w:val="none" w:sz="0" w:space="0" w:color="auto"/>
              </w:divBdr>
              <w:divsChild>
                <w:div w:id="1019814854">
                  <w:marLeft w:val="0"/>
                  <w:marRight w:val="0"/>
                  <w:marTop w:val="0"/>
                  <w:marBottom w:val="0"/>
                  <w:divBdr>
                    <w:top w:val="none" w:sz="0" w:space="0" w:color="auto"/>
                    <w:left w:val="none" w:sz="0" w:space="0" w:color="auto"/>
                    <w:bottom w:val="none" w:sz="0" w:space="0" w:color="auto"/>
                    <w:right w:val="none" w:sz="0" w:space="0" w:color="auto"/>
                  </w:divBdr>
                  <w:divsChild>
                    <w:div w:id="879979686">
                      <w:marLeft w:val="0"/>
                      <w:marRight w:val="0"/>
                      <w:marTop w:val="0"/>
                      <w:marBottom w:val="0"/>
                      <w:divBdr>
                        <w:top w:val="none" w:sz="0" w:space="0" w:color="auto"/>
                        <w:left w:val="none" w:sz="0" w:space="0" w:color="auto"/>
                        <w:bottom w:val="none" w:sz="0" w:space="0" w:color="auto"/>
                        <w:right w:val="none" w:sz="0" w:space="0" w:color="auto"/>
                      </w:divBdr>
                      <w:divsChild>
                        <w:div w:id="652831593">
                          <w:marLeft w:val="0"/>
                          <w:marRight w:val="0"/>
                          <w:marTop w:val="0"/>
                          <w:marBottom w:val="0"/>
                          <w:divBdr>
                            <w:top w:val="none" w:sz="0" w:space="0" w:color="auto"/>
                            <w:left w:val="none" w:sz="0" w:space="0" w:color="auto"/>
                            <w:bottom w:val="none" w:sz="0" w:space="0" w:color="auto"/>
                            <w:right w:val="none" w:sz="0" w:space="0" w:color="auto"/>
                          </w:divBdr>
                          <w:divsChild>
                            <w:div w:id="17466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223217">
      <w:bodyDiv w:val="1"/>
      <w:marLeft w:val="0"/>
      <w:marRight w:val="0"/>
      <w:marTop w:val="0"/>
      <w:marBottom w:val="0"/>
      <w:divBdr>
        <w:top w:val="none" w:sz="0" w:space="0" w:color="auto"/>
        <w:left w:val="none" w:sz="0" w:space="0" w:color="auto"/>
        <w:bottom w:val="none" w:sz="0" w:space="0" w:color="auto"/>
        <w:right w:val="none" w:sz="0" w:space="0" w:color="auto"/>
      </w:divBdr>
      <w:divsChild>
        <w:div w:id="1207378373">
          <w:marLeft w:val="0"/>
          <w:marRight w:val="0"/>
          <w:marTop w:val="0"/>
          <w:marBottom w:val="0"/>
          <w:divBdr>
            <w:top w:val="none" w:sz="0" w:space="0" w:color="auto"/>
            <w:left w:val="none" w:sz="0" w:space="0" w:color="auto"/>
            <w:bottom w:val="none" w:sz="0" w:space="0" w:color="auto"/>
            <w:right w:val="none" w:sz="0" w:space="0" w:color="auto"/>
          </w:divBdr>
          <w:divsChild>
            <w:div w:id="908879160">
              <w:marLeft w:val="0"/>
              <w:marRight w:val="0"/>
              <w:marTop w:val="0"/>
              <w:marBottom w:val="0"/>
              <w:divBdr>
                <w:top w:val="none" w:sz="0" w:space="0" w:color="auto"/>
                <w:left w:val="none" w:sz="0" w:space="0" w:color="auto"/>
                <w:bottom w:val="none" w:sz="0" w:space="0" w:color="auto"/>
                <w:right w:val="none" w:sz="0" w:space="0" w:color="auto"/>
              </w:divBdr>
              <w:divsChild>
                <w:div w:id="1300651540">
                  <w:marLeft w:val="0"/>
                  <w:marRight w:val="0"/>
                  <w:marTop w:val="0"/>
                  <w:marBottom w:val="0"/>
                  <w:divBdr>
                    <w:top w:val="none" w:sz="0" w:space="0" w:color="auto"/>
                    <w:left w:val="none" w:sz="0" w:space="0" w:color="auto"/>
                    <w:bottom w:val="none" w:sz="0" w:space="0" w:color="auto"/>
                    <w:right w:val="none" w:sz="0" w:space="0" w:color="auto"/>
                  </w:divBdr>
                  <w:divsChild>
                    <w:div w:id="1997418811">
                      <w:marLeft w:val="0"/>
                      <w:marRight w:val="0"/>
                      <w:marTop w:val="0"/>
                      <w:marBottom w:val="0"/>
                      <w:divBdr>
                        <w:top w:val="none" w:sz="0" w:space="0" w:color="auto"/>
                        <w:left w:val="none" w:sz="0" w:space="0" w:color="auto"/>
                        <w:bottom w:val="none" w:sz="0" w:space="0" w:color="auto"/>
                        <w:right w:val="none" w:sz="0" w:space="0" w:color="auto"/>
                      </w:divBdr>
                      <w:divsChild>
                        <w:div w:id="735782471">
                          <w:marLeft w:val="0"/>
                          <w:marRight w:val="0"/>
                          <w:marTop w:val="0"/>
                          <w:marBottom w:val="0"/>
                          <w:divBdr>
                            <w:top w:val="none" w:sz="0" w:space="0" w:color="auto"/>
                            <w:left w:val="none" w:sz="0" w:space="0" w:color="auto"/>
                            <w:bottom w:val="none" w:sz="0" w:space="0" w:color="auto"/>
                            <w:right w:val="none" w:sz="0" w:space="0" w:color="auto"/>
                          </w:divBdr>
                          <w:divsChild>
                            <w:div w:id="179347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91769">
      <w:bodyDiv w:val="1"/>
      <w:marLeft w:val="0"/>
      <w:marRight w:val="0"/>
      <w:marTop w:val="0"/>
      <w:marBottom w:val="0"/>
      <w:divBdr>
        <w:top w:val="none" w:sz="0" w:space="0" w:color="auto"/>
        <w:left w:val="none" w:sz="0" w:space="0" w:color="auto"/>
        <w:bottom w:val="none" w:sz="0" w:space="0" w:color="auto"/>
        <w:right w:val="none" w:sz="0" w:space="0" w:color="auto"/>
      </w:divBdr>
      <w:divsChild>
        <w:div w:id="1501920265">
          <w:marLeft w:val="0"/>
          <w:marRight w:val="0"/>
          <w:marTop w:val="0"/>
          <w:marBottom w:val="0"/>
          <w:divBdr>
            <w:top w:val="none" w:sz="0" w:space="0" w:color="auto"/>
            <w:left w:val="none" w:sz="0" w:space="0" w:color="auto"/>
            <w:bottom w:val="none" w:sz="0" w:space="0" w:color="auto"/>
            <w:right w:val="none" w:sz="0" w:space="0" w:color="auto"/>
          </w:divBdr>
          <w:divsChild>
            <w:div w:id="1526943618">
              <w:marLeft w:val="0"/>
              <w:marRight w:val="0"/>
              <w:marTop w:val="0"/>
              <w:marBottom w:val="0"/>
              <w:divBdr>
                <w:top w:val="none" w:sz="0" w:space="0" w:color="auto"/>
                <w:left w:val="none" w:sz="0" w:space="0" w:color="auto"/>
                <w:bottom w:val="none" w:sz="0" w:space="0" w:color="auto"/>
                <w:right w:val="none" w:sz="0" w:space="0" w:color="auto"/>
              </w:divBdr>
              <w:divsChild>
                <w:div w:id="1898972730">
                  <w:marLeft w:val="0"/>
                  <w:marRight w:val="0"/>
                  <w:marTop w:val="0"/>
                  <w:marBottom w:val="0"/>
                  <w:divBdr>
                    <w:top w:val="none" w:sz="0" w:space="0" w:color="auto"/>
                    <w:left w:val="none" w:sz="0" w:space="0" w:color="auto"/>
                    <w:bottom w:val="none" w:sz="0" w:space="0" w:color="auto"/>
                    <w:right w:val="none" w:sz="0" w:space="0" w:color="auto"/>
                  </w:divBdr>
                  <w:divsChild>
                    <w:div w:id="148522729">
                      <w:marLeft w:val="0"/>
                      <w:marRight w:val="0"/>
                      <w:marTop w:val="0"/>
                      <w:marBottom w:val="0"/>
                      <w:divBdr>
                        <w:top w:val="none" w:sz="0" w:space="0" w:color="auto"/>
                        <w:left w:val="none" w:sz="0" w:space="0" w:color="auto"/>
                        <w:bottom w:val="none" w:sz="0" w:space="0" w:color="auto"/>
                        <w:right w:val="none" w:sz="0" w:space="0" w:color="auto"/>
                      </w:divBdr>
                      <w:divsChild>
                        <w:div w:id="1051270129">
                          <w:marLeft w:val="0"/>
                          <w:marRight w:val="0"/>
                          <w:marTop w:val="0"/>
                          <w:marBottom w:val="0"/>
                          <w:divBdr>
                            <w:top w:val="none" w:sz="0" w:space="0" w:color="auto"/>
                            <w:left w:val="none" w:sz="0" w:space="0" w:color="auto"/>
                            <w:bottom w:val="none" w:sz="0" w:space="0" w:color="auto"/>
                            <w:right w:val="none" w:sz="0" w:space="0" w:color="auto"/>
                          </w:divBdr>
                          <w:divsChild>
                            <w:div w:id="10780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7386575">
      <w:bodyDiv w:val="1"/>
      <w:marLeft w:val="0"/>
      <w:marRight w:val="0"/>
      <w:marTop w:val="0"/>
      <w:marBottom w:val="0"/>
      <w:divBdr>
        <w:top w:val="none" w:sz="0" w:space="0" w:color="auto"/>
        <w:left w:val="none" w:sz="0" w:space="0" w:color="auto"/>
        <w:bottom w:val="none" w:sz="0" w:space="0" w:color="auto"/>
        <w:right w:val="none" w:sz="0" w:space="0" w:color="auto"/>
      </w:divBdr>
      <w:divsChild>
        <w:div w:id="749424126">
          <w:marLeft w:val="0"/>
          <w:marRight w:val="0"/>
          <w:marTop w:val="0"/>
          <w:marBottom w:val="0"/>
          <w:divBdr>
            <w:top w:val="none" w:sz="0" w:space="0" w:color="auto"/>
            <w:left w:val="none" w:sz="0" w:space="0" w:color="auto"/>
            <w:bottom w:val="none" w:sz="0" w:space="0" w:color="auto"/>
            <w:right w:val="none" w:sz="0" w:space="0" w:color="auto"/>
          </w:divBdr>
          <w:divsChild>
            <w:div w:id="426847349">
              <w:marLeft w:val="0"/>
              <w:marRight w:val="0"/>
              <w:marTop w:val="0"/>
              <w:marBottom w:val="0"/>
              <w:divBdr>
                <w:top w:val="none" w:sz="0" w:space="0" w:color="auto"/>
                <w:left w:val="none" w:sz="0" w:space="0" w:color="auto"/>
                <w:bottom w:val="none" w:sz="0" w:space="0" w:color="auto"/>
                <w:right w:val="none" w:sz="0" w:space="0" w:color="auto"/>
              </w:divBdr>
              <w:divsChild>
                <w:div w:id="388650127">
                  <w:marLeft w:val="0"/>
                  <w:marRight w:val="0"/>
                  <w:marTop w:val="0"/>
                  <w:marBottom w:val="0"/>
                  <w:divBdr>
                    <w:top w:val="none" w:sz="0" w:space="0" w:color="auto"/>
                    <w:left w:val="none" w:sz="0" w:space="0" w:color="auto"/>
                    <w:bottom w:val="none" w:sz="0" w:space="0" w:color="auto"/>
                    <w:right w:val="none" w:sz="0" w:space="0" w:color="auto"/>
                  </w:divBdr>
                  <w:divsChild>
                    <w:div w:id="2145810478">
                      <w:marLeft w:val="0"/>
                      <w:marRight w:val="0"/>
                      <w:marTop w:val="0"/>
                      <w:marBottom w:val="0"/>
                      <w:divBdr>
                        <w:top w:val="none" w:sz="0" w:space="0" w:color="auto"/>
                        <w:left w:val="none" w:sz="0" w:space="0" w:color="auto"/>
                        <w:bottom w:val="none" w:sz="0" w:space="0" w:color="auto"/>
                        <w:right w:val="none" w:sz="0" w:space="0" w:color="auto"/>
                      </w:divBdr>
                      <w:divsChild>
                        <w:div w:id="1298947762">
                          <w:marLeft w:val="0"/>
                          <w:marRight w:val="0"/>
                          <w:marTop w:val="0"/>
                          <w:marBottom w:val="0"/>
                          <w:divBdr>
                            <w:top w:val="none" w:sz="0" w:space="0" w:color="auto"/>
                            <w:left w:val="none" w:sz="0" w:space="0" w:color="auto"/>
                            <w:bottom w:val="none" w:sz="0" w:space="0" w:color="auto"/>
                            <w:right w:val="none" w:sz="0" w:space="0" w:color="auto"/>
                          </w:divBdr>
                          <w:divsChild>
                            <w:div w:id="210679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5697394">
      <w:bodyDiv w:val="1"/>
      <w:marLeft w:val="0"/>
      <w:marRight w:val="0"/>
      <w:marTop w:val="0"/>
      <w:marBottom w:val="0"/>
      <w:divBdr>
        <w:top w:val="none" w:sz="0" w:space="0" w:color="auto"/>
        <w:left w:val="none" w:sz="0" w:space="0" w:color="auto"/>
        <w:bottom w:val="none" w:sz="0" w:space="0" w:color="auto"/>
        <w:right w:val="none" w:sz="0" w:space="0" w:color="auto"/>
      </w:divBdr>
      <w:divsChild>
        <w:div w:id="287392263">
          <w:marLeft w:val="0"/>
          <w:marRight w:val="0"/>
          <w:marTop w:val="0"/>
          <w:marBottom w:val="0"/>
          <w:divBdr>
            <w:top w:val="none" w:sz="0" w:space="0" w:color="auto"/>
            <w:left w:val="none" w:sz="0" w:space="0" w:color="auto"/>
            <w:bottom w:val="none" w:sz="0" w:space="0" w:color="auto"/>
            <w:right w:val="none" w:sz="0" w:space="0" w:color="auto"/>
          </w:divBdr>
          <w:divsChild>
            <w:div w:id="613287974">
              <w:marLeft w:val="0"/>
              <w:marRight w:val="0"/>
              <w:marTop w:val="0"/>
              <w:marBottom w:val="0"/>
              <w:divBdr>
                <w:top w:val="none" w:sz="0" w:space="0" w:color="auto"/>
                <w:left w:val="none" w:sz="0" w:space="0" w:color="auto"/>
                <w:bottom w:val="none" w:sz="0" w:space="0" w:color="auto"/>
                <w:right w:val="none" w:sz="0" w:space="0" w:color="auto"/>
              </w:divBdr>
              <w:divsChild>
                <w:div w:id="930550079">
                  <w:marLeft w:val="240"/>
                  <w:marRight w:val="5055"/>
                  <w:marTop w:val="0"/>
                  <w:marBottom w:val="0"/>
                  <w:divBdr>
                    <w:top w:val="none" w:sz="0" w:space="0" w:color="auto"/>
                    <w:left w:val="none" w:sz="0" w:space="0" w:color="auto"/>
                    <w:bottom w:val="none" w:sz="0" w:space="0" w:color="auto"/>
                    <w:right w:val="none" w:sz="0" w:space="0" w:color="auto"/>
                  </w:divBdr>
                  <w:divsChild>
                    <w:div w:id="331418534">
                      <w:marLeft w:val="0"/>
                      <w:marRight w:val="0"/>
                      <w:marTop w:val="0"/>
                      <w:marBottom w:val="0"/>
                      <w:divBdr>
                        <w:top w:val="none" w:sz="0" w:space="0" w:color="auto"/>
                        <w:left w:val="none" w:sz="0" w:space="0" w:color="auto"/>
                        <w:bottom w:val="none" w:sz="0" w:space="0" w:color="auto"/>
                        <w:right w:val="none" w:sz="0" w:space="0" w:color="auto"/>
                      </w:divBdr>
                    </w:div>
                    <w:div w:id="1950433960">
                      <w:marLeft w:val="0"/>
                      <w:marRight w:val="0"/>
                      <w:marTop w:val="0"/>
                      <w:marBottom w:val="0"/>
                      <w:divBdr>
                        <w:top w:val="none" w:sz="0" w:space="0" w:color="auto"/>
                        <w:left w:val="none" w:sz="0" w:space="0" w:color="auto"/>
                        <w:bottom w:val="none" w:sz="0" w:space="0" w:color="auto"/>
                        <w:right w:val="none" w:sz="0" w:space="0" w:color="auto"/>
                      </w:divBdr>
                    </w:div>
                    <w:div w:id="1007946917">
                      <w:marLeft w:val="0"/>
                      <w:marRight w:val="0"/>
                      <w:marTop w:val="0"/>
                      <w:marBottom w:val="0"/>
                      <w:divBdr>
                        <w:top w:val="none" w:sz="0" w:space="0" w:color="auto"/>
                        <w:left w:val="none" w:sz="0" w:space="0" w:color="auto"/>
                        <w:bottom w:val="none" w:sz="0" w:space="0" w:color="auto"/>
                        <w:right w:val="none" w:sz="0" w:space="0" w:color="auto"/>
                      </w:divBdr>
                    </w:div>
                    <w:div w:id="65669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24844">
      <w:bodyDiv w:val="1"/>
      <w:marLeft w:val="0"/>
      <w:marRight w:val="0"/>
      <w:marTop w:val="0"/>
      <w:marBottom w:val="0"/>
      <w:divBdr>
        <w:top w:val="none" w:sz="0" w:space="0" w:color="auto"/>
        <w:left w:val="none" w:sz="0" w:space="0" w:color="auto"/>
        <w:bottom w:val="none" w:sz="0" w:space="0" w:color="auto"/>
        <w:right w:val="none" w:sz="0" w:space="0" w:color="auto"/>
      </w:divBdr>
      <w:divsChild>
        <w:div w:id="1554349119">
          <w:marLeft w:val="0"/>
          <w:marRight w:val="0"/>
          <w:marTop w:val="0"/>
          <w:marBottom w:val="0"/>
          <w:divBdr>
            <w:top w:val="none" w:sz="0" w:space="0" w:color="auto"/>
            <w:left w:val="none" w:sz="0" w:space="0" w:color="auto"/>
            <w:bottom w:val="none" w:sz="0" w:space="0" w:color="auto"/>
            <w:right w:val="none" w:sz="0" w:space="0" w:color="auto"/>
          </w:divBdr>
          <w:divsChild>
            <w:div w:id="1699624359">
              <w:marLeft w:val="0"/>
              <w:marRight w:val="0"/>
              <w:marTop w:val="0"/>
              <w:marBottom w:val="0"/>
              <w:divBdr>
                <w:top w:val="none" w:sz="0" w:space="0" w:color="auto"/>
                <w:left w:val="none" w:sz="0" w:space="0" w:color="auto"/>
                <w:bottom w:val="none" w:sz="0" w:space="0" w:color="auto"/>
                <w:right w:val="none" w:sz="0" w:space="0" w:color="auto"/>
              </w:divBdr>
              <w:divsChild>
                <w:div w:id="218903518">
                  <w:marLeft w:val="0"/>
                  <w:marRight w:val="0"/>
                  <w:marTop w:val="0"/>
                  <w:marBottom w:val="0"/>
                  <w:divBdr>
                    <w:top w:val="none" w:sz="0" w:space="0" w:color="auto"/>
                    <w:left w:val="none" w:sz="0" w:space="0" w:color="auto"/>
                    <w:bottom w:val="none" w:sz="0" w:space="0" w:color="auto"/>
                    <w:right w:val="none" w:sz="0" w:space="0" w:color="auto"/>
                  </w:divBdr>
                  <w:divsChild>
                    <w:div w:id="1041512345">
                      <w:marLeft w:val="0"/>
                      <w:marRight w:val="0"/>
                      <w:marTop w:val="0"/>
                      <w:marBottom w:val="0"/>
                      <w:divBdr>
                        <w:top w:val="none" w:sz="0" w:space="0" w:color="auto"/>
                        <w:left w:val="none" w:sz="0" w:space="0" w:color="auto"/>
                        <w:bottom w:val="none" w:sz="0" w:space="0" w:color="auto"/>
                        <w:right w:val="none" w:sz="0" w:space="0" w:color="auto"/>
                      </w:divBdr>
                      <w:divsChild>
                        <w:div w:id="1374504876">
                          <w:marLeft w:val="0"/>
                          <w:marRight w:val="0"/>
                          <w:marTop w:val="0"/>
                          <w:marBottom w:val="0"/>
                          <w:divBdr>
                            <w:top w:val="none" w:sz="0" w:space="0" w:color="auto"/>
                            <w:left w:val="none" w:sz="0" w:space="0" w:color="auto"/>
                            <w:bottom w:val="none" w:sz="0" w:space="0" w:color="auto"/>
                            <w:right w:val="none" w:sz="0" w:space="0" w:color="auto"/>
                          </w:divBdr>
                          <w:divsChild>
                            <w:div w:id="141446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798353">
      <w:bodyDiv w:val="1"/>
      <w:marLeft w:val="0"/>
      <w:marRight w:val="0"/>
      <w:marTop w:val="0"/>
      <w:marBottom w:val="0"/>
      <w:divBdr>
        <w:top w:val="none" w:sz="0" w:space="0" w:color="auto"/>
        <w:left w:val="none" w:sz="0" w:space="0" w:color="auto"/>
        <w:bottom w:val="none" w:sz="0" w:space="0" w:color="auto"/>
        <w:right w:val="none" w:sz="0" w:space="0" w:color="auto"/>
      </w:divBdr>
      <w:divsChild>
        <w:div w:id="334037186">
          <w:marLeft w:val="0"/>
          <w:marRight w:val="0"/>
          <w:marTop w:val="0"/>
          <w:marBottom w:val="0"/>
          <w:divBdr>
            <w:top w:val="none" w:sz="0" w:space="0" w:color="auto"/>
            <w:left w:val="none" w:sz="0" w:space="0" w:color="auto"/>
            <w:bottom w:val="none" w:sz="0" w:space="0" w:color="auto"/>
            <w:right w:val="none" w:sz="0" w:space="0" w:color="auto"/>
          </w:divBdr>
          <w:divsChild>
            <w:div w:id="1964068503">
              <w:marLeft w:val="0"/>
              <w:marRight w:val="0"/>
              <w:marTop w:val="0"/>
              <w:marBottom w:val="0"/>
              <w:divBdr>
                <w:top w:val="none" w:sz="0" w:space="0" w:color="auto"/>
                <w:left w:val="none" w:sz="0" w:space="0" w:color="auto"/>
                <w:bottom w:val="none" w:sz="0" w:space="0" w:color="auto"/>
                <w:right w:val="none" w:sz="0" w:space="0" w:color="auto"/>
              </w:divBdr>
              <w:divsChild>
                <w:div w:id="1262446459">
                  <w:marLeft w:val="0"/>
                  <w:marRight w:val="0"/>
                  <w:marTop w:val="0"/>
                  <w:marBottom w:val="0"/>
                  <w:divBdr>
                    <w:top w:val="none" w:sz="0" w:space="0" w:color="auto"/>
                    <w:left w:val="none" w:sz="0" w:space="0" w:color="auto"/>
                    <w:bottom w:val="none" w:sz="0" w:space="0" w:color="auto"/>
                    <w:right w:val="none" w:sz="0" w:space="0" w:color="auto"/>
                  </w:divBdr>
                  <w:divsChild>
                    <w:div w:id="545870926">
                      <w:marLeft w:val="0"/>
                      <w:marRight w:val="0"/>
                      <w:marTop w:val="0"/>
                      <w:marBottom w:val="0"/>
                      <w:divBdr>
                        <w:top w:val="none" w:sz="0" w:space="0" w:color="auto"/>
                        <w:left w:val="none" w:sz="0" w:space="0" w:color="auto"/>
                        <w:bottom w:val="none" w:sz="0" w:space="0" w:color="auto"/>
                        <w:right w:val="none" w:sz="0" w:space="0" w:color="auto"/>
                      </w:divBdr>
                      <w:divsChild>
                        <w:div w:id="1050687770">
                          <w:marLeft w:val="0"/>
                          <w:marRight w:val="0"/>
                          <w:marTop w:val="0"/>
                          <w:marBottom w:val="0"/>
                          <w:divBdr>
                            <w:top w:val="none" w:sz="0" w:space="0" w:color="auto"/>
                            <w:left w:val="none" w:sz="0" w:space="0" w:color="auto"/>
                            <w:bottom w:val="none" w:sz="0" w:space="0" w:color="auto"/>
                            <w:right w:val="none" w:sz="0" w:space="0" w:color="auto"/>
                          </w:divBdr>
                          <w:divsChild>
                            <w:div w:id="153905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149136">
      <w:bodyDiv w:val="1"/>
      <w:marLeft w:val="0"/>
      <w:marRight w:val="0"/>
      <w:marTop w:val="0"/>
      <w:marBottom w:val="0"/>
      <w:divBdr>
        <w:top w:val="none" w:sz="0" w:space="0" w:color="auto"/>
        <w:left w:val="none" w:sz="0" w:space="0" w:color="auto"/>
        <w:bottom w:val="none" w:sz="0" w:space="0" w:color="auto"/>
        <w:right w:val="none" w:sz="0" w:space="0" w:color="auto"/>
      </w:divBdr>
      <w:divsChild>
        <w:div w:id="968439406">
          <w:marLeft w:val="0"/>
          <w:marRight w:val="0"/>
          <w:marTop w:val="0"/>
          <w:marBottom w:val="0"/>
          <w:divBdr>
            <w:top w:val="none" w:sz="0" w:space="0" w:color="auto"/>
            <w:left w:val="none" w:sz="0" w:space="0" w:color="auto"/>
            <w:bottom w:val="none" w:sz="0" w:space="0" w:color="auto"/>
            <w:right w:val="none" w:sz="0" w:space="0" w:color="auto"/>
          </w:divBdr>
          <w:divsChild>
            <w:div w:id="1844009942">
              <w:marLeft w:val="0"/>
              <w:marRight w:val="0"/>
              <w:marTop w:val="0"/>
              <w:marBottom w:val="0"/>
              <w:divBdr>
                <w:top w:val="none" w:sz="0" w:space="0" w:color="auto"/>
                <w:left w:val="none" w:sz="0" w:space="0" w:color="auto"/>
                <w:bottom w:val="none" w:sz="0" w:space="0" w:color="auto"/>
                <w:right w:val="none" w:sz="0" w:space="0" w:color="auto"/>
              </w:divBdr>
              <w:divsChild>
                <w:div w:id="1175923234">
                  <w:marLeft w:val="0"/>
                  <w:marRight w:val="0"/>
                  <w:marTop w:val="0"/>
                  <w:marBottom w:val="0"/>
                  <w:divBdr>
                    <w:top w:val="none" w:sz="0" w:space="0" w:color="auto"/>
                    <w:left w:val="none" w:sz="0" w:space="0" w:color="auto"/>
                    <w:bottom w:val="none" w:sz="0" w:space="0" w:color="auto"/>
                    <w:right w:val="none" w:sz="0" w:space="0" w:color="auto"/>
                  </w:divBdr>
                  <w:divsChild>
                    <w:div w:id="484736925">
                      <w:marLeft w:val="0"/>
                      <w:marRight w:val="0"/>
                      <w:marTop w:val="0"/>
                      <w:marBottom w:val="0"/>
                      <w:divBdr>
                        <w:top w:val="none" w:sz="0" w:space="0" w:color="auto"/>
                        <w:left w:val="none" w:sz="0" w:space="0" w:color="auto"/>
                        <w:bottom w:val="none" w:sz="0" w:space="0" w:color="auto"/>
                        <w:right w:val="none" w:sz="0" w:space="0" w:color="auto"/>
                      </w:divBdr>
                      <w:divsChild>
                        <w:div w:id="656499653">
                          <w:marLeft w:val="0"/>
                          <w:marRight w:val="0"/>
                          <w:marTop w:val="0"/>
                          <w:marBottom w:val="0"/>
                          <w:divBdr>
                            <w:top w:val="none" w:sz="0" w:space="0" w:color="auto"/>
                            <w:left w:val="none" w:sz="0" w:space="0" w:color="auto"/>
                            <w:bottom w:val="none" w:sz="0" w:space="0" w:color="auto"/>
                            <w:right w:val="none" w:sz="0" w:space="0" w:color="auto"/>
                          </w:divBdr>
                          <w:divsChild>
                            <w:div w:id="41570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108926">
      <w:bodyDiv w:val="1"/>
      <w:marLeft w:val="0"/>
      <w:marRight w:val="0"/>
      <w:marTop w:val="0"/>
      <w:marBottom w:val="0"/>
      <w:divBdr>
        <w:top w:val="none" w:sz="0" w:space="0" w:color="auto"/>
        <w:left w:val="none" w:sz="0" w:space="0" w:color="auto"/>
        <w:bottom w:val="none" w:sz="0" w:space="0" w:color="auto"/>
        <w:right w:val="none" w:sz="0" w:space="0" w:color="auto"/>
      </w:divBdr>
      <w:divsChild>
        <w:div w:id="1107777256">
          <w:marLeft w:val="0"/>
          <w:marRight w:val="0"/>
          <w:marTop w:val="0"/>
          <w:marBottom w:val="0"/>
          <w:divBdr>
            <w:top w:val="none" w:sz="0" w:space="0" w:color="auto"/>
            <w:left w:val="none" w:sz="0" w:space="0" w:color="auto"/>
            <w:bottom w:val="none" w:sz="0" w:space="0" w:color="auto"/>
            <w:right w:val="none" w:sz="0" w:space="0" w:color="auto"/>
          </w:divBdr>
          <w:divsChild>
            <w:div w:id="164518810">
              <w:marLeft w:val="0"/>
              <w:marRight w:val="0"/>
              <w:marTop w:val="0"/>
              <w:marBottom w:val="0"/>
              <w:divBdr>
                <w:top w:val="none" w:sz="0" w:space="0" w:color="auto"/>
                <w:left w:val="none" w:sz="0" w:space="0" w:color="auto"/>
                <w:bottom w:val="none" w:sz="0" w:space="0" w:color="auto"/>
                <w:right w:val="none" w:sz="0" w:space="0" w:color="auto"/>
              </w:divBdr>
              <w:divsChild>
                <w:div w:id="1113595182">
                  <w:marLeft w:val="0"/>
                  <w:marRight w:val="0"/>
                  <w:marTop w:val="0"/>
                  <w:marBottom w:val="0"/>
                  <w:divBdr>
                    <w:top w:val="none" w:sz="0" w:space="0" w:color="auto"/>
                    <w:left w:val="none" w:sz="0" w:space="0" w:color="auto"/>
                    <w:bottom w:val="none" w:sz="0" w:space="0" w:color="auto"/>
                    <w:right w:val="none" w:sz="0" w:space="0" w:color="auto"/>
                  </w:divBdr>
                  <w:divsChild>
                    <w:div w:id="319893486">
                      <w:marLeft w:val="0"/>
                      <w:marRight w:val="0"/>
                      <w:marTop w:val="0"/>
                      <w:marBottom w:val="0"/>
                      <w:divBdr>
                        <w:top w:val="none" w:sz="0" w:space="0" w:color="auto"/>
                        <w:left w:val="none" w:sz="0" w:space="0" w:color="auto"/>
                        <w:bottom w:val="none" w:sz="0" w:space="0" w:color="auto"/>
                        <w:right w:val="none" w:sz="0" w:space="0" w:color="auto"/>
                      </w:divBdr>
                      <w:divsChild>
                        <w:div w:id="56980922">
                          <w:marLeft w:val="0"/>
                          <w:marRight w:val="0"/>
                          <w:marTop w:val="0"/>
                          <w:marBottom w:val="0"/>
                          <w:divBdr>
                            <w:top w:val="none" w:sz="0" w:space="0" w:color="auto"/>
                            <w:left w:val="none" w:sz="0" w:space="0" w:color="auto"/>
                            <w:bottom w:val="none" w:sz="0" w:space="0" w:color="auto"/>
                            <w:right w:val="none" w:sz="0" w:space="0" w:color="auto"/>
                          </w:divBdr>
                          <w:divsChild>
                            <w:div w:id="76326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002564">
      <w:bodyDiv w:val="1"/>
      <w:marLeft w:val="0"/>
      <w:marRight w:val="0"/>
      <w:marTop w:val="0"/>
      <w:marBottom w:val="0"/>
      <w:divBdr>
        <w:top w:val="none" w:sz="0" w:space="0" w:color="auto"/>
        <w:left w:val="none" w:sz="0" w:space="0" w:color="auto"/>
        <w:bottom w:val="none" w:sz="0" w:space="0" w:color="auto"/>
        <w:right w:val="none" w:sz="0" w:space="0" w:color="auto"/>
      </w:divBdr>
      <w:divsChild>
        <w:div w:id="1415394249">
          <w:marLeft w:val="0"/>
          <w:marRight w:val="0"/>
          <w:marTop w:val="0"/>
          <w:marBottom w:val="0"/>
          <w:divBdr>
            <w:top w:val="none" w:sz="0" w:space="0" w:color="auto"/>
            <w:left w:val="none" w:sz="0" w:space="0" w:color="auto"/>
            <w:bottom w:val="none" w:sz="0" w:space="0" w:color="auto"/>
            <w:right w:val="none" w:sz="0" w:space="0" w:color="auto"/>
          </w:divBdr>
          <w:divsChild>
            <w:div w:id="1490947585">
              <w:marLeft w:val="0"/>
              <w:marRight w:val="0"/>
              <w:marTop w:val="0"/>
              <w:marBottom w:val="0"/>
              <w:divBdr>
                <w:top w:val="none" w:sz="0" w:space="0" w:color="auto"/>
                <w:left w:val="none" w:sz="0" w:space="0" w:color="auto"/>
                <w:bottom w:val="none" w:sz="0" w:space="0" w:color="auto"/>
                <w:right w:val="none" w:sz="0" w:space="0" w:color="auto"/>
              </w:divBdr>
              <w:divsChild>
                <w:div w:id="1626228700">
                  <w:marLeft w:val="0"/>
                  <w:marRight w:val="0"/>
                  <w:marTop w:val="0"/>
                  <w:marBottom w:val="0"/>
                  <w:divBdr>
                    <w:top w:val="none" w:sz="0" w:space="0" w:color="auto"/>
                    <w:left w:val="none" w:sz="0" w:space="0" w:color="auto"/>
                    <w:bottom w:val="none" w:sz="0" w:space="0" w:color="auto"/>
                    <w:right w:val="none" w:sz="0" w:space="0" w:color="auto"/>
                  </w:divBdr>
                  <w:divsChild>
                    <w:div w:id="209075650">
                      <w:marLeft w:val="0"/>
                      <w:marRight w:val="0"/>
                      <w:marTop w:val="0"/>
                      <w:marBottom w:val="0"/>
                      <w:divBdr>
                        <w:top w:val="none" w:sz="0" w:space="0" w:color="auto"/>
                        <w:left w:val="none" w:sz="0" w:space="0" w:color="auto"/>
                        <w:bottom w:val="none" w:sz="0" w:space="0" w:color="auto"/>
                        <w:right w:val="none" w:sz="0" w:space="0" w:color="auto"/>
                      </w:divBdr>
                      <w:divsChild>
                        <w:div w:id="332227131">
                          <w:marLeft w:val="0"/>
                          <w:marRight w:val="0"/>
                          <w:marTop w:val="0"/>
                          <w:marBottom w:val="0"/>
                          <w:divBdr>
                            <w:top w:val="none" w:sz="0" w:space="0" w:color="auto"/>
                            <w:left w:val="none" w:sz="0" w:space="0" w:color="auto"/>
                            <w:bottom w:val="none" w:sz="0" w:space="0" w:color="auto"/>
                            <w:right w:val="none" w:sz="0" w:space="0" w:color="auto"/>
                          </w:divBdr>
                          <w:divsChild>
                            <w:div w:id="9424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977640">
      <w:bodyDiv w:val="1"/>
      <w:marLeft w:val="0"/>
      <w:marRight w:val="0"/>
      <w:marTop w:val="0"/>
      <w:marBottom w:val="0"/>
      <w:divBdr>
        <w:top w:val="none" w:sz="0" w:space="0" w:color="auto"/>
        <w:left w:val="none" w:sz="0" w:space="0" w:color="auto"/>
        <w:bottom w:val="none" w:sz="0" w:space="0" w:color="auto"/>
        <w:right w:val="none" w:sz="0" w:space="0" w:color="auto"/>
      </w:divBdr>
      <w:divsChild>
        <w:div w:id="754590470">
          <w:marLeft w:val="0"/>
          <w:marRight w:val="0"/>
          <w:marTop w:val="0"/>
          <w:marBottom w:val="0"/>
          <w:divBdr>
            <w:top w:val="none" w:sz="0" w:space="0" w:color="auto"/>
            <w:left w:val="none" w:sz="0" w:space="0" w:color="auto"/>
            <w:bottom w:val="none" w:sz="0" w:space="0" w:color="auto"/>
            <w:right w:val="none" w:sz="0" w:space="0" w:color="auto"/>
          </w:divBdr>
          <w:divsChild>
            <w:div w:id="1812626852">
              <w:marLeft w:val="0"/>
              <w:marRight w:val="0"/>
              <w:marTop w:val="0"/>
              <w:marBottom w:val="0"/>
              <w:divBdr>
                <w:top w:val="none" w:sz="0" w:space="0" w:color="auto"/>
                <w:left w:val="none" w:sz="0" w:space="0" w:color="auto"/>
                <w:bottom w:val="none" w:sz="0" w:space="0" w:color="auto"/>
                <w:right w:val="none" w:sz="0" w:space="0" w:color="auto"/>
              </w:divBdr>
              <w:divsChild>
                <w:div w:id="568618778">
                  <w:marLeft w:val="0"/>
                  <w:marRight w:val="0"/>
                  <w:marTop w:val="0"/>
                  <w:marBottom w:val="0"/>
                  <w:divBdr>
                    <w:top w:val="none" w:sz="0" w:space="0" w:color="auto"/>
                    <w:left w:val="none" w:sz="0" w:space="0" w:color="auto"/>
                    <w:bottom w:val="none" w:sz="0" w:space="0" w:color="auto"/>
                    <w:right w:val="none" w:sz="0" w:space="0" w:color="auto"/>
                  </w:divBdr>
                  <w:divsChild>
                    <w:div w:id="34501367">
                      <w:marLeft w:val="0"/>
                      <w:marRight w:val="0"/>
                      <w:marTop w:val="0"/>
                      <w:marBottom w:val="0"/>
                      <w:divBdr>
                        <w:top w:val="none" w:sz="0" w:space="0" w:color="auto"/>
                        <w:left w:val="none" w:sz="0" w:space="0" w:color="auto"/>
                        <w:bottom w:val="none" w:sz="0" w:space="0" w:color="auto"/>
                        <w:right w:val="none" w:sz="0" w:space="0" w:color="auto"/>
                      </w:divBdr>
                      <w:divsChild>
                        <w:div w:id="865021305">
                          <w:marLeft w:val="0"/>
                          <w:marRight w:val="0"/>
                          <w:marTop w:val="0"/>
                          <w:marBottom w:val="0"/>
                          <w:divBdr>
                            <w:top w:val="none" w:sz="0" w:space="0" w:color="auto"/>
                            <w:left w:val="none" w:sz="0" w:space="0" w:color="auto"/>
                            <w:bottom w:val="none" w:sz="0" w:space="0" w:color="auto"/>
                            <w:right w:val="none" w:sz="0" w:space="0" w:color="auto"/>
                          </w:divBdr>
                          <w:divsChild>
                            <w:div w:id="21052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961703">
      <w:bodyDiv w:val="1"/>
      <w:marLeft w:val="0"/>
      <w:marRight w:val="0"/>
      <w:marTop w:val="0"/>
      <w:marBottom w:val="0"/>
      <w:divBdr>
        <w:top w:val="none" w:sz="0" w:space="0" w:color="auto"/>
        <w:left w:val="none" w:sz="0" w:space="0" w:color="auto"/>
        <w:bottom w:val="none" w:sz="0" w:space="0" w:color="auto"/>
        <w:right w:val="none" w:sz="0" w:space="0" w:color="auto"/>
      </w:divBdr>
      <w:divsChild>
        <w:div w:id="491336522">
          <w:marLeft w:val="0"/>
          <w:marRight w:val="0"/>
          <w:marTop w:val="0"/>
          <w:marBottom w:val="0"/>
          <w:divBdr>
            <w:top w:val="none" w:sz="0" w:space="0" w:color="auto"/>
            <w:left w:val="none" w:sz="0" w:space="0" w:color="auto"/>
            <w:bottom w:val="none" w:sz="0" w:space="0" w:color="auto"/>
            <w:right w:val="none" w:sz="0" w:space="0" w:color="auto"/>
          </w:divBdr>
          <w:divsChild>
            <w:div w:id="1018121742">
              <w:marLeft w:val="0"/>
              <w:marRight w:val="0"/>
              <w:marTop w:val="0"/>
              <w:marBottom w:val="0"/>
              <w:divBdr>
                <w:top w:val="none" w:sz="0" w:space="0" w:color="auto"/>
                <w:left w:val="none" w:sz="0" w:space="0" w:color="auto"/>
                <w:bottom w:val="none" w:sz="0" w:space="0" w:color="auto"/>
                <w:right w:val="none" w:sz="0" w:space="0" w:color="auto"/>
              </w:divBdr>
              <w:divsChild>
                <w:div w:id="157156754">
                  <w:marLeft w:val="0"/>
                  <w:marRight w:val="0"/>
                  <w:marTop w:val="0"/>
                  <w:marBottom w:val="0"/>
                  <w:divBdr>
                    <w:top w:val="none" w:sz="0" w:space="0" w:color="auto"/>
                    <w:left w:val="none" w:sz="0" w:space="0" w:color="auto"/>
                    <w:bottom w:val="none" w:sz="0" w:space="0" w:color="auto"/>
                    <w:right w:val="none" w:sz="0" w:space="0" w:color="auto"/>
                  </w:divBdr>
                  <w:divsChild>
                    <w:div w:id="490876665">
                      <w:marLeft w:val="0"/>
                      <w:marRight w:val="0"/>
                      <w:marTop w:val="0"/>
                      <w:marBottom w:val="0"/>
                      <w:divBdr>
                        <w:top w:val="none" w:sz="0" w:space="0" w:color="auto"/>
                        <w:left w:val="none" w:sz="0" w:space="0" w:color="auto"/>
                        <w:bottom w:val="none" w:sz="0" w:space="0" w:color="auto"/>
                        <w:right w:val="none" w:sz="0" w:space="0" w:color="auto"/>
                      </w:divBdr>
                      <w:divsChild>
                        <w:div w:id="336004027">
                          <w:marLeft w:val="0"/>
                          <w:marRight w:val="0"/>
                          <w:marTop w:val="0"/>
                          <w:marBottom w:val="0"/>
                          <w:divBdr>
                            <w:top w:val="none" w:sz="0" w:space="0" w:color="auto"/>
                            <w:left w:val="none" w:sz="0" w:space="0" w:color="auto"/>
                            <w:bottom w:val="none" w:sz="0" w:space="0" w:color="auto"/>
                            <w:right w:val="none" w:sz="0" w:space="0" w:color="auto"/>
                          </w:divBdr>
                          <w:divsChild>
                            <w:div w:id="155674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967243">
      <w:bodyDiv w:val="1"/>
      <w:marLeft w:val="0"/>
      <w:marRight w:val="0"/>
      <w:marTop w:val="0"/>
      <w:marBottom w:val="0"/>
      <w:divBdr>
        <w:top w:val="none" w:sz="0" w:space="0" w:color="auto"/>
        <w:left w:val="none" w:sz="0" w:space="0" w:color="auto"/>
        <w:bottom w:val="none" w:sz="0" w:space="0" w:color="auto"/>
        <w:right w:val="none" w:sz="0" w:space="0" w:color="auto"/>
      </w:divBdr>
      <w:divsChild>
        <w:div w:id="913590358">
          <w:marLeft w:val="0"/>
          <w:marRight w:val="0"/>
          <w:marTop w:val="0"/>
          <w:marBottom w:val="0"/>
          <w:divBdr>
            <w:top w:val="none" w:sz="0" w:space="0" w:color="auto"/>
            <w:left w:val="none" w:sz="0" w:space="0" w:color="auto"/>
            <w:bottom w:val="none" w:sz="0" w:space="0" w:color="auto"/>
            <w:right w:val="none" w:sz="0" w:space="0" w:color="auto"/>
          </w:divBdr>
          <w:divsChild>
            <w:div w:id="1728724357">
              <w:marLeft w:val="0"/>
              <w:marRight w:val="0"/>
              <w:marTop w:val="0"/>
              <w:marBottom w:val="0"/>
              <w:divBdr>
                <w:top w:val="none" w:sz="0" w:space="0" w:color="auto"/>
                <w:left w:val="none" w:sz="0" w:space="0" w:color="auto"/>
                <w:bottom w:val="none" w:sz="0" w:space="0" w:color="auto"/>
                <w:right w:val="none" w:sz="0" w:space="0" w:color="auto"/>
              </w:divBdr>
              <w:divsChild>
                <w:div w:id="1025519442">
                  <w:marLeft w:val="0"/>
                  <w:marRight w:val="0"/>
                  <w:marTop w:val="0"/>
                  <w:marBottom w:val="0"/>
                  <w:divBdr>
                    <w:top w:val="none" w:sz="0" w:space="0" w:color="auto"/>
                    <w:left w:val="none" w:sz="0" w:space="0" w:color="auto"/>
                    <w:bottom w:val="none" w:sz="0" w:space="0" w:color="auto"/>
                    <w:right w:val="none" w:sz="0" w:space="0" w:color="auto"/>
                  </w:divBdr>
                  <w:divsChild>
                    <w:div w:id="291443354">
                      <w:marLeft w:val="0"/>
                      <w:marRight w:val="0"/>
                      <w:marTop w:val="0"/>
                      <w:marBottom w:val="0"/>
                      <w:divBdr>
                        <w:top w:val="none" w:sz="0" w:space="0" w:color="auto"/>
                        <w:left w:val="none" w:sz="0" w:space="0" w:color="auto"/>
                        <w:bottom w:val="none" w:sz="0" w:space="0" w:color="auto"/>
                        <w:right w:val="none" w:sz="0" w:space="0" w:color="auto"/>
                      </w:divBdr>
                      <w:divsChild>
                        <w:div w:id="1329210778">
                          <w:marLeft w:val="0"/>
                          <w:marRight w:val="0"/>
                          <w:marTop w:val="0"/>
                          <w:marBottom w:val="0"/>
                          <w:divBdr>
                            <w:top w:val="none" w:sz="0" w:space="0" w:color="auto"/>
                            <w:left w:val="none" w:sz="0" w:space="0" w:color="auto"/>
                            <w:bottom w:val="none" w:sz="0" w:space="0" w:color="auto"/>
                            <w:right w:val="none" w:sz="0" w:space="0" w:color="auto"/>
                          </w:divBdr>
                          <w:divsChild>
                            <w:div w:id="7560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78652">
      <w:bodyDiv w:val="1"/>
      <w:marLeft w:val="0"/>
      <w:marRight w:val="0"/>
      <w:marTop w:val="0"/>
      <w:marBottom w:val="0"/>
      <w:divBdr>
        <w:top w:val="none" w:sz="0" w:space="0" w:color="auto"/>
        <w:left w:val="none" w:sz="0" w:space="0" w:color="auto"/>
        <w:bottom w:val="none" w:sz="0" w:space="0" w:color="auto"/>
        <w:right w:val="none" w:sz="0" w:space="0" w:color="auto"/>
      </w:divBdr>
      <w:divsChild>
        <w:div w:id="1368260903">
          <w:marLeft w:val="0"/>
          <w:marRight w:val="0"/>
          <w:marTop w:val="0"/>
          <w:marBottom w:val="0"/>
          <w:divBdr>
            <w:top w:val="none" w:sz="0" w:space="0" w:color="auto"/>
            <w:left w:val="none" w:sz="0" w:space="0" w:color="auto"/>
            <w:bottom w:val="none" w:sz="0" w:space="0" w:color="auto"/>
            <w:right w:val="none" w:sz="0" w:space="0" w:color="auto"/>
          </w:divBdr>
          <w:divsChild>
            <w:div w:id="364721158">
              <w:marLeft w:val="0"/>
              <w:marRight w:val="0"/>
              <w:marTop w:val="0"/>
              <w:marBottom w:val="0"/>
              <w:divBdr>
                <w:top w:val="none" w:sz="0" w:space="0" w:color="auto"/>
                <w:left w:val="none" w:sz="0" w:space="0" w:color="auto"/>
                <w:bottom w:val="none" w:sz="0" w:space="0" w:color="auto"/>
                <w:right w:val="none" w:sz="0" w:space="0" w:color="auto"/>
              </w:divBdr>
              <w:divsChild>
                <w:div w:id="1646154475">
                  <w:marLeft w:val="0"/>
                  <w:marRight w:val="0"/>
                  <w:marTop w:val="0"/>
                  <w:marBottom w:val="0"/>
                  <w:divBdr>
                    <w:top w:val="none" w:sz="0" w:space="0" w:color="auto"/>
                    <w:left w:val="none" w:sz="0" w:space="0" w:color="auto"/>
                    <w:bottom w:val="none" w:sz="0" w:space="0" w:color="auto"/>
                    <w:right w:val="none" w:sz="0" w:space="0" w:color="auto"/>
                  </w:divBdr>
                  <w:divsChild>
                    <w:div w:id="24213044">
                      <w:marLeft w:val="0"/>
                      <w:marRight w:val="0"/>
                      <w:marTop w:val="0"/>
                      <w:marBottom w:val="0"/>
                      <w:divBdr>
                        <w:top w:val="none" w:sz="0" w:space="0" w:color="auto"/>
                        <w:left w:val="none" w:sz="0" w:space="0" w:color="auto"/>
                        <w:bottom w:val="none" w:sz="0" w:space="0" w:color="auto"/>
                        <w:right w:val="none" w:sz="0" w:space="0" w:color="auto"/>
                      </w:divBdr>
                      <w:divsChild>
                        <w:div w:id="1124695769">
                          <w:marLeft w:val="0"/>
                          <w:marRight w:val="0"/>
                          <w:marTop w:val="0"/>
                          <w:marBottom w:val="0"/>
                          <w:divBdr>
                            <w:top w:val="none" w:sz="0" w:space="0" w:color="auto"/>
                            <w:left w:val="none" w:sz="0" w:space="0" w:color="auto"/>
                            <w:bottom w:val="none" w:sz="0" w:space="0" w:color="auto"/>
                            <w:right w:val="none" w:sz="0" w:space="0" w:color="auto"/>
                          </w:divBdr>
                          <w:divsChild>
                            <w:div w:id="158808824">
                              <w:marLeft w:val="0"/>
                              <w:marRight w:val="0"/>
                              <w:marTop w:val="0"/>
                              <w:marBottom w:val="0"/>
                              <w:divBdr>
                                <w:top w:val="none" w:sz="0" w:space="0" w:color="auto"/>
                                <w:left w:val="none" w:sz="0" w:space="0" w:color="auto"/>
                                <w:bottom w:val="none" w:sz="0" w:space="0" w:color="auto"/>
                                <w:right w:val="none" w:sz="0" w:space="0" w:color="auto"/>
                              </w:divBdr>
                              <w:divsChild>
                                <w:div w:id="110246479">
                                  <w:marLeft w:val="0"/>
                                  <w:marRight w:val="0"/>
                                  <w:marTop w:val="0"/>
                                  <w:marBottom w:val="0"/>
                                  <w:divBdr>
                                    <w:top w:val="none" w:sz="0" w:space="0" w:color="auto"/>
                                    <w:left w:val="none" w:sz="0" w:space="0" w:color="auto"/>
                                    <w:bottom w:val="none" w:sz="0" w:space="0" w:color="auto"/>
                                    <w:right w:val="none" w:sz="0" w:space="0" w:color="auto"/>
                                  </w:divBdr>
                                  <w:divsChild>
                                    <w:div w:id="1982802840">
                                      <w:marLeft w:val="0"/>
                                      <w:marRight w:val="0"/>
                                      <w:marTop w:val="0"/>
                                      <w:marBottom w:val="0"/>
                                      <w:divBdr>
                                        <w:top w:val="none" w:sz="0" w:space="0" w:color="auto"/>
                                        <w:left w:val="none" w:sz="0" w:space="0" w:color="auto"/>
                                        <w:bottom w:val="none" w:sz="0" w:space="0" w:color="auto"/>
                                        <w:right w:val="none" w:sz="0" w:space="0" w:color="auto"/>
                                      </w:divBdr>
                                    </w:div>
                                    <w:div w:id="3242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7884">
      <w:bodyDiv w:val="1"/>
      <w:marLeft w:val="0"/>
      <w:marRight w:val="0"/>
      <w:marTop w:val="0"/>
      <w:marBottom w:val="0"/>
      <w:divBdr>
        <w:top w:val="none" w:sz="0" w:space="0" w:color="auto"/>
        <w:left w:val="none" w:sz="0" w:space="0" w:color="auto"/>
        <w:bottom w:val="none" w:sz="0" w:space="0" w:color="auto"/>
        <w:right w:val="none" w:sz="0" w:space="0" w:color="auto"/>
      </w:divBdr>
    </w:div>
    <w:div w:id="1207067754">
      <w:bodyDiv w:val="1"/>
      <w:marLeft w:val="0"/>
      <w:marRight w:val="0"/>
      <w:marTop w:val="0"/>
      <w:marBottom w:val="0"/>
      <w:divBdr>
        <w:top w:val="none" w:sz="0" w:space="0" w:color="auto"/>
        <w:left w:val="none" w:sz="0" w:space="0" w:color="auto"/>
        <w:bottom w:val="none" w:sz="0" w:space="0" w:color="auto"/>
        <w:right w:val="none" w:sz="0" w:space="0" w:color="auto"/>
      </w:divBdr>
      <w:divsChild>
        <w:div w:id="1683164062">
          <w:marLeft w:val="0"/>
          <w:marRight w:val="0"/>
          <w:marTop w:val="0"/>
          <w:marBottom w:val="0"/>
          <w:divBdr>
            <w:top w:val="none" w:sz="0" w:space="0" w:color="auto"/>
            <w:left w:val="none" w:sz="0" w:space="0" w:color="auto"/>
            <w:bottom w:val="none" w:sz="0" w:space="0" w:color="auto"/>
            <w:right w:val="none" w:sz="0" w:space="0" w:color="auto"/>
          </w:divBdr>
          <w:divsChild>
            <w:div w:id="839544645">
              <w:marLeft w:val="0"/>
              <w:marRight w:val="0"/>
              <w:marTop w:val="0"/>
              <w:marBottom w:val="0"/>
              <w:divBdr>
                <w:top w:val="none" w:sz="0" w:space="0" w:color="auto"/>
                <w:left w:val="none" w:sz="0" w:space="0" w:color="auto"/>
                <w:bottom w:val="none" w:sz="0" w:space="0" w:color="auto"/>
                <w:right w:val="none" w:sz="0" w:space="0" w:color="auto"/>
              </w:divBdr>
              <w:divsChild>
                <w:div w:id="1442872850">
                  <w:marLeft w:val="0"/>
                  <w:marRight w:val="0"/>
                  <w:marTop w:val="0"/>
                  <w:marBottom w:val="0"/>
                  <w:divBdr>
                    <w:top w:val="none" w:sz="0" w:space="0" w:color="auto"/>
                    <w:left w:val="none" w:sz="0" w:space="0" w:color="auto"/>
                    <w:bottom w:val="none" w:sz="0" w:space="0" w:color="auto"/>
                    <w:right w:val="none" w:sz="0" w:space="0" w:color="auto"/>
                  </w:divBdr>
                  <w:divsChild>
                    <w:div w:id="367024410">
                      <w:marLeft w:val="0"/>
                      <w:marRight w:val="0"/>
                      <w:marTop w:val="0"/>
                      <w:marBottom w:val="0"/>
                      <w:divBdr>
                        <w:top w:val="none" w:sz="0" w:space="0" w:color="auto"/>
                        <w:left w:val="none" w:sz="0" w:space="0" w:color="auto"/>
                        <w:bottom w:val="none" w:sz="0" w:space="0" w:color="auto"/>
                        <w:right w:val="none" w:sz="0" w:space="0" w:color="auto"/>
                      </w:divBdr>
                      <w:divsChild>
                        <w:div w:id="1552224795">
                          <w:marLeft w:val="0"/>
                          <w:marRight w:val="0"/>
                          <w:marTop w:val="0"/>
                          <w:marBottom w:val="0"/>
                          <w:divBdr>
                            <w:top w:val="none" w:sz="0" w:space="0" w:color="auto"/>
                            <w:left w:val="none" w:sz="0" w:space="0" w:color="auto"/>
                            <w:bottom w:val="none" w:sz="0" w:space="0" w:color="auto"/>
                            <w:right w:val="none" w:sz="0" w:space="0" w:color="auto"/>
                          </w:divBdr>
                          <w:divsChild>
                            <w:div w:id="5408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406908">
      <w:bodyDiv w:val="1"/>
      <w:marLeft w:val="0"/>
      <w:marRight w:val="0"/>
      <w:marTop w:val="0"/>
      <w:marBottom w:val="0"/>
      <w:divBdr>
        <w:top w:val="none" w:sz="0" w:space="0" w:color="auto"/>
        <w:left w:val="none" w:sz="0" w:space="0" w:color="auto"/>
        <w:bottom w:val="none" w:sz="0" w:space="0" w:color="auto"/>
        <w:right w:val="none" w:sz="0" w:space="0" w:color="auto"/>
      </w:divBdr>
      <w:divsChild>
        <w:div w:id="877624968">
          <w:marLeft w:val="0"/>
          <w:marRight w:val="0"/>
          <w:marTop w:val="0"/>
          <w:marBottom w:val="0"/>
          <w:divBdr>
            <w:top w:val="none" w:sz="0" w:space="0" w:color="auto"/>
            <w:left w:val="none" w:sz="0" w:space="0" w:color="auto"/>
            <w:bottom w:val="none" w:sz="0" w:space="0" w:color="auto"/>
            <w:right w:val="none" w:sz="0" w:space="0" w:color="auto"/>
          </w:divBdr>
          <w:divsChild>
            <w:div w:id="393503178">
              <w:marLeft w:val="0"/>
              <w:marRight w:val="0"/>
              <w:marTop w:val="0"/>
              <w:marBottom w:val="0"/>
              <w:divBdr>
                <w:top w:val="none" w:sz="0" w:space="0" w:color="auto"/>
                <w:left w:val="none" w:sz="0" w:space="0" w:color="auto"/>
                <w:bottom w:val="none" w:sz="0" w:space="0" w:color="auto"/>
                <w:right w:val="none" w:sz="0" w:space="0" w:color="auto"/>
              </w:divBdr>
              <w:divsChild>
                <w:div w:id="1454669536">
                  <w:marLeft w:val="0"/>
                  <w:marRight w:val="0"/>
                  <w:marTop w:val="0"/>
                  <w:marBottom w:val="0"/>
                  <w:divBdr>
                    <w:top w:val="none" w:sz="0" w:space="0" w:color="auto"/>
                    <w:left w:val="none" w:sz="0" w:space="0" w:color="auto"/>
                    <w:bottom w:val="none" w:sz="0" w:space="0" w:color="auto"/>
                    <w:right w:val="none" w:sz="0" w:space="0" w:color="auto"/>
                  </w:divBdr>
                  <w:divsChild>
                    <w:div w:id="1229878990">
                      <w:marLeft w:val="0"/>
                      <w:marRight w:val="0"/>
                      <w:marTop w:val="0"/>
                      <w:marBottom w:val="0"/>
                      <w:divBdr>
                        <w:top w:val="none" w:sz="0" w:space="0" w:color="auto"/>
                        <w:left w:val="none" w:sz="0" w:space="0" w:color="auto"/>
                        <w:bottom w:val="none" w:sz="0" w:space="0" w:color="auto"/>
                        <w:right w:val="none" w:sz="0" w:space="0" w:color="auto"/>
                      </w:divBdr>
                      <w:divsChild>
                        <w:div w:id="2364539">
                          <w:marLeft w:val="0"/>
                          <w:marRight w:val="0"/>
                          <w:marTop w:val="0"/>
                          <w:marBottom w:val="0"/>
                          <w:divBdr>
                            <w:top w:val="none" w:sz="0" w:space="0" w:color="auto"/>
                            <w:left w:val="none" w:sz="0" w:space="0" w:color="auto"/>
                            <w:bottom w:val="none" w:sz="0" w:space="0" w:color="auto"/>
                            <w:right w:val="none" w:sz="0" w:space="0" w:color="auto"/>
                          </w:divBdr>
                          <w:divsChild>
                            <w:div w:id="5831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899602">
      <w:bodyDiv w:val="1"/>
      <w:marLeft w:val="0"/>
      <w:marRight w:val="0"/>
      <w:marTop w:val="0"/>
      <w:marBottom w:val="0"/>
      <w:divBdr>
        <w:top w:val="none" w:sz="0" w:space="0" w:color="auto"/>
        <w:left w:val="none" w:sz="0" w:space="0" w:color="auto"/>
        <w:bottom w:val="none" w:sz="0" w:space="0" w:color="auto"/>
        <w:right w:val="none" w:sz="0" w:space="0" w:color="auto"/>
      </w:divBdr>
    </w:div>
    <w:div w:id="1333489732">
      <w:bodyDiv w:val="1"/>
      <w:marLeft w:val="0"/>
      <w:marRight w:val="0"/>
      <w:marTop w:val="0"/>
      <w:marBottom w:val="0"/>
      <w:divBdr>
        <w:top w:val="none" w:sz="0" w:space="0" w:color="auto"/>
        <w:left w:val="none" w:sz="0" w:space="0" w:color="auto"/>
        <w:bottom w:val="none" w:sz="0" w:space="0" w:color="auto"/>
        <w:right w:val="none" w:sz="0" w:space="0" w:color="auto"/>
      </w:divBdr>
      <w:divsChild>
        <w:div w:id="972831643">
          <w:marLeft w:val="0"/>
          <w:marRight w:val="0"/>
          <w:marTop w:val="0"/>
          <w:marBottom w:val="0"/>
          <w:divBdr>
            <w:top w:val="none" w:sz="0" w:space="0" w:color="auto"/>
            <w:left w:val="none" w:sz="0" w:space="0" w:color="auto"/>
            <w:bottom w:val="none" w:sz="0" w:space="0" w:color="auto"/>
            <w:right w:val="none" w:sz="0" w:space="0" w:color="auto"/>
          </w:divBdr>
          <w:divsChild>
            <w:div w:id="1390807662">
              <w:marLeft w:val="0"/>
              <w:marRight w:val="0"/>
              <w:marTop w:val="0"/>
              <w:marBottom w:val="0"/>
              <w:divBdr>
                <w:top w:val="none" w:sz="0" w:space="0" w:color="auto"/>
                <w:left w:val="none" w:sz="0" w:space="0" w:color="auto"/>
                <w:bottom w:val="none" w:sz="0" w:space="0" w:color="auto"/>
                <w:right w:val="none" w:sz="0" w:space="0" w:color="auto"/>
              </w:divBdr>
              <w:divsChild>
                <w:div w:id="677394131">
                  <w:marLeft w:val="0"/>
                  <w:marRight w:val="0"/>
                  <w:marTop w:val="0"/>
                  <w:marBottom w:val="0"/>
                  <w:divBdr>
                    <w:top w:val="none" w:sz="0" w:space="0" w:color="auto"/>
                    <w:left w:val="none" w:sz="0" w:space="0" w:color="auto"/>
                    <w:bottom w:val="none" w:sz="0" w:space="0" w:color="auto"/>
                    <w:right w:val="none" w:sz="0" w:space="0" w:color="auto"/>
                  </w:divBdr>
                  <w:divsChild>
                    <w:div w:id="1914775542">
                      <w:marLeft w:val="0"/>
                      <w:marRight w:val="0"/>
                      <w:marTop w:val="0"/>
                      <w:marBottom w:val="0"/>
                      <w:divBdr>
                        <w:top w:val="none" w:sz="0" w:space="0" w:color="auto"/>
                        <w:left w:val="none" w:sz="0" w:space="0" w:color="auto"/>
                        <w:bottom w:val="none" w:sz="0" w:space="0" w:color="auto"/>
                        <w:right w:val="none" w:sz="0" w:space="0" w:color="auto"/>
                      </w:divBdr>
                      <w:divsChild>
                        <w:div w:id="1877110641">
                          <w:marLeft w:val="0"/>
                          <w:marRight w:val="0"/>
                          <w:marTop w:val="0"/>
                          <w:marBottom w:val="0"/>
                          <w:divBdr>
                            <w:top w:val="none" w:sz="0" w:space="0" w:color="auto"/>
                            <w:left w:val="none" w:sz="0" w:space="0" w:color="auto"/>
                            <w:bottom w:val="none" w:sz="0" w:space="0" w:color="auto"/>
                            <w:right w:val="none" w:sz="0" w:space="0" w:color="auto"/>
                          </w:divBdr>
                          <w:divsChild>
                            <w:div w:id="212981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047572">
      <w:bodyDiv w:val="1"/>
      <w:marLeft w:val="0"/>
      <w:marRight w:val="0"/>
      <w:marTop w:val="0"/>
      <w:marBottom w:val="0"/>
      <w:divBdr>
        <w:top w:val="none" w:sz="0" w:space="0" w:color="auto"/>
        <w:left w:val="none" w:sz="0" w:space="0" w:color="auto"/>
        <w:bottom w:val="none" w:sz="0" w:space="0" w:color="auto"/>
        <w:right w:val="none" w:sz="0" w:space="0" w:color="auto"/>
      </w:divBdr>
    </w:div>
    <w:div w:id="1376464124">
      <w:bodyDiv w:val="1"/>
      <w:marLeft w:val="0"/>
      <w:marRight w:val="0"/>
      <w:marTop w:val="0"/>
      <w:marBottom w:val="0"/>
      <w:divBdr>
        <w:top w:val="none" w:sz="0" w:space="0" w:color="auto"/>
        <w:left w:val="none" w:sz="0" w:space="0" w:color="auto"/>
        <w:bottom w:val="none" w:sz="0" w:space="0" w:color="auto"/>
        <w:right w:val="none" w:sz="0" w:space="0" w:color="auto"/>
      </w:divBdr>
      <w:divsChild>
        <w:div w:id="999772935">
          <w:marLeft w:val="0"/>
          <w:marRight w:val="0"/>
          <w:marTop w:val="0"/>
          <w:marBottom w:val="0"/>
          <w:divBdr>
            <w:top w:val="none" w:sz="0" w:space="0" w:color="auto"/>
            <w:left w:val="none" w:sz="0" w:space="0" w:color="auto"/>
            <w:bottom w:val="none" w:sz="0" w:space="0" w:color="auto"/>
            <w:right w:val="none" w:sz="0" w:space="0" w:color="auto"/>
          </w:divBdr>
          <w:divsChild>
            <w:div w:id="1105737106">
              <w:marLeft w:val="0"/>
              <w:marRight w:val="0"/>
              <w:marTop w:val="0"/>
              <w:marBottom w:val="0"/>
              <w:divBdr>
                <w:top w:val="none" w:sz="0" w:space="0" w:color="auto"/>
                <w:left w:val="none" w:sz="0" w:space="0" w:color="auto"/>
                <w:bottom w:val="none" w:sz="0" w:space="0" w:color="auto"/>
                <w:right w:val="none" w:sz="0" w:space="0" w:color="auto"/>
              </w:divBdr>
              <w:divsChild>
                <w:div w:id="2022513334">
                  <w:marLeft w:val="0"/>
                  <w:marRight w:val="0"/>
                  <w:marTop w:val="0"/>
                  <w:marBottom w:val="0"/>
                  <w:divBdr>
                    <w:top w:val="none" w:sz="0" w:space="0" w:color="auto"/>
                    <w:left w:val="none" w:sz="0" w:space="0" w:color="auto"/>
                    <w:bottom w:val="none" w:sz="0" w:space="0" w:color="auto"/>
                    <w:right w:val="none" w:sz="0" w:space="0" w:color="auto"/>
                  </w:divBdr>
                  <w:divsChild>
                    <w:div w:id="1050493366">
                      <w:marLeft w:val="0"/>
                      <w:marRight w:val="0"/>
                      <w:marTop w:val="0"/>
                      <w:marBottom w:val="0"/>
                      <w:divBdr>
                        <w:top w:val="none" w:sz="0" w:space="0" w:color="auto"/>
                        <w:left w:val="none" w:sz="0" w:space="0" w:color="auto"/>
                        <w:bottom w:val="none" w:sz="0" w:space="0" w:color="auto"/>
                        <w:right w:val="none" w:sz="0" w:space="0" w:color="auto"/>
                      </w:divBdr>
                      <w:divsChild>
                        <w:div w:id="624896221">
                          <w:marLeft w:val="0"/>
                          <w:marRight w:val="0"/>
                          <w:marTop w:val="0"/>
                          <w:marBottom w:val="0"/>
                          <w:divBdr>
                            <w:top w:val="none" w:sz="0" w:space="0" w:color="auto"/>
                            <w:left w:val="none" w:sz="0" w:space="0" w:color="auto"/>
                            <w:bottom w:val="none" w:sz="0" w:space="0" w:color="auto"/>
                            <w:right w:val="none" w:sz="0" w:space="0" w:color="auto"/>
                          </w:divBdr>
                          <w:divsChild>
                            <w:div w:id="48097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120299">
      <w:bodyDiv w:val="1"/>
      <w:marLeft w:val="0"/>
      <w:marRight w:val="0"/>
      <w:marTop w:val="0"/>
      <w:marBottom w:val="0"/>
      <w:divBdr>
        <w:top w:val="none" w:sz="0" w:space="0" w:color="auto"/>
        <w:left w:val="none" w:sz="0" w:space="0" w:color="auto"/>
        <w:bottom w:val="none" w:sz="0" w:space="0" w:color="auto"/>
        <w:right w:val="none" w:sz="0" w:space="0" w:color="auto"/>
      </w:divBdr>
      <w:divsChild>
        <w:div w:id="1892838770">
          <w:marLeft w:val="0"/>
          <w:marRight w:val="0"/>
          <w:marTop w:val="0"/>
          <w:marBottom w:val="0"/>
          <w:divBdr>
            <w:top w:val="none" w:sz="0" w:space="0" w:color="auto"/>
            <w:left w:val="none" w:sz="0" w:space="0" w:color="auto"/>
            <w:bottom w:val="none" w:sz="0" w:space="0" w:color="auto"/>
            <w:right w:val="none" w:sz="0" w:space="0" w:color="auto"/>
          </w:divBdr>
          <w:divsChild>
            <w:div w:id="1204830716">
              <w:marLeft w:val="0"/>
              <w:marRight w:val="0"/>
              <w:marTop w:val="0"/>
              <w:marBottom w:val="0"/>
              <w:divBdr>
                <w:top w:val="none" w:sz="0" w:space="0" w:color="auto"/>
                <w:left w:val="none" w:sz="0" w:space="0" w:color="auto"/>
                <w:bottom w:val="none" w:sz="0" w:space="0" w:color="auto"/>
                <w:right w:val="none" w:sz="0" w:space="0" w:color="auto"/>
              </w:divBdr>
              <w:divsChild>
                <w:div w:id="70541741">
                  <w:marLeft w:val="0"/>
                  <w:marRight w:val="0"/>
                  <w:marTop w:val="0"/>
                  <w:marBottom w:val="0"/>
                  <w:divBdr>
                    <w:top w:val="none" w:sz="0" w:space="0" w:color="auto"/>
                    <w:left w:val="none" w:sz="0" w:space="0" w:color="auto"/>
                    <w:bottom w:val="none" w:sz="0" w:space="0" w:color="auto"/>
                    <w:right w:val="none" w:sz="0" w:space="0" w:color="auto"/>
                  </w:divBdr>
                  <w:divsChild>
                    <w:div w:id="290749242">
                      <w:marLeft w:val="0"/>
                      <w:marRight w:val="0"/>
                      <w:marTop w:val="0"/>
                      <w:marBottom w:val="0"/>
                      <w:divBdr>
                        <w:top w:val="none" w:sz="0" w:space="0" w:color="auto"/>
                        <w:left w:val="none" w:sz="0" w:space="0" w:color="auto"/>
                        <w:bottom w:val="none" w:sz="0" w:space="0" w:color="auto"/>
                        <w:right w:val="none" w:sz="0" w:space="0" w:color="auto"/>
                      </w:divBdr>
                      <w:divsChild>
                        <w:div w:id="915015307">
                          <w:marLeft w:val="0"/>
                          <w:marRight w:val="0"/>
                          <w:marTop w:val="0"/>
                          <w:marBottom w:val="0"/>
                          <w:divBdr>
                            <w:top w:val="none" w:sz="0" w:space="0" w:color="auto"/>
                            <w:left w:val="none" w:sz="0" w:space="0" w:color="auto"/>
                            <w:bottom w:val="none" w:sz="0" w:space="0" w:color="auto"/>
                            <w:right w:val="none" w:sz="0" w:space="0" w:color="auto"/>
                          </w:divBdr>
                          <w:divsChild>
                            <w:div w:id="118497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933994">
      <w:bodyDiv w:val="1"/>
      <w:marLeft w:val="0"/>
      <w:marRight w:val="0"/>
      <w:marTop w:val="0"/>
      <w:marBottom w:val="0"/>
      <w:divBdr>
        <w:top w:val="none" w:sz="0" w:space="0" w:color="auto"/>
        <w:left w:val="none" w:sz="0" w:space="0" w:color="auto"/>
        <w:bottom w:val="none" w:sz="0" w:space="0" w:color="auto"/>
        <w:right w:val="none" w:sz="0" w:space="0" w:color="auto"/>
      </w:divBdr>
      <w:divsChild>
        <w:div w:id="534272178">
          <w:marLeft w:val="0"/>
          <w:marRight w:val="0"/>
          <w:marTop w:val="0"/>
          <w:marBottom w:val="0"/>
          <w:divBdr>
            <w:top w:val="none" w:sz="0" w:space="0" w:color="auto"/>
            <w:left w:val="none" w:sz="0" w:space="0" w:color="auto"/>
            <w:bottom w:val="none" w:sz="0" w:space="0" w:color="auto"/>
            <w:right w:val="none" w:sz="0" w:space="0" w:color="auto"/>
          </w:divBdr>
          <w:divsChild>
            <w:div w:id="1860385346">
              <w:marLeft w:val="0"/>
              <w:marRight w:val="0"/>
              <w:marTop w:val="0"/>
              <w:marBottom w:val="0"/>
              <w:divBdr>
                <w:top w:val="none" w:sz="0" w:space="0" w:color="auto"/>
                <w:left w:val="none" w:sz="0" w:space="0" w:color="auto"/>
                <w:bottom w:val="none" w:sz="0" w:space="0" w:color="auto"/>
                <w:right w:val="none" w:sz="0" w:space="0" w:color="auto"/>
              </w:divBdr>
              <w:divsChild>
                <w:div w:id="570389191">
                  <w:marLeft w:val="0"/>
                  <w:marRight w:val="0"/>
                  <w:marTop w:val="0"/>
                  <w:marBottom w:val="0"/>
                  <w:divBdr>
                    <w:top w:val="none" w:sz="0" w:space="0" w:color="auto"/>
                    <w:left w:val="none" w:sz="0" w:space="0" w:color="auto"/>
                    <w:bottom w:val="none" w:sz="0" w:space="0" w:color="auto"/>
                    <w:right w:val="none" w:sz="0" w:space="0" w:color="auto"/>
                  </w:divBdr>
                  <w:divsChild>
                    <w:div w:id="1581865918">
                      <w:marLeft w:val="0"/>
                      <w:marRight w:val="0"/>
                      <w:marTop w:val="0"/>
                      <w:marBottom w:val="0"/>
                      <w:divBdr>
                        <w:top w:val="none" w:sz="0" w:space="0" w:color="auto"/>
                        <w:left w:val="none" w:sz="0" w:space="0" w:color="auto"/>
                        <w:bottom w:val="none" w:sz="0" w:space="0" w:color="auto"/>
                        <w:right w:val="none" w:sz="0" w:space="0" w:color="auto"/>
                      </w:divBdr>
                      <w:divsChild>
                        <w:div w:id="1649942246">
                          <w:marLeft w:val="0"/>
                          <w:marRight w:val="0"/>
                          <w:marTop w:val="0"/>
                          <w:marBottom w:val="0"/>
                          <w:divBdr>
                            <w:top w:val="none" w:sz="0" w:space="0" w:color="auto"/>
                            <w:left w:val="none" w:sz="0" w:space="0" w:color="auto"/>
                            <w:bottom w:val="none" w:sz="0" w:space="0" w:color="auto"/>
                            <w:right w:val="none" w:sz="0" w:space="0" w:color="auto"/>
                          </w:divBdr>
                          <w:divsChild>
                            <w:div w:id="5634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265411">
      <w:bodyDiv w:val="1"/>
      <w:marLeft w:val="0"/>
      <w:marRight w:val="0"/>
      <w:marTop w:val="0"/>
      <w:marBottom w:val="0"/>
      <w:divBdr>
        <w:top w:val="none" w:sz="0" w:space="0" w:color="auto"/>
        <w:left w:val="none" w:sz="0" w:space="0" w:color="auto"/>
        <w:bottom w:val="none" w:sz="0" w:space="0" w:color="auto"/>
        <w:right w:val="none" w:sz="0" w:space="0" w:color="auto"/>
      </w:divBdr>
      <w:divsChild>
        <w:div w:id="754403459">
          <w:marLeft w:val="0"/>
          <w:marRight w:val="0"/>
          <w:marTop w:val="0"/>
          <w:marBottom w:val="0"/>
          <w:divBdr>
            <w:top w:val="none" w:sz="0" w:space="0" w:color="auto"/>
            <w:left w:val="none" w:sz="0" w:space="0" w:color="auto"/>
            <w:bottom w:val="none" w:sz="0" w:space="0" w:color="auto"/>
            <w:right w:val="none" w:sz="0" w:space="0" w:color="auto"/>
          </w:divBdr>
          <w:divsChild>
            <w:div w:id="179704731">
              <w:marLeft w:val="0"/>
              <w:marRight w:val="0"/>
              <w:marTop w:val="0"/>
              <w:marBottom w:val="0"/>
              <w:divBdr>
                <w:top w:val="none" w:sz="0" w:space="0" w:color="auto"/>
                <w:left w:val="none" w:sz="0" w:space="0" w:color="auto"/>
                <w:bottom w:val="none" w:sz="0" w:space="0" w:color="auto"/>
                <w:right w:val="none" w:sz="0" w:space="0" w:color="auto"/>
              </w:divBdr>
              <w:divsChild>
                <w:div w:id="1898130649">
                  <w:marLeft w:val="0"/>
                  <w:marRight w:val="0"/>
                  <w:marTop w:val="0"/>
                  <w:marBottom w:val="0"/>
                  <w:divBdr>
                    <w:top w:val="none" w:sz="0" w:space="0" w:color="auto"/>
                    <w:left w:val="none" w:sz="0" w:space="0" w:color="auto"/>
                    <w:bottom w:val="none" w:sz="0" w:space="0" w:color="auto"/>
                    <w:right w:val="none" w:sz="0" w:space="0" w:color="auto"/>
                  </w:divBdr>
                  <w:divsChild>
                    <w:div w:id="375810615">
                      <w:marLeft w:val="0"/>
                      <w:marRight w:val="0"/>
                      <w:marTop w:val="0"/>
                      <w:marBottom w:val="0"/>
                      <w:divBdr>
                        <w:top w:val="none" w:sz="0" w:space="0" w:color="auto"/>
                        <w:left w:val="none" w:sz="0" w:space="0" w:color="auto"/>
                        <w:bottom w:val="none" w:sz="0" w:space="0" w:color="auto"/>
                        <w:right w:val="none" w:sz="0" w:space="0" w:color="auto"/>
                      </w:divBdr>
                      <w:divsChild>
                        <w:div w:id="1499154264">
                          <w:marLeft w:val="0"/>
                          <w:marRight w:val="0"/>
                          <w:marTop w:val="0"/>
                          <w:marBottom w:val="0"/>
                          <w:divBdr>
                            <w:top w:val="none" w:sz="0" w:space="0" w:color="auto"/>
                            <w:left w:val="none" w:sz="0" w:space="0" w:color="auto"/>
                            <w:bottom w:val="none" w:sz="0" w:space="0" w:color="auto"/>
                            <w:right w:val="none" w:sz="0" w:space="0" w:color="auto"/>
                          </w:divBdr>
                          <w:divsChild>
                            <w:div w:id="12893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629578">
      <w:bodyDiv w:val="1"/>
      <w:marLeft w:val="0"/>
      <w:marRight w:val="0"/>
      <w:marTop w:val="0"/>
      <w:marBottom w:val="0"/>
      <w:divBdr>
        <w:top w:val="none" w:sz="0" w:space="0" w:color="auto"/>
        <w:left w:val="none" w:sz="0" w:space="0" w:color="auto"/>
        <w:bottom w:val="none" w:sz="0" w:space="0" w:color="auto"/>
        <w:right w:val="none" w:sz="0" w:space="0" w:color="auto"/>
      </w:divBdr>
      <w:divsChild>
        <w:div w:id="849291446">
          <w:marLeft w:val="0"/>
          <w:marRight w:val="0"/>
          <w:marTop w:val="0"/>
          <w:marBottom w:val="0"/>
          <w:divBdr>
            <w:top w:val="none" w:sz="0" w:space="0" w:color="auto"/>
            <w:left w:val="none" w:sz="0" w:space="0" w:color="auto"/>
            <w:bottom w:val="none" w:sz="0" w:space="0" w:color="auto"/>
            <w:right w:val="none" w:sz="0" w:space="0" w:color="auto"/>
          </w:divBdr>
          <w:divsChild>
            <w:div w:id="271547545">
              <w:marLeft w:val="0"/>
              <w:marRight w:val="0"/>
              <w:marTop w:val="0"/>
              <w:marBottom w:val="0"/>
              <w:divBdr>
                <w:top w:val="none" w:sz="0" w:space="0" w:color="auto"/>
                <w:left w:val="none" w:sz="0" w:space="0" w:color="auto"/>
                <w:bottom w:val="none" w:sz="0" w:space="0" w:color="auto"/>
                <w:right w:val="none" w:sz="0" w:space="0" w:color="auto"/>
              </w:divBdr>
              <w:divsChild>
                <w:div w:id="2006127404">
                  <w:marLeft w:val="0"/>
                  <w:marRight w:val="0"/>
                  <w:marTop w:val="0"/>
                  <w:marBottom w:val="0"/>
                  <w:divBdr>
                    <w:top w:val="none" w:sz="0" w:space="0" w:color="auto"/>
                    <w:left w:val="none" w:sz="0" w:space="0" w:color="auto"/>
                    <w:bottom w:val="none" w:sz="0" w:space="0" w:color="auto"/>
                    <w:right w:val="none" w:sz="0" w:space="0" w:color="auto"/>
                  </w:divBdr>
                  <w:divsChild>
                    <w:div w:id="354039354">
                      <w:marLeft w:val="0"/>
                      <w:marRight w:val="0"/>
                      <w:marTop w:val="0"/>
                      <w:marBottom w:val="0"/>
                      <w:divBdr>
                        <w:top w:val="none" w:sz="0" w:space="0" w:color="auto"/>
                        <w:left w:val="none" w:sz="0" w:space="0" w:color="auto"/>
                        <w:bottom w:val="none" w:sz="0" w:space="0" w:color="auto"/>
                        <w:right w:val="none" w:sz="0" w:space="0" w:color="auto"/>
                      </w:divBdr>
                      <w:divsChild>
                        <w:div w:id="922379341">
                          <w:marLeft w:val="0"/>
                          <w:marRight w:val="0"/>
                          <w:marTop w:val="0"/>
                          <w:marBottom w:val="0"/>
                          <w:divBdr>
                            <w:top w:val="none" w:sz="0" w:space="0" w:color="auto"/>
                            <w:left w:val="none" w:sz="0" w:space="0" w:color="auto"/>
                            <w:bottom w:val="none" w:sz="0" w:space="0" w:color="auto"/>
                            <w:right w:val="none" w:sz="0" w:space="0" w:color="auto"/>
                          </w:divBdr>
                          <w:divsChild>
                            <w:div w:id="4029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188281">
      <w:bodyDiv w:val="1"/>
      <w:marLeft w:val="0"/>
      <w:marRight w:val="0"/>
      <w:marTop w:val="0"/>
      <w:marBottom w:val="0"/>
      <w:divBdr>
        <w:top w:val="none" w:sz="0" w:space="0" w:color="auto"/>
        <w:left w:val="none" w:sz="0" w:space="0" w:color="auto"/>
        <w:bottom w:val="none" w:sz="0" w:space="0" w:color="auto"/>
        <w:right w:val="none" w:sz="0" w:space="0" w:color="auto"/>
      </w:divBdr>
      <w:divsChild>
        <w:div w:id="971129810">
          <w:marLeft w:val="0"/>
          <w:marRight w:val="0"/>
          <w:marTop w:val="0"/>
          <w:marBottom w:val="0"/>
          <w:divBdr>
            <w:top w:val="none" w:sz="0" w:space="0" w:color="auto"/>
            <w:left w:val="none" w:sz="0" w:space="0" w:color="auto"/>
            <w:bottom w:val="none" w:sz="0" w:space="0" w:color="auto"/>
            <w:right w:val="none" w:sz="0" w:space="0" w:color="auto"/>
          </w:divBdr>
          <w:divsChild>
            <w:div w:id="668604115">
              <w:marLeft w:val="0"/>
              <w:marRight w:val="0"/>
              <w:marTop w:val="0"/>
              <w:marBottom w:val="0"/>
              <w:divBdr>
                <w:top w:val="none" w:sz="0" w:space="0" w:color="auto"/>
                <w:left w:val="none" w:sz="0" w:space="0" w:color="auto"/>
                <w:bottom w:val="none" w:sz="0" w:space="0" w:color="auto"/>
                <w:right w:val="none" w:sz="0" w:space="0" w:color="auto"/>
              </w:divBdr>
              <w:divsChild>
                <w:div w:id="1443719310">
                  <w:marLeft w:val="0"/>
                  <w:marRight w:val="0"/>
                  <w:marTop w:val="0"/>
                  <w:marBottom w:val="0"/>
                  <w:divBdr>
                    <w:top w:val="none" w:sz="0" w:space="0" w:color="auto"/>
                    <w:left w:val="none" w:sz="0" w:space="0" w:color="auto"/>
                    <w:bottom w:val="none" w:sz="0" w:space="0" w:color="auto"/>
                    <w:right w:val="none" w:sz="0" w:space="0" w:color="auto"/>
                  </w:divBdr>
                  <w:divsChild>
                    <w:div w:id="1994336705">
                      <w:marLeft w:val="0"/>
                      <w:marRight w:val="0"/>
                      <w:marTop w:val="0"/>
                      <w:marBottom w:val="0"/>
                      <w:divBdr>
                        <w:top w:val="none" w:sz="0" w:space="0" w:color="auto"/>
                        <w:left w:val="none" w:sz="0" w:space="0" w:color="auto"/>
                        <w:bottom w:val="none" w:sz="0" w:space="0" w:color="auto"/>
                        <w:right w:val="none" w:sz="0" w:space="0" w:color="auto"/>
                      </w:divBdr>
                      <w:divsChild>
                        <w:div w:id="1848330241">
                          <w:marLeft w:val="0"/>
                          <w:marRight w:val="0"/>
                          <w:marTop w:val="0"/>
                          <w:marBottom w:val="0"/>
                          <w:divBdr>
                            <w:top w:val="none" w:sz="0" w:space="0" w:color="auto"/>
                            <w:left w:val="none" w:sz="0" w:space="0" w:color="auto"/>
                            <w:bottom w:val="none" w:sz="0" w:space="0" w:color="auto"/>
                            <w:right w:val="none" w:sz="0" w:space="0" w:color="auto"/>
                          </w:divBdr>
                          <w:divsChild>
                            <w:div w:id="10943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681626">
      <w:bodyDiv w:val="1"/>
      <w:marLeft w:val="0"/>
      <w:marRight w:val="0"/>
      <w:marTop w:val="0"/>
      <w:marBottom w:val="0"/>
      <w:divBdr>
        <w:top w:val="none" w:sz="0" w:space="0" w:color="auto"/>
        <w:left w:val="none" w:sz="0" w:space="0" w:color="auto"/>
        <w:bottom w:val="none" w:sz="0" w:space="0" w:color="auto"/>
        <w:right w:val="none" w:sz="0" w:space="0" w:color="auto"/>
      </w:divBdr>
    </w:div>
    <w:div w:id="1985546605">
      <w:bodyDiv w:val="1"/>
      <w:marLeft w:val="0"/>
      <w:marRight w:val="0"/>
      <w:marTop w:val="0"/>
      <w:marBottom w:val="0"/>
      <w:divBdr>
        <w:top w:val="none" w:sz="0" w:space="0" w:color="auto"/>
        <w:left w:val="none" w:sz="0" w:space="0" w:color="auto"/>
        <w:bottom w:val="none" w:sz="0" w:space="0" w:color="auto"/>
        <w:right w:val="none" w:sz="0" w:space="0" w:color="auto"/>
      </w:divBdr>
    </w:div>
    <w:div w:id="2010477062">
      <w:bodyDiv w:val="1"/>
      <w:marLeft w:val="0"/>
      <w:marRight w:val="0"/>
      <w:marTop w:val="0"/>
      <w:marBottom w:val="0"/>
      <w:divBdr>
        <w:top w:val="none" w:sz="0" w:space="0" w:color="auto"/>
        <w:left w:val="none" w:sz="0" w:space="0" w:color="auto"/>
        <w:bottom w:val="none" w:sz="0" w:space="0" w:color="auto"/>
        <w:right w:val="none" w:sz="0" w:space="0" w:color="auto"/>
      </w:divBdr>
      <w:divsChild>
        <w:div w:id="1938757263">
          <w:marLeft w:val="0"/>
          <w:marRight w:val="0"/>
          <w:marTop w:val="0"/>
          <w:marBottom w:val="0"/>
          <w:divBdr>
            <w:top w:val="none" w:sz="0" w:space="0" w:color="auto"/>
            <w:left w:val="none" w:sz="0" w:space="0" w:color="auto"/>
            <w:bottom w:val="none" w:sz="0" w:space="0" w:color="auto"/>
            <w:right w:val="none" w:sz="0" w:space="0" w:color="auto"/>
          </w:divBdr>
          <w:divsChild>
            <w:div w:id="1590893166">
              <w:marLeft w:val="0"/>
              <w:marRight w:val="0"/>
              <w:marTop w:val="0"/>
              <w:marBottom w:val="0"/>
              <w:divBdr>
                <w:top w:val="none" w:sz="0" w:space="0" w:color="auto"/>
                <w:left w:val="none" w:sz="0" w:space="0" w:color="auto"/>
                <w:bottom w:val="none" w:sz="0" w:space="0" w:color="auto"/>
                <w:right w:val="none" w:sz="0" w:space="0" w:color="auto"/>
              </w:divBdr>
              <w:divsChild>
                <w:div w:id="990599290">
                  <w:marLeft w:val="0"/>
                  <w:marRight w:val="0"/>
                  <w:marTop w:val="0"/>
                  <w:marBottom w:val="0"/>
                  <w:divBdr>
                    <w:top w:val="none" w:sz="0" w:space="0" w:color="auto"/>
                    <w:left w:val="none" w:sz="0" w:space="0" w:color="auto"/>
                    <w:bottom w:val="none" w:sz="0" w:space="0" w:color="auto"/>
                    <w:right w:val="none" w:sz="0" w:space="0" w:color="auto"/>
                  </w:divBdr>
                  <w:divsChild>
                    <w:div w:id="845289465">
                      <w:marLeft w:val="0"/>
                      <w:marRight w:val="0"/>
                      <w:marTop w:val="0"/>
                      <w:marBottom w:val="0"/>
                      <w:divBdr>
                        <w:top w:val="none" w:sz="0" w:space="0" w:color="auto"/>
                        <w:left w:val="none" w:sz="0" w:space="0" w:color="auto"/>
                        <w:bottom w:val="none" w:sz="0" w:space="0" w:color="auto"/>
                        <w:right w:val="none" w:sz="0" w:space="0" w:color="auto"/>
                      </w:divBdr>
                      <w:divsChild>
                        <w:div w:id="384643033">
                          <w:marLeft w:val="0"/>
                          <w:marRight w:val="0"/>
                          <w:marTop w:val="0"/>
                          <w:marBottom w:val="0"/>
                          <w:divBdr>
                            <w:top w:val="none" w:sz="0" w:space="0" w:color="auto"/>
                            <w:left w:val="none" w:sz="0" w:space="0" w:color="auto"/>
                            <w:bottom w:val="none" w:sz="0" w:space="0" w:color="auto"/>
                            <w:right w:val="none" w:sz="0" w:space="0" w:color="auto"/>
                          </w:divBdr>
                          <w:divsChild>
                            <w:div w:id="108865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4953548">
      <w:bodyDiv w:val="1"/>
      <w:marLeft w:val="0"/>
      <w:marRight w:val="0"/>
      <w:marTop w:val="0"/>
      <w:marBottom w:val="0"/>
      <w:divBdr>
        <w:top w:val="none" w:sz="0" w:space="0" w:color="auto"/>
        <w:left w:val="none" w:sz="0" w:space="0" w:color="auto"/>
        <w:bottom w:val="none" w:sz="0" w:space="0" w:color="auto"/>
        <w:right w:val="none" w:sz="0" w:space="0" w:color="auto"/>
      </w:divBdr>
      <w:divsChild>
        <w:div w:id="1530096507">
          <w:marLeft w:val="0"/>
          <w:marRight w:val="0"/>
          <w:marTop w:val="0"/>
          <w:marBottom w:val="0"/>
          <w:divBdr>
            <w:top w:val="none" w:sz="0" w:space="0" w:color="auto"/>
            <w:left w:val="none" w:sz="0" w:space="0" w:color="auto"/>
            <w:bottom w:val="none" w:sz="0" w:space="0" w:color="auto"/>
            <w:right w:val="none" w:sz="0" w:space="0" w:color="auto"/>
          </w:divBdr>
          <w:divsChild>
            <w:div w:id="1477795715">
              <w:marLeft w:val="0"/>
              <w:marRight w:val="0"/>
              <w:marTop w:val="0"/>
              <w:marBottom w:val="0"/>
              <w:divBdr>
                <w:top w:val="none" w:sz="0" w:space="0" w:color="auto"/>
                <w:left w:val="none" w:sz="0" w:space="0" w:color="auto"/>
                <w:bottom w:val="none" w:sz="0" w:space="0" w:color="auto"/>
                <w:right w:val="none" w:sz="0" w:space="0" w:color="auto"/>
              </w:divBdr>
              <w:divsChild>
                <w:div w:id="701249856">
                  <w:marLeft w:val="0"/>
                  <w:marRight w:val="0"/>
                  <w:marTop w:val="0"/>
                  <w:marBottom w:val="0"/>
                  <w:divBdr>
                    <w:top w:val="none" w:sz="0" w:space="0" w:color="auto"/>
                    <w:left w:val="none" w:sz="0" w:space="0" w:color="auto"/>
                    <w:bottom w:val="none" w:sz="0" w:space="0" w:color="auto"/>
                    <w:right w:val="none" w:sz="0" w:space="0" w:color="auto"/>
                  </w:divBdr>
                  <w:divsChild>
                    <w:div w:id="1307666887">
                      <w:marLeft w:val="0"/>
                      <w:marRight w:val="0"/>
                      <w:marTop w:val="0"/>
                      <w:marBottom w:val="0"/>
                      <w:divBdr>
                        <w:top w:val="none" w:sz="0" w:space="0" w:color="auto"/>
                        <w:left w:val="none" w:sz="0" w:space="0" w:color="auto"/>
                        <w:bottom w:val="none" w:sz="0" w:space="0" w:color="auto"/>
                        <w:right w:val="none" w:sz="0" w:space="0" w:color="auto"/>
                      </w:divBdr>
                      <w:divsChild>
                        <w:div w:id="1385174340">
                          <w:marLeft w:val="0"/>
                          <w:marRight w:val="0"/>
                          <w:marTop w:val="0"/>
                          <w:marBottom w:val="0"/>
                          <w:divBdr>
                            <w:top w:val="none" w:sz="0" w:space="0" w:color="auto"/>
                            <w:left w:val="none" w:sz="0" w:space="0" w:color="auto"/>
                            <w:bottom w:val="none" w:sz="0" w:space="0" w:color="auto"/>
                            <w:right w:val="none" w:sz="0" w:space="0" w:color="auto"/>
                          </w:divBdr>
                          <w:divsChild>
                            <w:div w:id="149599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899076">
      <w:bodyDiv w:val="1"/>
      <w:marLeft w:val="0"/>
      <w:marRight w:val="0"/>
      <w:marTop w:val="0"/>
      <w:marBottom w:val="0"/>
      <w:divBdr>
        <w:top w:val="none" w:sz="0" w:space="0" w:color="auto"/>
        <w:left w:val="none" w:sz="0" w:space="0" w:color="auto"/>
        <w:bottom w:val="none" w:sz="0" w:space="0" w:color="auto"/>
        <w:right w:val="none" w:sz="0" w:space="0" w:color="auto"/>
      </w:divBdr>
      <w:divsChild>
        <w:div w:id="986586534">
          <w:marLeft w:val="0"/>
          <w:marRight w:val="0"/>
          <w:marTop w:val="0"/>
          <w:marBottom w:val="0"/>
          <w:divBdr>
            <w:top w:val="none" w:sz="0" w:space="0" w:color="auto"/>
            <w:left w:val="none" w:sz="0" w:space="0" w:color="auto"/>
            <w:bottom w:val="none" w:sz="0" w:space="0" w:color="auto"/>
            <w:right w:val="none" w:sz="0" w:space="0" w:color="auto"/>
          </w:divBdr>
          <w:divsChild>
            <w:div w:id="970011496">
              <w:marLeft w:val="0"/>
              <w:marRight w:val="0"/>
              <w:marTop w:val="0"/>
              <w:marBottom w:val="0"/>
              <w:divBdr>
                <w:top w:val="none" w:sz="0" w:space="0" w:color="auto"/>
                <w:left w:val="none" w:sz="0" w:space="0" w:color="auto"/>
                <w:bottom w:val="none" w:sz="0" w:space="0" w:color="auto"/>
                <w:right w:val="none" w:sz="0" w:space="0" w:color="auto"/>
              </w:divBdr>
              <w:divsChild>
                <w:div w:id="1997103429">
                  <w:marLeft w:val="0"/>
                  <w:marRight w:val="0"/>
                  <w:marTop w:val="0"/>
                  <w:marBottom w:val="0"/>
                  <w:divBdr>
                    <w:top w:val="none" w:sz="0" w:space="0" w:color="auto"/>
                    <w:left w:val="none" w:sz="0" w:space="0" w:color="auto"/>
                    <w:bottom w:val="none" w:sz="0" w:space="0" w:color="auto"/>
                    <w:right w:val="none" w:sz="0" w:space="0" w:color="auto"/>
                  </w:divBdr>
                  <w:divsChild>
                    <w:div w:id="1888296388">
                      <w:marLeft w:val="0"/>
                      <w:marRight w:val="0"/>
                      <w:marTop w:val="0"/>
                      <w:marBottom w:val="0"/>
                      <w:divBdr>
                        <w:top w:val="none" w:sz="0" w:space="0" w:color="auto"/>
                        <w:left w:val="none" w:sz="0" w:space="0" w:color="auto"/>
                        <w:bottom w:val="none" w:sz="0" w:space="0" w:color="auto"/>
                        <w:right w:val="none" w:sz="0" w:space="0" w:color="auto"/>
                      </w:divBdr>
                      <w:divsChild>
                        <w:div w:id="919828208">
                          <w:marLeft w:val="0"/>
                          <w:marRight w:val="0"/>
                          <w:marTop w:val="0"/>
                          <w:marBottom w:val="0"/>
                          <w:divBdr>
                            <w:top w:val="none" w:sz="0" w:space="0" w:color="auto"/>
                            <w:left w:val="none" w:sz="0" w:space="0" w:color="auto"/>
                            <w:bottom w:val="none" w:sz="0" w:space="0" w:color="auto"/>
                            <w:right w:val="none" w:sz="0" w:space="0" w:color="auto"/>
                          </w:divBdr>
                          <w:divsChild>
                            <w:div w:id="143702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www.demsoc.org/265/" TargetMode="External"/><Relationship Id="rId1" Type="http://schemas.openxmlformats.org/officeDocument/2006/relationships/hyperlink" Target="http://ec.europa.eu/justice/fundamental-rights/files/acquis_rights_of_chil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ACBA3-CD56-4302-A75A-8894873D9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7106</Words>
  <Characters>40507</Characters>
  <Application>Microsoft Office Word</Application>
  <DocSecurity>4</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soton</Company>
  <LinksUpToDate>false</LinksUpToDate>
  <CharactersWithSpaces>47518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Iusmen I.</dc:creator>
  <cp:lastModifiedBy>Boswell J.C.</cp:lastModifiedBy>
  <cp:revision>2</cp:revision>
  <cp:lastPrinted>2015-09-08T12:57:00Z</cp:lastPrinted>
  <dcterms:created xsi:type="dcterms:W3CDTF">2016-07-15T14:18:00Z</dcterms:created>
  <dcterms:modified xsi:type="dcterms:W3CDTF">2016-07-15T14:18:00Z</dcterms:modified>
</cp:coreProperties>
</file>