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225" w:rsidRDefault="000B4225" w:rsidP="000B4225">
      <w:pPr>
        <w:spacing w:line="240" w:lineRule="auto"/>
        <w:jc w:val="center"/>
        <w:rPr>
          <w:rFonts w:cs="Times New Roman"/>
          <w:b/>
        </w:rPr>
      </w:pPr>
    </w:p>
    <w:p w:rsidR="000B4225" w:rsidRDefault="000B4225" w:rsidP="000B4225">
      <w:pPr>
        <w:spacing w:line="240" w:lineRule="auto"/>
        <w:jc w:val="center"/>
        <w:rPr>
          <w:rFonts w:cs="Times New Roman"/>
          <w:b/>
        </w:rPr>
      </w:pPr>
    </w:p>
    <w:p w:rsidR="000B4225" w:rsidRDefault="000B4225" w:rsidP="000B4225">
      <w:pPr>
        <w:spacing w:line="240" w:lineRule="auto"/>
        <w:jc w:val="center"/>
        <w:rPr>
          <w:rFonts w:cs="Times New Roman"/>
          <w:b/>
        </w:rPr>
      </w:pPr>
    </w:p>
    <w:p w:rsidR="000B4225" w:rsidRDefault="000B4225" w:rsidP="000B4225">
      <w:pPr>
        <w:spacing w:line="240" w:lineRule="auto"/>
        <w:jc w:val="center"/>
        <w:rPr>
          <w:rFonts w:cs="Times New Roman"/>
          <w:b/>
        </w:rPr>
      </w:pPr>
    </w:p>
    <w:p w:rsidR="000B4225" w:rsidRDefault="000B4225" w:rsidP="000B4225">
      <w:pPr>
        <w:pStyle w:val="PlainText"/>
        <w:tabs>
          <w:tab w:val="left" w:pos="720"/>
        </w:tabs>
        <w:jc w:val="both"/>
        <w:rPr>
          <w:b/>
        </w:rPr>
      </w:pPr>
      <w:r>
        <w:rPr>
          <w:rFonts w:ascii="Times New Roman" w:hAnsi="Times New Roman"/>
          <w:szCs w:val="24"/>
        </w:rPr>
        <w:t>Daniel Brown, ‘Being and Naughtiness,</w:t>
      </w:r>
      <w:r w:rsidRPr="004A3233">
        <w:rPr>
          <w:rFonts w:ascii="Times New Roman" w:hAnsi="Times New Roman"/>
          <w:szCs w:val="24"/>
        </w:rPr>
        <w:t xml:space="preserve">’ in </w:t>
      </w:r>
      <w:r w:rsidRPr="004A3233">
        <w:rPr>
          <w:rFonts w:ascii="Times New Roman" w:hAnsi="Times New Roman"/>
          <w:i/>
          <w:szCs w:val="24"/>
        </w:rPr>
        <w:t>Lear and the Play of Poetry</w:t>
      </w:r>
      <w:r w:rsidRPr="004A3233">
        <w:rPr>
          <w:rFonts w:ascii="Times New Roman" w:hAnsi="Times New Roman"/>
          <w:szCs w:val="24"/>
        </w:rPr>
        <w:t>, ed. James Williams and Matthew Bevis (</w:t>
      </w:r>
      <w:r>
        <w:rPr>
          <w:rFonts w:ascii="Times New Roman" w:hAnsi="Times New Roman"/>
          <w:szCs w:val="24"/>
        </w:rPr>
        <w:t xml:space="preserve">Oxford: </w:t>
      </w:r>
      <w:r w:rsidRPr="004A3233">
        <w:rPr>
          <w:rFonts w:ascii="Times New Roman" w:hAnsi="Times New Roman"/>
          <w:szCs w:val="24"/>
        </w:rPr>
        <w:t xml:space="preserve">Oxford University Press, forthcoming, </w:t>
      </w:r>
      <w:r>
        <w:rPr>
          <w:rFonts w:ascii="Times New Roman" w:hAnsi="Times New Roman"/>
          <w:szCs w:val="24"/>
        </w:rPr>
        <w:t xml:space="preserve">September </w:t>
      </w:r>
      <w:r w:rsidRPr="004A3233">
        <w:rPr>
          <w:rFonts w:ascii="Times New Roman" w:hAnsi="Times New Roman"/>
          <w:szCs w:val="24"/>
        </w:rPr>
        <w:t>2016)</w:t>
      </w:r>
      <w:r>
        <w:rPr>
          <w:rFonts w:ascii="Times New Roman" w:hAnsi="Times New Roman"/>
          <w:szCs w:val="24"/>
        </w:rPr>
        <w:t xml:space="preserve">. </w:t>
      </w:r>
    </w:p>
    <w:p w:rsidR="000B4225" w:rsidRDefault="000B4225" w:rsidP="000B4225">
      <w:pPr>
        <w:spacing w:line="240" w:lineRule="auto"/>
        <w:jc w:val="center"/>
        <w:rPr>
          <w:rFonts w:cs="Times New Roman"/>
          <w:b/>
        </w:rPr>
      </w:pPr>
    </w:p>
    <w:p w:rsidR="000B4225" w:rsidRDefault="000B4225" w:rsidP="000B4225">
      <w:pPr>
        <w:spacing w:line="240" w:lineRule="auto"/>
        <w:jc w:val="center"/>
        <w:rPr>
          <w:rFonts w:cs="Times New Roman"/>
          <w:b/>
        </w:rPr>
      </w:pPr>
    </w:p>
    <w:p w:rsidR="000B4225" w:rsidRDefault="000B4225" w:rsidP="000B4225">
      <w:pPr>
        <w:spacing w:line="240" w:lineRule="auto"/>
        <w:jc w:val="center"/>
        <w:rPr>
          <w:rFonts w:cs="Times New Roman"/>
          <w:b/>
        </w:rPr>
      </w:pPr>
    </w:p>
    <w:p w:rsidR="000B4225" w:rsidRDefault="000B4225" w:rsidP="000B4225">
      <w:pPr>
        <w:spacing w:line="240" w:lineRule="auto"/>
        <w:jc w:val="center"/>
        <w:rPr>
          <w:rFonts w:cs="Times New Roman"/>
          <w:b/>
        </w:rPr>
      </w:pPr>
    </w:p>
    <w:p w:rsidR="000B4225" w:rsidRDefault="000B4225" w:rsidP="000B4225">
      <w:pPr>
        <w:spacing w:line="240" w:lineRule="auto"/>
        <w:jc w:val="center"/>
        <w:rPr>
          <w:rFonts w:cs="Times New Roman"/>
          <w:b/>
        </w:rPr>
      </w:pPr>
      <w:r w:rsidRPr="00390C44">
        <w:rPr>
          <w:rFonts w:cs="Times New Roman"/>
          <w:b/>
        </w:rPr>
        <w:t>Being and Naughtiness</w:t>
      </w:r>
    </w:p>
    <w:p w:rsidR="000B4225" w:rsidRPr="00390C44" w:rsidRDefault="000B4225" w:rsidP="000B4225">
      <w:pPr>
        <w:spacing w:line="240" w:lineRule="auto"/>
        <w:jc w:val="center"/>
        <w:rPr>
          <w:rFonts w:cs="Times New Roman"/>
          <w:b/>
        </w:rPr>
      </w:pPr>
      <w:r>
        <w:rPr>
          <w:rFonts w:cs="Times New Roman"/>
          <w:b/>
        </w:rPr>
        <w:t>DANIEL BROWN</w:t>
      </w:r>
    </w:p>
    <w:p w:rsidR="000B4225" w:rsidRPr="007653D3" w:rsidRDefault="000B4225" w:rsidP="000B4225">
      <w:pPr>
        <w:spacing w:line="240" w:lineRule="auto"/>
        <w:rPr>
          <w:rFonts w:cs="Times New Roman"/>
        </w:rPr>
      </w:pPr>
    </w:p>
    <w:p w:rsidR="000B4225" w:rsidRPr="007653D3" w:rsidRDefault="000B4225" w:rsidP="000B4225">
      <w:pPr>
        <w:spacing w:line="240" w:lineRule="auto"/>
        <w:jc w:val="center"/>
        <w:rPr>
          <w:rFonts w:cs="Times New Roman"/>
        </w:rPr>
      </w:pPr>
      <w:r w:rsidRPr="007653D3">
        <w:rPr>
          <w:rFonts w:cs="Times New Roman"/>
        </w:rPr>
        <w:t>I</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Lear records an incident on a train in October 1866, in which a fellow passenger explained to the carriage that the author of </w:t>
      </w:r>
      <w:r w:rsidRPr="007653D3">
        <w:rPr>
          <w:rFonts w:cs="Times New Roman"/>
          <w:i/>
        </w:rPr>
        <w:t>A</w:t>
      </w:r>
      <w:r w:rsidRPr="007653D3">
        <w:rPr>
          <w:rFonts w:cs="Times New Roman"/>
        </w:rPr>
        <w:t xml:space="preserve"> </w:t>
      </w:r>
      <w:r w:rsidRPr="007653D3">
        <w:rPr>
          <w:rFonts w:cs="Times New Roman"/>
          <w:i/>
        </w:rPr>
        <w:t>Book of Nonsense</w:t>
      </w:r>
      <w:r w:rsidRPr="007653D3">
        <w:rPr>
          <w:rFonts w:cs="Times New Roman"/>
        </w:rPr>
        <w:t xml:space="preserve"> (1846) does not exist:</w:t>
      </w:r>
    </w:p>
    <w:p w:rsidR="000B4225" w:rsidRPr="007653D3" w:rsidRDefault="000B4225" w:rsidP="000B4225">
      <w:pPr>
        <w:spacing w:line="240" w:lineRule="auto"/>
        <w:ind w:firstLine="720"/>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 </w:t>
      </w:r>
      <w:r w:rsidRPr="007653D3">
        <w:rPr>
          <w:rFonts w:cs="Times New Roman"/>
          <w:i/>
        </w:rPr>
        <w:t xml:space="preserve">There is no such person </w:t>
      </w:r>
      <w:r w:rsidRPr="007653D3">
        <w:rPr>
          <w:rFonts w:cs="Times New Roman"/>
        </w:rPr>
        <w:t xml:space="preserve">as Edward Lear.’ ‘But’ says I, ‘there </w:t>
      </w:r>
      <w:r w:rsidRPr="007653D3">
        <w:rPr>
          <w:rFonts w:cs="Times New Roman"/>
          <w:i/>
        </w:rPr>
        <w:t>is</w:t>
      </w:r>
      <w:r w:rsidRPr="007653D3">
        <w:rPr>
          <w:rFonts w:cs="Times New Roman"/>
        </w:rPr>
        <w:t>---and I am the man---and I wrote the book!’ Whereon all the party burst out laughing and evidently thought me mad or telling fibs. So I took off my hat and showed it all round, with Edward Lear and the address in large letters---also one of my cards, and a marked handkerchief: on which amazement devoured those benighted individuals and I left them to gnash their teeth in trouble and tumult. (</w:t>
      </w:r>
      <w:r w:rsidRPr="00390C44">
        <w:rPr>
          <w:rFonts w:cs="Times New Roman"/>
          <w:i/>
        </w:rPr>
        <w:t>LL</w:t>
      </w:r>
      <w:r w:rsidRPr="007653D3">
        <w:rPr>
          <w:rFonts w:cs="Times New Roman"/>
        </w:rPr>
        <w:t>, 78-79)</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Lear recounts the episode in a letter to his friend Lady </w:t>
      </w:r>
      <w:proofErr w:type="spellStart"/>
      <w:r w:rsidRPr="007653D3">
        <w:rPr>
          <w:rFonts w:cs="Times New Roman"/>
        </w:rPr>
        <w:t>Waldegrave</w:t>
      </w:r>
      <w:proofErr w:type="spellEnd"/>
      <w:r w:rsidRPr="007653D3">
        <w:rPr>
          <w:rFonts w:cs="Times New Roman"/>
        </w:rPr>
        <w:t xml:space="preserve">, where he also depicts it in an unusual line drawing. The passenger accuses ‘Lear’ of being an anagram of ‘Earl,’ arguing that the real author of </w:t>
      </w:r>
      <w:r w:rsidRPr="007653D3">
        <w:rPr>
          <w:rFonts w:cs="Times New Roman"/>
          <w:i/>
        </w:rPr>
        <w:t>A</w:t>
      </w:r>
      <w:r w:rsidRPr="007653D3">
        <w:rPr>
          <w:rFonts w:cs="Times New Roman"/>
        </w:rPr>
        <w:t xml:space="preserve"> </w:t>
      </w:r>
      <w:r w:rsidRPr="007653D3">
        <w:rPr>
          <w:rFonts w:cs="Times New Roman"/>
          <w:i/>
        </w:rPr>
        <w:t>Book of Nonsense</w:t>
      </w:r>
      <w:r w:rsidRPr="007653D3">
        <w:rPr>
          <w:rFonts w:cs="Times New Roman"/>
        </w:rPr>
        <w:t xml:space="preserve"> is the thirteenth earl of Derby, Edward Stanley, Lear’s employer during the time he wrote much of this work, his first nonsense collection. Lear defends his name against the charge of being mere </w:t>
      </w:r>
      <w:proofErr w:type="gramStart"/>
      <w:r w:rsidRPr="007653D3">
        <w:rPr>
          <w:rFonts w:cs="Times New Roman"/>
        </w:rPr>
        <w:t>word-play</w:t>
      </w:r>
      <w:proofErr w:type="gramEnd"/>
      <w:r w:rsidRPr="007653D3">
        <w:rPr>
          <w:rFonts w:cs="Times New Roman"/>
        </w:rPr>
        <w:t xml:space="preserve">, by demonstrating its palpable existence, written in his hat and on his handkerchief and visiting card. Material inscription trumps verbal protestations of identity here, much as it does in Oscar Wilde’s </w:t>
      </w:r>
      <w:r w:rsidRPr="007653D3">
        <w:rPr>
          <w:rFonts w:cs="Times New Roman"/>
          <w:i/>
        </w:rPr>
        <w:t>The Importance of Being Earnest</w:t>
      </w:r>
      <w:r w:rsidRPr="007653D3">
        <w:rPr>
          <w:rFonts w:cs="Times New Roman"/>
        </w:rPr>
        <w:t>, where Algernon Moncrieff remarks to Jack Worthing that ‘It is perfectly absurd your saying that your name isn’t Ernest. It’s on your cards. Here is one of them.’</w:t>
      </w:r>
      <w:r w:rsidRPr="007653D3">
        <w:rPr>
          <w:rStyle w:val="FootnoteReference"/>
          <w:rFonts w:cs="Times New Roman"/>
        </w:rPr>
        <w:footnoteReference w:id="1"/>
      </w:r>
      <w:r w:rsidRPr="007653D3">
        <w:rPr>
          <w:rFonts w:cs="Times New Roman"/>
        </w:rPr>
        <w:t xml:space="preserve"> Finding his name has become public property, vivisected by strangers and denounced as an anagram, so that he is laughed at when he claims it as his own, Lear’s identity is recognised by his fellow passengers only once the name is presented to them reified in the props of gentlemanly self-possession, as a marker of private property rights. ‘No entity without identity,’</w:t>
      </w:r>
      <w:r w:rsidRPr="007653D3">
        <w:rPr>
          <w:rStyle w:val="FootnoteReference"/>
          <w:rFonts w:cs="Times New Roman"/>
        </w:rPr>
        <w:footnoteReference w:id="2"/>
      </w:r>
      <w:r w:rsidRPr="007653D3">
        <w:rPr>
          <w:rFonts w:cs="Times New Roman"/>
        </w:rPr>
        <w:t xml:space="preserve"> Lear’s being is accordingly vindicated and vivified, </w:t>
      </w:r>
      <w:r w:rsidRPr="007653D3">
        <w:rPr>
          <w:rFonts w:cs="Times New Roman"/>
        </w:rPr>
        <w:lastRenderedPageBreak/>
        <w:t xml:space="preserve">while in his account the verisimilitude of the stranger and onlookers in the carriage is correspondingly diminished by their being caricatured, depicted hyperbolically as consumed by incredulity, and relegated to a private hell: ‘amazement devoured those benighted individuals and I left them to gnash their teeth in trouble and tumult.’ </w:t>
      </w:r>
    </w:p>
    <w:p w:rsidR="000B4225" w:rsidRPr="007653D3" w:rsidRDefault="000B4225" w:rsidP="000B4225">
      <w:pPr>
        <w:spacing w:line="240" w:lineRule="auto"/>
        <w:jc w:val="both"/>
        <w:rPr>
          <w:rFonts w:cs="Times New Roman"/>
        </w:rPr>
      </w:pPr>
      <w:r w:rsidRPr="007653D3">
        <w:rPr>
          <w:rFonts w:cs="Times New Roman"/>
        </w:rPr>
        <w:tab/>
        <w:t xml:space="preserve">Lear’s letter records his amused recognition of, and play with, the verisimilitude accorded to different verbal registers, not only stylistically in the closing description of the other passengers, but more radically in the treacherous contingency of the letters that form his name, as they allow themselves to be rearranged by strangers, and the ineffectual nature of its utterance here, the assertion of mere breath, next to its manifest expression in the material fabric of his social being. It brings forward his knowing and self-conscious play with representation and being, the power of words and line drawing to confer and refuse the attribute of being to objects both concrete and imaginary. This essay traces the ways in which Lear’s limericks and other nonsense texts proceed from word sounds and arbitrary forms to generate effects of verisimilitude, giving them an ontological poise that precludes their being dismissed as mere unmeaning nonsense. It argues that his nonsense works mark a modest linguistic turn, an ontology that is preposterous to Parmenides, as it names that which is not, but plausible to Samuel Beckett’s </w:t>
      </w:r>
      <w:proofErr w:type="spellStart"/>
      <w:r w:rsidRPr="007653D3">
        <w:rPr>
          <w:rFonts w:cs="Times New Roman"/>
        </w:rPr>
        <w:t>Unnamable</w:t>
      </w:r>
      <w:proofErr w:type="spellEnd"/>
      <w:r w:rsidRPr="007653D3">
        <w:rPr>
          <w:rFonts w:cs="Times New Roman"/>
        </w:rPr>
        <w:t>, who concludes that being is ‘all words, there’s nothing else.’</w:t>
      </w:r>
      <w:r w:rsidRPr="007653D3">
        <w:rPr>
          <w:rStyle w:val="FootnoteReference"/>
          <w:rFonts w:cs="Times New Roman"/>
        </w:rPr>
        <w:footnoteReference w:id="3"/>
      </w:r>
    </w:p>
    <w:p w:rsidR="000B4225" w:rsidRDefault="000B4225" w:rsidP="000B4225">
      <w:pPr>
        <w:spacing w:line="240" w:lineRule="auto"/>
        <w:ind w:firstLine="720"/>
        <w:jc w:val="both"/>
        <w:rPr>
          <w:rFonts w:cs="Times New Roman"/>
        </w:rPr>
      </w:pPr>
      <w:r w:rsidRPr="007653D3">
        <w:rPr>
          <w:rFonts w:cs="Times New Roman"/>
        </w:rPr>
        <w:t>The drawing that Lear makes to memorialise his</w:t>
      </w:r>
      <w:r w:rsidRPr="007653D3">
        <w:rPr>
          <w:rFonts w:cs="Times New Roman"/>
          <w:i/>
        </w:rPr>
        <w:t xml:space="preserve"> coup</w:t>
      </w:r>
      <w:r w:rsidRPr="007653D3">
        <w:rPr>
          <w:rFonts w:cs="Times New Roman"/>
          <w:color w:val="000000"/>
        </w:rPr>
        <w:t xml:space="preserve"> </w:t>
      </w:r>
      <w:r w:rsidRPr="007653D3">
        <w:rPr>
          <w:rFonts w:cs="Times New Roman"/>
          <w:i/>
        </w:rPr>
        <w:t>de gr</w:t>
      </w:r>
      <w:r w:rsidRPr="007653D3">
        <w:rPr>
          <w:rFonts w:cs="Times New Roman"/>
          <w:i/>
          <w:color w:val="000000"/>
        </w:rPr>
        <w:t>â</w:t>
      </w:r>
      <w:r w:rsidRPr="007653D3">
        <w:rPr>
          <w:rFonts w:cs="Times New Roman"/>
          <w:i/>
        </w:rPr>
        <w:t>ce</w:t>
      </w:r>
      <w:r w:rsidRPr="007653D3">
        <w:rPr>
          <w:rFonts w:cs="Times New Roman"/>
        </w:rPr>
        <w:t>, the triumphant moment of his hat trick, similarly displays and plays with the ontological registers of the pictorial line, the expressive medium he twins with words in his limericks and other no</w:t>
      </w:r>
      <w:r>
        <w:rPr>
          <w:rFonts w:cs="Times New Roman"/>
        </w:rPr>
        <w:t>nsense works.</w:t>
      </w:r>
    </w:p>
    <w:p w:rsidR="000B4225" w:rsidRDefault="000B4225" w:rsidP="000B4225">
      <w:pPr>
        <w:spacing w:line="240" w:lineRule="auto"/>
        <w:jc w:val="both"/>
        <w:rPr>
          <w:rFonts w:cs="Times New Roman"/>
        </w:rPr>
      </w:pPr>
      <w:r>
        <w:rPr>
          <w:rFonts w:cs="Times New Roman"/>
          <w:noProof/>
          <w:lang w:val="en-US"/>
        </w:rPr>
        <w:drawing>
          <wp:inline distT="0" distB="0" distL="0" distR="0" wp14:anchorId="112E55D6" wp14:editId="399FB5CE">
            <wp:extent cx="4203269" cy="4385733"/>
            <wp:effectExtent l="0" t="0" r="0" b="8890"/>
            <wp:docPr id="4" name="Picture 4" descr="Macintosh HD:Users:db13g12:Desktop:EdwardLearSelf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db13g12:Desktop:EdwardLearSelfPortra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3813" cy="4386301"/>
                    </a:xfrm>
                    <a:prstGeom prst="rect">
                      <a:avLst/>
                    </a:prstGeom>
                    <a:noFill/>
                    <a:ln>
                      <a:noFill/>
                    </a:ln>
                  </pic:spPr>
                </pic:pic>
              </a:graphicData>
            </a:graphic>
          </wp:inline>
        </w:drawing>
      </w:r>
    </w:p>
    <w:p w:rsidR="000B4225" w:rsidRDefault="000B4225" w:rsidP="000B4225">
      <w:pPr>
        <w:spacing w:line="240" w:lineRule="auto"/>
        <w:jc w:val="center"/>
        <w:rPr>
          <w:rFonts w:cs="Times New Roman"/>
        </w:rPr>
      </w:pPr>
      <w:r w:rsidRPr="00390C44">
        <w:rPr>
          <w:rFonts w:cs="Times New Roman"/>
          <w:highlight w:val="yellow"/>
        </w:rPr>
        <w:t>Insert Fig. 7.1 here</w:t>
      </w:r>
    </w:p>
    <w:p w:rsidR="000B4225" w:rsidRDefault="000B4225" w:rsidP="000B4225">
      <w:pPr>
        <w:spacing w:line="240" w:lineRule="auto"/>
        <w:ind w:firstLine="720"/>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Like its accompanying text, it brings the focus of this essay, Lear’s play with representation and being, with form and verisimilitude, clearly into relief. The summary title that he gives to his illustration reduces the incident to an absurd metaphysical crux: ‘Lear showing a doubting stranger his name in his hat to prove that Edward Lear was a man and not merely a name.</w:t>
      </w:r>
      <w:r w:rsidRPr="007653D3">
        <w:rPr>
          <w:rFonts w:cs="Times New Roman"/>
          <w:i/>
        </w:rPr>
        <w:t xml:space="preserve"> Drawn by himself</w:t>
      </w:r>
      <w:r w:rsidRPr="007653D3">
        <w:rPr>
          <w:rFonts w:cs="Times New Roman"/>
        </w:rPr>
        <w:t>.’ By being written inside the hat, the arbitrary name becomes a literally fitting and encompassing caption for the man. As forms that give material being to his name, Lear’s card, labelled hat and monogrammed handkerchief are suggestive emblems for the letters and words that, this essay argues, are reified as shapes and sounds in his nonsense writings, often with the collusion of their illustrations. A further material manifestation of his identity, Lear’s drawing reiterates his proprietorial claim to being himself. He emerges from the incident on the train not only amused by the stranger’s scepticism and the proof of identity that quells it, but also delighted by the opportunity it yields for playful self-portraiture. ‘</w:t>
      </w:r>
      <w:r w:rsidRPr="007653D3">
        <w:rPr>
          <w:rFonts w:cs="Times New Roman"/>
          <w:i/>
        </w:rPr>
        <w:t>Drawn by himself</w:t>
      </w:r>
      <w:r w:rsidRPr="007653D3">
        <w:rPr>
          <w:rFonts w:cs="Times New Roman"/>
        </w:rPr>
        <w:t>,’ at once the expression and likeness of the man, Lear’s drawing literally depicts gradations of being, allocating verisimilitude arbitrarily and unevenly amongst the various players in the railway carriage.</w:t>
      </w:r>
    </w:p>
    <w:p w:rsidR="000B4225" w:rsidRPr="007653D3" w:rsidRDefault="000B4225" w:rsidP="000B4225">
      <w:pPr>
        <w:spacing w:line="240" w:lineRule="auto"/>
        <w:ind w:firstLine="720"/>
        <w:jc w:val="both"/>
        <w:rPr>
          <w:rFonts w:cs="Times New Roman"/>
        </w:rPr>
      </w:pPr>
      <w:r w:rsidRPr="007653D3">
        <w:rPr>
          <w:rFonts w:cs="Times New Roman"/>
        </w:rPr>
        <w:t xml:space="preserve">The ontological validation that the name in his hat gives to Lear is clear from the realist idiom in which he renders his self-portrait in the drawing. Well known as an accomplished and versatile draughtsman and painter, through the scrupulous scientific records of parrots and other animal species in his early natural history work, the fanciful play of the nonsense work, and the romantic range of his landscapes, Lear was also an innovative print-maker. He pioneered not only the use of lithography for scientific illustration, but also wood-engraving, through his contributions to E. T. Turner’s </w:t>
      </w:r>
      <w:r w:rsidRPr="007653D3">
        <w:rPr>
          <w:rFonts w:cs="Times New Roman"/>
          <w:i/>
        </w:rPr>
        <w:t>The Gardens and Menagerie of the Zoological Society Delineated</w:t>
      </w:r>
      <w:r w:rsidRPr="007653D3">
        <w:rPr>
          <w:rFonts w:cs="Times New Roman"/>
        </w:rPr>
        <w:t xml:space="preserve"> (1831), William Buckland’s </w:t>
      </w:r>
      <w:r w:rsidRPr="007653D3">
        <w:rPr>
          <w:rFonts w:cs="Times New Roman"/>
          <w:i/>
        </w:rPr>
        <w:t>Geology and Mineralogy Considered with Reference to Natural Theology</w:t>
      </w:r>
      <w:r w:rsidRPr="007653D3">
        <w:rPr>
          <w:rFonts w:cs="Times New Roman"/>
        </w:rPr>
        <w:t xml:space="preserve"> (1836), and Thomas Bell’s </w:t>
      </w:r>
      <w:r w:rsidRPr="007653D3">
        <w:rPr>
          <w:rFonts w:cs="Times New Roman"/>
          <w:i/>
        </w:rPr>
        <w:t xml:space="preserve">A History of the British Quadrupeds, including the </w:t>
      </w:r>
      <w:proofErr w:type="spellStart"/>
      <w:r w:rsidRPr="007653D3">
        <w:rPr>
          <w:rFonts w:cs="Times New Roman"/>
          <w:i/>
        </w:rPr>
        <w:t>Cetacea</w:t>
      </w:r>
      <w:proofErr w:type="spellEnd"/>
      <w:r w:rsidRPr="007653D3">
        <w:rPr>
          <w:rFonts w:cs="Times New Roman"/>
        </w:rPr>
        <w:t xml:space="preserve"> (1837). ‘Lear showing a doubting stranger’ depicts him and the onlookers in the style of such engravings. </w:t>
      </w:r>
    </w:p>
    <w:p w:rsidR="000B4225" w:rsidRPr="007653D3" w:rsidRDefault="000B4225" w:rsidP="000B4225">
      <w:pPr>
        <w:spacing w:line="240" w:lineRule="auto"/>
        <w:ind w:firstLine="720"/>
        <w:jc w:val="both"/>
        <w:rPr>
          <w:rFonts w:cs="Times New Roman"/>
        </w:rPr>
      </w:pPr>
      <w:r w:rsidRPr="007653D3">
        <w:rPr>
          <w:rFonts w:cs="Times New Roman"/>
        </w:rPr>
        <w:t xml:space="preserve">Established by Thomas </w:t>
      </w:r>
      <w:proofErr w:type="spellStart"/>
      <w:r w:rsidRPr="007653D3">
        <w:rPr>
          <w:rFonts w:cs="Times New Roman"/>
        </w:rPr>
        <w:t>Bewick</w:t>
      </w:r>
      <w:proofErr w:type="spellEnd"/>
      <w:r w:rsidRPr="007653D3">
        <w:rPr>
          <w:rFonts w:cs="Times New Roman"/>
        </w:rPr>
        <w:t xml:space="preserve"> in the late eighteenth and early nineteenth centuries, modern wood engraving uses a metal engraver’s burin to carve fine lines on hard end-grain wood. This process furnishes easily legible images of clear outline and even tonal values that allowed them to be reproduced in vast numbers for new mass markets across the nineteenth century. Refined and d</w:t>
      </w:r>
      <w:bookmarkStart w:id="0" w:name="_GoBack"/>
      <w:bookmarkEnd w:id="0"/>
      <w:r w:rsidRPr="007653D3">
        <w:rPr>
          <w:rFonts w:cs="Times New Roman"/>
        </w:rPr>
        <w:t xml:space="preserve">eveloped by the Pre-Raphaelites, the technique was used by the </w:t>
      </w:r>
      <w:proofErr w:type="spellStart"/>
      <w:r w:rsidRPr="007653D3">
        <w:rPr>
          <w:rFonts w:cs="Times New Roman"/>
        </w:rPr>
        <w:t>Dalziel</w:t>
      </w:r>
      <w:proofErr w:type="spellEnd"/>
      <w:r w:rsidRPr="007653D3">
        <w:rPr>
          <w:rFonts w:cs="Times New Roman"/>
        </w:rPr>
        <w:t xml:space="preserve"> brothers for Lear’s illustrations to Tennyson’s poems, as well as for a new cheaper edition of his </w:t>
      </w:r>
      <w:r w:rsidRPr="007653D3">
        <w:rPr>
          <w:rFonts w:cs="Times New Roman"/>
          <w:i/>
        </w:rPr>
        <w:t>Book of Nonsense</w:t>
      </w:r>
      <w:r w:rsidRPr="007653D3">
        <w:rPr>
          <w:rFonts w:cs="Times New Roman"/>
        </w:rPr>
        <w:t xml:space="preserve"> in 1862. Along with book illustration and specialist scientific applications, the versatile and accurate technique found its most pervasive use in such popular newspapers and periodicals as the Society for the Diffusion of Useful Knowledge’s </w:t>
      </w:r>
      <w:r w:rsidRPr="007653D3">
        <w:rPr>
          <w:rFonts w:cs="Times New Roman"/>
          <w:i/>
        </w:rPr>
        <w:t>Penny Magazine</w:t>
      </w:r>
      <w:r w:rsidRPr="007653D3">
        <w:rPr>
          <w:rFonts w:cs="Times New Roman"/>
        </w:rPr>
        <w:t xml:space="preserve">, </w:t>
      </w:r>
      <w:r w:rsidRPr="007653D3">
        <w:rPr>
          <w:rFonts w:cs="Times New Roman"/>
          <w:i/>
        </w:rPr>
        <w:t>The Cornhill Magazine</w:t>
      </w:r>
      <w:r w:rsidRPr="007653D3">
        <w:rPr>
          <w:rFonts w:cs="Times New Roman"/>
        </w:rPr>
        <w:t xml:space="preserve">, </w:t>
      </w:r>
      <w:r w:rsidRPr="007653D3">
        <w:rPr>
          <w:rFonts w:cs="Times New Roman"/>
          <w:i/>
        </w:rPr>
        <w:t>Good Words</w:t>
      </w:r>
      <w:r w:rsidRPr="007653D3">
        <w:rPr>
          <w:rFonts w:cs="Times New Roman"/>
        </w:rPr>
        <w:t xml:space="preserve"> and the </w:t>
      </w:r>
      <w:r w:rsidRPr="007653D3">
        <w:rPr>
          <w:rFonts w:cs="Times New Roman"/>
          <w:i/>
        </w:rPr>
        <w:t>London Illustrated News</w:t>
      </w:r>
      <w:r w:rsidRPr="007653D3">
        <w:rPr>
          <w:rFonts w:cs="Times New Roman"/>
        </w:rPr>
        <w:t xml:space="preserve">. In documenting the public assertion and proof of his being, Lear accordingly deploys the age’s great positivist and encyclopaedic idiom of wood engraving to represent himself in his drawing. The fine lines, and the hatching and cross-hatching of Lear’s clothes and the figures of the onlookers, attributes them all with an ontological depth and facticity that is missing from the sceptical line-drawing of the caricatured stranger. Shocked and surprised by the proof of Lear’s authenticity, the stranger appears pale and flat, as if from another dimension, like Wilde’s </w:t>
      </w:r>
      <w:proofErr w:type="spellStart"/>
      <w:r w:rsidRPr="007653D3">
        <w:rPr>
          <w:rFonts w:cs="Times New Roman"/>
        </w:rPr>
        <w:t>Canterville</w:t>
      </w:r>
      <w:proofErr w:type="spellEnd"/>
      <w:r w:rsidRPr="007653D3">
        <w:rPr>
          <w:rFonts w:cs="Times New Roman"/>
        </w:rPr>
        <w:t xml:space="preserve"> Ghost. He is permitted only a probationary being.</w:t>
      </w:r>
    </w:p>
    <w:p w:rsidR="000B4225" w:rsidRPr="007653D3" w:rsidRDefault="000B4225" w:rsidP="000B4225">
      <w:pPr>
        <w:spacing w:line="240" w:lineRule="auto"/>
        <w:ind w:firstLine="720"/>
        <w:jc w:val="both"/>
        <w:rPr>
          <w:rFonts w:cs="Times New Roman"/>
        </w:rPr>
      </w:pPr>
      <w:r w:rsidRPr="007653D3">
        <w:rPr>
          <w:rFonts w:cs="Times New Roman"/>
        </w:rPr>
        <w:t xml:space="preserve">Speculation about the authorship of </w:t>
      </w:r>
      <w:r w:rsidRPr="007653D3">
        <w:rPr>
          <w:rFonts w:cs="Times New Roman"/>
          <w:i/>
        </w:rPr>
        <w:t>A Book of Nonsense</w:t>
      </w:r>
      <w:r w:rsidRPr="007653D3">
        <w:rPr>
          <w:rFonts w:cs="Times New Roman"/>
        </w:rPr>
        <w:t xml:space="preserve">, which as Lear notes was still a talking point twenty years after it first appeared, was originally prompted by its anonymous publication. Much as he does in the later letter to Lady </w:t>
      </w:r>
      <w:proofErr w:type="spellStart"/>
      <w:r w:rsidRPr="007653D3">
        <w:rPr>
          <w:rFonts w:cs="Times New Roman"/>
        </w:rPr>
        <w:t>Waldegrave</w:t>
      </w:r>
      <w:proofErr w:type="spellEnd"/>
      <w:r w:rsidRPr="007653D3">
        <w:rPr>
          <w:rFonts w:cs="Times New Roman"/>
        </w:rPr>
        <w:t xml:space="preserve">, Lear addresses the question of his authorial identity in the early editions of the book with a quaint self-portrait in words and line drawing. The boards and title page of the first and second editions of </w:t>
      </w:r>
      <w:r w:rsidRPr="007653D3">
        <w:rPr>
          <w:rFonts w:cs="Times New Roman"/>
          <w:i/>
        </w:rPr>
        <w:t>A Book of Nonsense</w:t>
      </w:r>
      <w:r w:rsidRPr="007653D3">
        <w:rPr>
          <w:rFonts w:cs="Times New Roman"/>
        </w:rPr>
        <w:t xml:space="preserve"> include a riddling limerick and illustration in lieu of its author’s name, a modest manifesto in which Lear identifies himself with this form of verse and describes its purpose:</w:t>
      </w:r>
    </w:p>
    <w:p w:rsidR="000B4225" w:rsidRDefault="000B4225" w:rsidP="000B4225">
      <w:pPr>
        <w:spacing w:line="240" w:lineRule="auto"/>
        <w:jc w:val="center"/>
        <w:rPr>
          <w:rFonts w:cs="Times New Roman"/>
        </w:rPr>
      </w:pPr>
      <w:r>
        <w:rPr>
          <w:rFonts w:cs="Times New Roman"/>
          <w:noProof/>
          <w:lang w:val="en-US"/>
        </w:rPr>
        <w:drawing>
          <wp:inline distT="0" distB="0" distL="0" distR="0" wp14:anchorId="3F0E691E" wp14:editId="26E3701A">
            <wp:extent cx="5339777" cy="3005032"/>
            <wp:effectExtent l="0" t="0" r="0" b="0"/>
            <wp:docPr id="2" name="Picture 2" descr="Macintosh HD:Users:db13g12:Desktop:lear edward book M00012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db13g12:Desktop:lear edward book M00012 2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1966" cy="3006264"/>
                    </a:xfrm>
                    <a:prstGeom prst="rect">
                      <a:avLst/>
                    </a:prstGeom>
                    <a:noFill/>
                    <a:ln>
                      <a:noFill/>
                    </a:ln>
                  </pic:spPr>
                </pic:pic>
              </a:graphicData>
            </a:graphic>
          </wp:inline>
        </w:drawing>
      </w:r>
    </w:p>
    <w:p w:rsidR="000B4225" w:rsidRDefault="000B4225" w:rsidP="000B4225">
      <w:pPr>
        <w:spacing w:line="240" w:lineRule="auto"/>
        <w:jc w:val="center"/>
        <w:rPr>
          <w:rFonts w:cs="Times New Roman"/>
        </w:rPr>
      </w:pPr>
      <w:r w:rsidRPr="006E2449">
        <w:rPr>
          <w:rFonts w:cs="Times New Roman"/>
          <w:highlight w:val="yellow"/>
        </w:rPr>
        <w:t>Insert Fig. 7.2 here</w:t>
      </w:r>
      <w:r>
        <w:rPr>
          <w:rFonts w:cs="Times New Roman"/>
        </w:rPr>
        <w:t xml:space="preserve"> [T</w:t>
      </w:r>
      <w:r w:rsidRPr="00520788">
        <w:rPr>
          <w:rFonts w:cs="Times New Roman"/>
        </w:rPr>
        <w:t>he image from the 1</w:t>
      </w:r>
      <w:r w:rsidRPr="00520788">
        <w:rPr>
          <w:rFonts w:cs="Times New Roman"/>
          <w:vertAlign w:val="superscript"/>
        </w:rPr>
        <w:t>st</w:t>
      </w:r>
      <w:r w:rsidRPr="00520788">
        <w:rPr>
          <w:rFonts w:cs="Times New Roman"/>
        </w:rPr>
        <w:t xml:space="preserve"> edition</w:t>
      </w:r>
      <w:r>
        <w:rPr>
          <w:rFonts w:cs="Times New Roman"/>
        </w:rPr>
        <w:t>, which does not give the author’s name,</w:t>
      </w:r>
      <w:r w:rsidRPr="00520788">
        <w:rPr>
          <w:rFonts w:cs="Times New Roman"/>
        </w:rPr>
        <w:t xml:space="preserve"> will be used in the published chapter</w:t>
      </w:r>
      <w:r>
        <w:rPr>
          <w:rFonts w:cs="Times New Roman"/>
        </w:rPr>
        <w:t>]</w:t>
      </w:r>
    </w:p>
    <w:p w:rsidR="000B4225" w:rsidRPr="007653D3" w:rsidRDefault="000B4225" w:rsidP="000B4225">
      <w:pPr>
        <w:spacing w:line="240" w:lineRule="auto"/>
        <w:jc w:val="center"/>
        <w:rPr>
          <w:rFonts w:cs="Times New Roman"/>
        </w:rPr>
      </w:pPr>
    </w:p>
    <w:p w:rsidR="000B4225" w:rsidRPr="007653D3" w:rsidRDefault="000B4225" w:rsidP="000B4225">
      <w:pPr>
        <w:spacing w:line="240" w:lineRule="auto"/>
        <w:jc w:val="both"/>
        <w:rPr>
          <w:rFonts w:cs="Times New Roman"/>
        </w:rPr>
      </w:pPr>
      <w:r w:rsidRPr="007653D3">
        <w:rPr>
          <w:rFonts w:cs="Times New Roman"/>
        </w:rPr>
        <w:t>There was an Old Derry down Derry, who loved to see little folks merry</w:t>
      </w:r>
      <w:proofErr w:type="gramStart"/>
      <w:r w:rsidRPr="007653D3">
        <w:rPr>
          <w:rFonts w:cs="Times New Roman"/>
        </w:rPr>
        <w:t>;</w:t>
      </w:r>
      <w:proofErr w:type="gramEnd"/>
    </w:p>
    <w:p w:rsidR="000B4225" w:rsidRPr="007653D3" w:rsidRDefault="000B4225" w:rsidP="000B4225">
      <w:pPr>
        <w:spacing w:line="240" w:lineRule="auto"/>
        <w:jc w:val="both"/>
        <w:rPr>
          <w:rFonts w:cs="Times New Roman"/>
        </w:rPr>
      </w:pPr>
      <w:r w:rsidRPr="007653D3">
        <w:rPr>
          <w:rFonts w:cs="Times New Roman"/>
        </w:rPr>
        <w:t xml:space="preserve">So he made them a Book, and with laughter they shook, at the fun of that </w:t>
      </w:r>
    </w:p>
    <w:p w:rsidR="000B4225" w:rsidRPr="007653D3" w:rsidRDefault="000B4225" w:rsidP="000B4225">
      <w:pPr>
        <w:spacing w:line="240" w:lineRule="auto"/>
        <w:jc w:val="both"/>
        <w:rPr>
          <w:rFonts w:cs="Times New Roman"/>
        </w:rPr>
      </w:pPr>
      <w:r w:rsidRPr="007653D3">
        <w:rPr>
          <w:rFonts w:cs="Times New Roman"/>
        </w:rPr>
        <w:t xml:space="preserve">   Derry down Derry!</w:t>
      </w:r>
      <w:r w:rsidRPr="007653D3">
        <w:rPr>
          <w:rStyle w:val="FootnoteReference"/>
          <w:rFonts w:cs="Times New Roman"/>
        </w:rPr>
        <w:footnoteReference w:id="4"/>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Naming the author of the </w:t>
      </w:r>
      <w:r w:rsidRPr="007653D3">
        <w:rPr>
          <w:rFonts w:cs="Times New Roman"/>
          <w:i/>
        </w:rPr>
        <w:t>Book of Nonsense</w:t>
      </w:r>
      <w:r w:rsidRPr="007653D3">
        <w:rPr>
          <w:rFonts w:cs="Times New Roman"/>
        </w:rPr>
        <w:t xml:space="preserve"> as ‘an Old Derry down Derry,’</w:t>
      </w:r>
      <w:r w:rsidRPr="007653D3">
        <w:rPr>
          <w:rStyle w:val="FootnoteReference"/>
          <w:rFonts w:cs="Times New Roman"/>
        </w:rPr>
        <w:footnoteReference w:id="5"/>
      </w:r>
      <w:r w:rsidRPr="007653D3">
        <w:rPr>
          <w:rFonts w:cs="Times New Roman"/>
        </w:rPr>
        <w:t xml:space="preserve"> the first of the limericks in the collection implicitly presents Lear as the prototype for their protagonists, whose defining activity of writing these verses parallels their various distinctive behaviours. Composing such limericks is accordingly likened to dancing ‘a quadrille with a Raven,’ or playing jigs to an ‘uncle’s white pigs’, another example of an ‘Old’ person’s ‘ways’ that are ‘perplexing and odd.’ (</w:t>
      </w:r>
      <w:r w:rsidRPr="006E2449">
        <w:rPr>
          <w:rFonts w:cs="Times New Roman"/>
          <w:i/>
        </w:rPr>
        <w:t>CN</w:t>
      </w:r>
      <w:r w:rsidRPr="007653D3">
        <w:rPr>
          <w:rFonts w:cs="Times New Roman"/>
        </w:rPr>
        <w:t>, 172, 73, 355)</w:t>
      </w:r>
    </w:p>
    <w:p w:rsidR="000B4225" w:rsidRPr="007653D3" w:rsidRDefault="000B4225" w:rsidP="000B4225">
      <w:pPr>
        <w:spacing w:line="240" w:lineRule="auto"/>
        <w:ind w:firstLine="720"/>
        <w:jc w:val="both"/>
        <w:rPr>
          <w:rFonts w:cs="Times New Roman"/>
        </w:rPr>
      </w:pPr>
      <w:r w:rsidRPr="007653D3">
        <w:rPr>
          <w:rFonts w:cs="Times New Roman"/>
        </w:rPr>
        <w:t xml:space="preserve">Like those that follow it, the drawing for the ‘Derry down Derry’ limerick, which occupies the title page and front and back boards of most editions issued during Lear’s lifetime, depicts its protagonist’s peculiar </w:t>
      </w:r>
      <w:r w:rsidRPr="007653D3">
        <w:rPr>
          <w:rFonts w:cs="Times New Roman"/>
          <w:i/>
        </w:rPr>
        <w:t>raison d’être</w:t>
      </w:r>
      <w:r w:rsidRPr="007653D3">
        <w:rPr>
          <w:rFonts w:cs="Times New Roman"/>
        </w:rPr>
        <w:t xml:space="preserve">, as he presents the </w:t>
      </w:r>
      <w:r w:rsidRPr="007653D3">
        <w:rPr>
          <w:rFonts w:cs="Times New Roman"/>
          <w:i/>
        </w:rPr>
        <w:t>Book of Nonsense</w:t>
      </w:r>
      <w:r w:rsidRPr="007653D3">
        <w:rPr>
          <w:rFonts w:cs="Times New Roman"/>
        </w:rPr>
        <w:t xml:space="preserve"> to many active and excited ‘little folks merry.’ This presentation accordingly furnishes a representation of ‘A Book of Nonsense’ on the covers of the book itself, a </w:t>
      </w:r>
      <w:proofErr w:type="spellStart"/>
      <w:r w:rsidRPr="007653D3">
        <w:rPr>
          <w:rFonts w:cs="Times New Roman"/>
          <w:i/>
        </w:rPr>
        <w:t>mise</w:t>
      </w:r>
      <w:proofErr w:type="spellEnd"/>
      <w:r w:rsidRPr="007653D3">
        <w:rPr>
          <w:rFonts w:cs="Times New Roman"/>
          <w:i/>
        </w:rPr>
        <w:t>-en-</w:t>
      </w:r>
      <w:proofErr w:type="spellStart"/>
      <w:r w:rsidRPr="007653D3">
        <w:rPr>
          <w:rFonts w:cs="Times New Roman"/>
          <w:i/>
        </w:rPr>
        <w:t>abyme</w:t>
      </w:r>
      <w:proofErr w:type="spellEnd"/>
      <w:r w:rsidRPr="007653D3">
        <w:rPr>
          <w:rFonts w:cs="Times New Roman"/>
        </w:rPr>
        <w:t xml:space="preserve"> conceit to parallel that of the limerick it accompanies: the teasing predicament indicated earlier, in which the author introduces himself as a fictitious character in a limerick, ‘an Old Derry down Derry,’ who is nevertheless also responsible for creating the other protagonists of the limericks, each of whom is defined by an odd behaviour parallel to that of writing the limericks, of making the Book that contains them all. Such </w:t>
      </w:r>
      <w:proofErr w:type="spellStart"/>
      <w:r w:rsidRPr="007653D3">
        <w:rPr>
          <w:rFonts w:cs="Times New Roman"/>
        </w:rPr>
        <w:t>recursivity</w:t>
      </w:r>
      <w:proofErr w:type="spellEnd"/>
      <w:r w:rsidRPr="007653D3">
        <w:rPr>
          <w:rFonts w:cs="Times New Roman"/>
        </w:rPr>
        <w:t xml:space="preserve"> anticipates the protagonist of </w:t>
      </w:r>
      <w:r w:rsidRPr="007653D3">
        <w:rPr>
          <w:rFonts w:cs="Times New Roman"/>
          <w:i/>
        </w:rPr>
        <w:t xml:space="preserve">The </w:t>
      </w:r>
      <w:proofErr w:type="spellStart"/>
      <w:r w:rsidRPr="007653D3">
        <w:rPr>
          <w:rFonts w:cs="Times New Roman"/>
          <w:i/>
        </w:rPr>
        <w:t>Unnamable</w:t>
      </w:r>
      <w:proofErr w:type="spellEnd"/>
      <w:r w:rsidRPr="007653D3">
        <w:rPr>
          <w:rFonts w:cs="Times New Roman"/>
        </w:rPr>
        <w:t xml:space="preserve">, who through his writing brings into being himself and other </w:t>
      </w:r>
      <w:proofErr w:type="spellStart"/>
      <w:r w:rsidRPr="007653D3">
        <w:rPr>
          <w:rFonts w:cs="Times New Roman"/>
        </w:rPr>
        <w:t>Beckettian</w:t>
      </w:r>
      <w:proofErr w:type="spellEnd"/>
      <w:r w:rsidRPr="007653D3">
        <w:rPr>
          <w:rFonts w:cs="Times New Roman"/>
        </w:rPr>
        <w:t xml:space="preserve"> characters, such as Molloy and Malone. </w:t>
      </w:r>
    </w:p>
    <w:p w:rsidR="000B4225" w:rsidRPr="007653D3" w:rsidRDefault="000B4225" w:rsidP="000B4225">
      <w:pPr>
        <w:spacing w:line="240" w:lineRule="auto"/>
        <w:ind w:firstLine="720"/>
        <w:jc w:val="both"/>
        <w:rPr>
          <w:rFonts w:cs="Times New Roman"/>
        </w:rPr>
      </w:pPr>
      <w:r w:rsidRPr="007653D3">
        <w:rPr>
          <w:rFonts w:cs="Times New Roman"/>
        </w:rPr>
        <w:t xml:space="preserve">The self-contained form of Lear’s limerick and its peculiar deployment of word-sounds can be introduced and explained in relation to contemporary children’s literature, a popular strain of which conspired to shape the emerging middle-class conception and experience of childhood with strict and often arbitrary rules. The limericks offer a </w:t>
      </w:r>
      <w:proofErr w:type="spellStart"/>
      <w:r w:rsidRPr="007653D3">
        <w:rPr>
          <w:rFonts w:cs="Times New Roman"/>
        </w:rPr>
        <w:t>carnivalesque</w:t>
      </w:r>
      <w:proofErr w:type="spellEnd"/>
      <w:r w:rsidRPr="007653D3">
        <w:rPr>
          <w:rFonts w:cs="Times New Roman"/>
        </w:rPr>
        <w:t xml:space="preserve"> retort to such popular moralistic children’s literature as Mrs Turner’s chapbooks </w:t>
      </w:r>
      <w:r w:rsidRPr="007653D3">
        <w:rPr>
          <w:rFonts w:cs="Times New Roman"/>
          <w:i/>
        </w:rPr>
        <w:t>The Daisy, or Cautionary Stories in Verse</w:t>
      </w:r>
      <w:r w:rsidRPr="007653D3">
        <w:rPr>
          <w:rFonts w:cs="Times New Roman"/>
        </w:rPr>
        <w:t xml:space="preserve"> (1808) and </w:t>
      </w:r>
      <w:r w:rsidRPr="007653D3">
        <w:rPr>
          <w:rFonts w:cs="Times New Roman"/>
          <w:i/>
        </w:rPr>
        <w:t>The Cowslip, or More Cautionary Stories</w:t>
      </w:r>
      <w:r w:rsidRPr="007653D3">
        <w:rPr>
          <w:rFonts w:cs="Times New Roman"/>
        </w:rPr>
        <w:t xml:space="preserve"> (1811), where short verses describe children being punished, often with grotesque severity, for wilful behaviour; ‘Such naughty things to do’</w:t>
      </w:r>
      <w:r w:rsidRPr="007653D3">
        <w:rPr>
          <w:rStyle w:val="FootnoteReference"/>
          <w:rFonts w:cs="Times New Roman"/>
        </w:rPr>
        <w:footnoteReference w:id="6"/>
      </w:r>
      <w:r w:rsidRPr="007653D3">
        <w:rPr>
          <w:rFonts w:cs="Times New Roman"/>
        </w:rPr>
        <w:t xml:space="preserve"> as truancy, making noises, not dressing, using ‘Improper Words’</w:t>
      </w:r>
      <w:r w:rsidRPr="007653D3">
        <w:rPr>
          <w:rStyle w:val="FootnoteReference"/>
          <w:rFonts w:cs="Times New Roman"/>
        </w:rPr>
        <w:footnoteReference w:id="7"/>
      </w:r>
      <w:r w:rsidRPr="007653D3">
        <w:rPr>
          <w:rFonts w:cs="Times New Roman"/>
        </w:rPr>
        <w:t xml:space="preserve"> and killing cats. Jean-Jacques </w:t>
      </w:r>
      <w:proofErr w:type="spellStart"/>
      <w:r w:rsidRPr="007653D3">
        <w:rPr>
          <w:rFonts w:cs="Times New Roman"/>
        </w:rPr>
        <w:t>Lecercle</w:t>
      </w:r>
      <w:proofErr w:type="spellEnd"/>
      <w:r w:rsidRPr="007653D3">
        <w:rPr>
          <w:rFonts w:cs="Times New Roman"/>
        </w:rPr>
        <w:t xml:space="preserve"> argues that nonsense literature arises partly as a reaction to early </w:t>
      </w:r>
      <w:proofErr w:type="gramStart"/>
      <w:r w:rsidRPr="007653D3">
        <w:rPr>
          <w:rFonts w:cs="Times New Roman"/>
        </w:rPr>
        <w:t>mass-schooling</w:t>
      </w:r>
      <w:proofErr w:type="gramEnd"/>
      <w:r w:rsidRPr="007653D3">
        <w:rPr>
          <w:rFonts w:cs="Times New Roman"/>
        </w:rPr>
        <w:t xml:space="preserve"> in Britain, with its ‘maxims of good behaviour, linguistic and otherwise.’</w:t>
      </w:r>
      <w:r w:rsidRPr="007653D3">
        <w:rPr>
          <w:rStyle w:val="FootnoteReference"/>
          <w:rFonts w:cs="Times New Roman"/>
        </w:rPr>
        <w:footnoteReference w:id="8"/>
      </w:r>
      <w:r w:rsidRPr="007653D3">
        <w:rPr>
          <w:rFonts w:cs="Times New Roman"/>
        </w:rPr>
        <w:t xml:space="preserve"> The early nineteenth century chapbook is adjunct to such schooling, as another example of the form serves to illustrate.</w:t>
      </w:r>
      <w:r w:rsidRPr="007653D3">
        <w:rPr>
          <w:rFonts w:cs="Times New Roman"/>
          <w:i/>
        </w:rPr>
        <w:t xml:space="preserve"> Mrs Lovechild’s Golden Present for All Good Little Boys and Girls</w:t>
      </w:r>
      <w:r w:rsidRPr="007653D3">
        <w:rPr>
          <w:rFonts w:cs="Times New Roman"/>
        </w:rPr>
        <w:t xml:space="preserve"> (c. 1820) clearly outlines the moral mission and the format of the chapbook genre, with a preliminary wood-cut of a Dame school class, with rows of children on benches being read to by a stern Mrs Lovechild, ‘Who,’ as the verse beneath it explains, ‘places here before your view, | The boon of vice and virtue too.’ She is seated at a table holding the aforementioned boons, her </w:t>
      </w:r>
      <w:proofErr w:type="spellStart"/>
      <w:r w:rsidRPr="007653D3">
        <w:rPr>
          <w:rFonts w:cs="Times New Roman"/>
        </w:rPr>
        <w:t>pavlovian</w:t>
      </w:r>
      <w:proofErr w:type="spellEnd"/>
      <w:r w:rsidRPr="007653D3">
        <w:rPr>
          <w:rFonts w:cs="Times New Roman"/>
        </w:rPr>
        <w:t xml:space="preserve"> instruments of instruction, in each hand: ‘All who are good the Orange share, | </w:t>
      </w:r>
      <w:proofErr w:type="gramStart"/>
      <w:r w:rsidRPr="007653D3">
        <w:rPr>
          <w:rFonts w:cs="Times New Roman"/>
        </w:rPr>
        <w:t>The</w:t>
      </w:r>
      <w:proofErr w:type="gramEnd"/>
      <w:r w:rsidRPr="007653D3">
        <w:rPr>
          <w:rFonts w:cs="Times New Roman"/>
        </w:rPr>
        <w:t xml:space="preserve"> rod no naughty boy shall spare.’</w:t>
      </w:r>
      <w:r w:rsidRPr="007653D3">
        <w:rPr>
          <w:rStyle w:val="FootnoteReference"/>
          <w:rFonts w:cs="Times New Roman"/>
        </w:rPr>
        <w:footnoteReference w:id="9"/>
      </w:r>
      <w:r w:rsidRPr="007653D3">
        <w:rPr>
          <w:rFonts w:cs="Times New Roman"/>
        </w:rPr>
        <w:t xml:space="preserve"> While broadly corresponding to the page format of the chapbooks, the limericks contradict their paternalistic </w:t>
      </w:r>
      <w:proofErr w:type="gramStart"/>
      <w:r w:rsidRPr="007653D3">
        <w:rPr>
          <w:rFonts w:cs="Times New Roman"/>
        </w:rPr>
        <w:t>premise, that</w:t>
      </w:r>
      <w:proofErr w:type="gramEnd"/>
      <w:r w:rsidRPr="007653D3">
        <w:rPr>
          <w:rFonts w:cs="Times New Roman"/>
        </w:rPr>
        <w:t xml:space="preserve"> children can and should look to their elders for moral guidance and sober examples of good conduct. Instead they present, with documentary frankness, a delirium of aberrant and wilful behaviours, each of which indicates the peculiar character of an adult, usually an old person who is native to a particular place in Britain, or indeed the greater world: ‘There was an Old Man of Moldavia, | Who had the most curious behaviour’ (</w:t>
      </w:r>
      <w:r w:rsidRPr="006E2449">
        <w:rPr>
          <w:rFonts w:cs="Times New Roman"/>
          <w:i/>
        </w:rPr>
        <w:t>CN</w:t>
      </w:r>
      <w:r w:rsidRPr="007653D3">
        <w:rPr>
          <w:rFonts w:cs="Times New Roman"/>
        </w:rPr>
        <w:t xml:space="preserve">, 82). The limericks furnish localized, pseudo-factual reports of naughtiness amongst grown-up people, which build cumulatively to yield inductive generalizations about their arbitrary mores and absurd nature. </w:t>
      </w:r>
    </w:p>
    <w:p w:rsidR="000B4225" w:rsidRPr="007653D3" w:rsidRDefault="000B4225" w:rsidP="000B4225">
      <w:pPr>
        <w:spacing w:line="240" w:lineRule="auto"/>
        <w:ind w:firstLine="720"/>
        <w:jc w:val="both"/>
        <w:rPr>
          <w:rFonts w:cs="Times New Roman"/>
        </w:rPr>
      </w:pPr>
      <w:r w:rsidRPr="007653D3">
        <w:rPr>
          <w:rFonts w:cs="Times New Roman"/>
        </w:rPr>
        <w:t xml:space="preserve">Much reprinted across a period notorious for prescribing that children should be seen and not heard, </w:t>
      </w:r>
      <w:r w:rsidRPr="007653D3">
        <w:rPr>
          <w:rFonts w:cs="Times New Roman"/>
          <w:i/>
        </w:rPr>
        <w:t>The Daisy</w:t>
      </w:r>
      <w:r w:rsidRPr="007653D3">
        <w:rPr>
          <w:rFonts w:cs="Times New Roman"/>
        </w:rPr>
        <w:t xml:space="preserve"> and </w:t>
      </w:r>
      <w:r w:rsidRPr="007653D3">
        <w:rPr>
          <w:rFonts w:cs="Times New Roman"/>
          <w:i/>
        </w:rPr>
        <w:t xml:space="preserve">The Cowslip </w:t>
      </w:r>
      <w:r w:rsidRPr="007653D3">
        <w:rPr>
          <w:rFonts w:cs="Times New Roman"/>
        </w:rPr>
        <w:t xml:space="preserve">are preoccupied with childish sounds: ‘There was a naughty boy; | Who </w:t>
      </w:r>
      <w:proofErr w:type="spellStart"/>
      <w:r w:rsidRPr="007653D3">
        <w:rPr>
          <w:rFonts w:cs="Times New Roman"/>
        </w:rPr>
        <w:t>talk’d</w:t>
      </w:r>
      <w:proofErr w:type="spellEnd"/>
      <w:r w:rsidRPr="007653D3">
        <w:rPr>
          <w:rFonts w:cs="Times New Roman"/>
        </w:rPr>
        <w:t xml:space="preserve"> and </w:t>
      </w:r>
      <w:proofErr w:type="spellStart"/>
      <w:r w:rsidRPr="007653D3">
        <w:rPr>
          <w:rFonts w:cs="Times New Roman"/>
        </w:rPr>
        <w:t>play’d</w:t>
      </w:r>
      <w:proofErr w:type="spellEnd"/>
      <w:r w:rsidRPr="007653D3">
        <w:rPr>
          <w:rFonts w:cs="Times New Roman"/>
        </w:rPr>
        <w:t>, | And noises made.’ Crying (‘those tears and this noise’) is excusable for babies ‘not yet able to speak with their tongue,’</w:t>
      </w:r>
      <w:r w:rsidRPr="007653D3">
        <w:rPr>
          <w:rStyle w:val="FootnoteReference"/>
          <w:rFonts w:cs="Times New Roman"/>
        </w:rPr>
        <w:footnoteReference w:id="10"/>
      </w:r>
      <w:r w:rsidRPr="007653D3">
        <w:rPr>
          <w:rFonts w:cs="Times New Roman"/>
        </w:rPr>
        <w:t xml:space="preserve"> but when perpetrated by children, is always met with whipping in these verses. Doctors and nurses attending a sick mother warn that childish ‘noise would make her worse,’ while the secret of ‘The Good Scholar’ is that ‘he made it a rule, | To be silent at school.’</w:t>
      </w:r>
      <w:r w:rsidRPr="007653D3">
        <w:rPr>
          <w:rStyle w:val="FootnoteReference"/>
          <w:rFonts w:cs="Times New Roman"/>
        </w:rPr>
        <w:footnoteReference w:id="11"/>
      </w:r>
      <w:r w:rsidRPr="007653D3">
        <w:rPr>
          <w:rFonts w:cs="Times New Roman"/>
        </w:rPr>
        <w:t xml:space="preserve"> In harsh and telling contrast to Lear’s ‘Derry Down Derry’ limerick, childish laughter is the crude sound of </w:t>
      </w:r>
      <w:proofErr w:type="spellStart"/>
      <w:r w:rsidRPr="007653D3">
        <w:rPr>
          <w:rFonts w:cs="Times New Roman"/>
          <w:i/>
        </w:rPr>
        <w:t>schadenfreude</w:t>
      </w:r>
      <w:proofErr w:type="spellEnd"/>
      <w:r w:rsidRPr="007653D3">
        <w:rPr>
          <w:rFonts w:cs="Times New Roman"/>
        </w:rPr>
        <w:t xml:space="preserve"> in ‘The Hoyden,’ where ‘A very large stone, when it fell on her toe: | </w:t>
      </w:r>
      <w:r>
        <w:rPr>
          <w:rFonts w:cs="Times New Roman"/>
        </w:rPr>
        <w:t>[</w:t>
      </w:r>
      <w:r w:rsidRPr="007653D3">
        <w:rPr>
          <w:rFonts w:cs="Times New Roman"/>
        </w:rPr>
        <w:t>…</w:t>
      </w:r>
      <w:r>
        <w:rPr>
          <w:rFonts w:cs="Times New Roman"/>
        </w:rPr>
        <w:t xml:space="preserve">] </w:t>
      </w:r>
      <w:r w:rsidRPr="007653D3">
        <w:rPr>
          <w:rFonts w:cs="Times New Roman"/>
        </w:rPr>
        <w:t>Set up a loud laugh’ from the boys. The original sin of ‘a faulty tongue,’</w:t>
      </w:r>
      <w:r w:rsidRPr="007653D3">
        <w:rPr>
          <w:rStyle w:val="FootnoteReference"/>
          <w:rFonts w:cs="Times New Roman"/>
        </w:rPr>
        <w:footnoteReference w:id="12"/>
      </w:r>
      <w:r w:rsidRPr="007653D3">
        <w:rPr>
          <w:rFonts w:cs="Times New Roman"/>
        </w:rPr>
        <w:t xml:space="preserve"> the noises that children make are regarded as the expression of a primitive wilfulness that needs to be subdued, superseded by habits of silence and deferential politesse. </w:t>
      </w:r>
    </w:p>
    <w:p w:rsidR="000B4225" w:rsidRPr="007653D3" w:rsidRDefault="000B4225" w:rsidP="000B4225">
      <w:pPr>
        <w:spacing w:line="240" w:lineRule="auto"/>
        <w:jc w:val="both"/>
        <w:rPr>
          <w:rFonts w:cs="Times New Roman"/>
        </w:rPr>
      </w:pPr>
      <w:r w:rsidRPr="007653D3">
        <w:rPr>
          <w:rFonts w:cs="Times New Roman"/>
        </w:rPr>
        <w:tab/>
        <w:t xml:space="preserve">Judged by Mrs Turner’s code of juvenile behaviour, the ‘Derry down Derry’ limerick and illustration, the </w:t>
      </w:r>
      <w:proofErr w:type="spellStart"/>
      <w:r w:rsidRPr="007653D3">
        <w:rPr>
          <w:rFonts w:cs="Times New Roman"/>
        </w:rPr>
        <w:t>urtext</w:t>
      </w:r>
      <w:proofErr w:type="spellEnd"/>
      <w:r w:rsidRPr="007653D3">
        <w:rPr>
          <w:rFonts w:cs="Times New Roman"/>
        </w:rPr>
        <w:t xml:space="preserve"> for </w:t>
      </w:r>
      <w:r w:rsidRPr="007653D3">
        <w:rPr>
          <w:rFonts w:cs="Times New Roman"/>
          <w:i/>
        </w:rPr>
        <w:t>The Book of Nonsense</w:t>
      </w:r>
      <w:r w:rsidRPr="007653D3">
        <w:rPr>
          <w:rFonts w:cs="Times New Roman"/>
        </w:rPr>
        <w:t xml:space="preserve">, is both a testament and incitement to naughtiness. In the drawing, the lines of the limbs and </w:t>
      </w:r>
      <w:proofErr w:type="gramStart"/>
      <w:r w:rsidRPr="007653D3">
        <w:rPr>
          <w:rFonts w:cs="Times New Roman"/>
        </w:rPr>
        <w:t>sight-lines</w:t>
      </w:r>
      <w:proofErr w:type="gramEnd"/>
      <w:r w:rsidRPr="007653D3">
        <w:rPr>
          <w:rFonts w:cs="Times New Roman"/>
        </w:rPr>
        <w:t xml:space="preserve"> of the children and the Old Derry down Derry converge upon the focal point of the ‘Book.’ Several children are pictured dancing around it, with one doing a head-stand, while in a balancing group on the other side of the protagonist, the open mouth of one child and the vertical lines of the children’s leaping limbs, like a series of exclamation marks, echo and emphasise this excitement. Compensating for the silence of its medium, the drawing translates sound vibrations into the sketchy, almost abstract, dynamics of its lines, propagating and amplifying the bodily expression of merriment that the verses ascribe to the children, as ‘with laughter they shook.’ Their limbs akimbo reiterating those of the ‘Derry down Derry,’ the children’s laughter responds directly and in kind to the expressive sounds of the protagonist, which are intrinsic not only to his art but also to his name. </w:t>
      </w:r>
    </w:p>
    <w:p w:rsidR="000B4225" w:rsidRPr="007653D3" w:rsidRDefault="000B4225" w:rsidP="000B4225">
      <w:pPr>
        <w:spacing w:line="240" w:lineRule="auto"/>
        <w:ind w:firstLine="720"/>
        <w:jc w:val="both"/>
        <w:rPr>
          <w:rFonts w:cs="Times New Roman"/>
        </w:rPr>
      </w:pPr>
      <w:r w:rsidRPr="007653D3">
        <w:rPr>
          <w:rFonts w:cs="Times New Roman"/>
        </w:rPr>
        <w:t xml:space="preserve">While, as Vivien </w:t>
      </w:r>
      <w:proofErr w:type="spellStart"/>
      <w:r w:rsidRPr="007653D3">
        <w:rPr>
          <w:rFonts w:cs="Times New Roman"/>
        </w:rPr>
        <w:t>Noakes</w:t>
      </w:r>
      <w:proofErr w:type="spellEnd"/>
      <w:r w:rsidRPr="007653D3">
        <w:rPr>
          <w:rFonts w:cs="Times New Roman"/>
        </w:rPr>
        <w:t xml:space="preserve"> observes, ‘Derry down Derry’ is the name of a fool in old English mummers’ plays, it is best known as a refrain in English folk songs, akin to the ‘high diddle </w:t>
      </w:r>
      <w:proofErr w:type="spellStart"/>
      <w:r w:rsidRPr="007653D3">
        <w:rPr>
          <w:rFonts w:cs="Times New Roman"/>
        </w:rPr>
        <w:t>diddledy</w:t>
      </w:r>
      <w:proofErr w:type="spellEnd"/>
      <w:r w:rsidRPr="007653D3">
        <w:rPr>
          <w:rFonts w:cs="Times New Roman"/>
        </w:rPr>
        <w:t>’ Lear uses in his early ‘Ode to the little China Man.’ (</w:t>
      </w:r>
      <w:r w:rsidRPr="006E2449">
        <w:rPr>
          <w:rFonts w:cs="Times New Roman"/>
          <w:i/>
        </w:rPr>
        <w:t>CN</w:t>
      </w:r>
      <w:r w:rsidRPr="007653D3">
        <w:rPr>
          <w:rFonts w:cs="Times New Roman"/>
        </w:rPr>
        <w:t xml:space="preserve">, 485, 44) A lilting phrase that has long since lost its denotations and been used to furnish rhymes and sustain lines of verse and music, ‘Derry down Derry’ is a casually canonical nonsense sound, with which the ‘little folks merry’ resonate in Lear’s limerick. Sounds without particular meaning, both ‘Derry down Derry’ and the children’s laughter he incites find their expression, their visual correlative, in the physical exuberance sketched by the drawing, the sort of sound and fury signifying naughtiness that Mrs Turner campaigns against in her chapbooks. </w:t>
      </w:r>
    </w:p>
    <w:p w:rsidR="000B4225" w:rsidRPr="007653D3" w:rsidRDefault="000B4225" w:rsidP="000B4225">
      <w:pPr>
        <w:spacing w:line="240" w:lineRule="auto"/>
        <w:ind w:firstLine="720"/>
        <w:jc w:val="both"/>
        <w:rPr>
          <w:rFonts w:cs="Times New Roman"/>
        </w:rPr>
      </w:pPr>
      <w:r w:rsidRPr="007653D3">
        <w:rPr>
          <w:rFonts w:cs="Times New Roman"/>
        </w:rPr>
        <w:t xml:space="preserve">The phrase ‘Derry down Derry’ is in Lear’s verse not only a pseudonymous signature, but also outlines the signature tune, the basic form, of his limericks. Restated at the start and end of its poem, the phrase encapsulates the larger shape it fills, representing schematically the overarching repetition that contains each of the limericks. In the fuller form of the phrase used in the first line, ‘an Old Derry’ suggests a curtailed version of the formula used for most protagonists of the limericks, which identifies them with a place; ‘an Old [person of] Derry.’ The rest of the phrase, the further ‘down Derry,’ gestures to the answering form below, in the last line of the verse. Each instance of the word that is repeated at the ends of the first and the final lines of a limerick (e.g., ‘Derry’) becomes a rhyme only insofar as both are mediated by a similar word-sound at the close of the second line (e.g., ‘merry’). The limerick’s nicely aligned three </w:t>
      </w:r>
      <w:proofErr w:type="spellStart"/>
      <w:r w:rsidRPr="007653D3">
        <w:rPr>
          <w:rFonts w:cs="Times New Roman"/>
        </w:rPr>
        <w:t>trimeter</w:t>
      </w:r>
      <w:proofErr w:type="spellEnd"/>
      <w:r w:rsidRPr="007653D3">
        <w:rPr>
          <w:rFonts w:cs="Times New Roman"/>
        </w:rPr>
        <w:t xml:space="preserve"> and two </w:t>
      </w:r>
      <w:proofErr w:type="spellStart"/>
      <w:r w:rsidRPr="007653D3">
        <w:rPr>
          <w:rFonts w:cs="Times New Roman"/>
        </w:rPr>
        <w:t>dimeter</w:t>
      </w:r>
      <w:proofErr w:type="spellEnd"/>
      <w:r w:rsidRPr="007653D3">
        <w:rPr>
          <w:rFonts w:cs="Times New Roman"/>
        </w:rPr>
        <w:t xml:space="preserve"> lines carry the respective terms of the </w:t>
      </w:r>
      <w:proofErr w:type="spellStart"/>
      <w:r w:rsidRPr="007653D3">
        <w:rPr>
          <w:rFonts w:cs="Times New Roman"/>
          <w:i/>
        </w:rPr>
        <w:t>aabba</w:t>
      </w:r>
      <w:proofErr w:type="spellEnd"/>
      <w:r w:rsidRPr="007653D3">
        <w:rPr>
          <w:rFonts w:cs="Times New Roman"/>
        </w:rPr>
        <w:t xml:space="preserve"> rhyme scheme, while it ends where it began, with the last line repeating all or much of the first, a neatly ordered and self-enclosed poem of one stanza.</w:t>
      </w:r>
    </w:p>
    <w:p w:rsidR="000B4225" w:rsidRPr="007653D3" w:rsidRDefault="000B4225" w:rsidP="000B4225">
      <w:pPr>
        <w:tabs>
          <w:tab w:val="left" w:pos="6946"/>
        </w:tabs>
        <w:spacing w:line="240" w:lineRule="auto"/>
        <w:ind w:firstLine="720"/>
        <w:jc w:val="both"/>
        <w:rPr>
          <w:rFonts w:cs="Times New Roman"/>
        </w:rPr>
      </w:pPr>
    </w:p>
    <w:p w:rsidR="000B4225" w:rsidRPr="007653D3" w:rsidRDefault="000B4225" w:rsidP="000B4225">
      <w:pPr>
        <w:spacing w:line="240" w:lineRule="auto"/>
        <w:jc w:val="center"/>
        <w:rPr>
          <w:rFonts w:cs="Times New Roman"/>
        </w:rPr>
      </w:pPr>
      <w:r w:rsidRPr="007653D3">
        <w:rPr>
          <w:rFonts w:cs="Times New Roman"/>
        </w:rPr>
        <w:t>II</w:t>
      </w:r>
    </w:p>
    <w:p w:rsidR="000B4225" w:rsidRPr="007653D3" w:rsidRDefault="000B4225" w:rsidP="000B4225">
      <w:pPr>
        <w:spacing w:line="240" w:lineRule="auto"/>
        <w:jc w:val="center"/>
        <w:rPr>
          <w:rFonts w:cs="Times New Roman"/>
        </w:rPr>
      </w:pPr>
    </w:p>
    <w:p w:rsidR="000B4225" w:rsidRPr="007653D3" w:rsidRDefault="000B4225" w:rsidP="000B4225">
      <w:pPr>
        <w:spacing w:line="240" w:lineRule="auto"/>
        <w:jc w:val="both"/>
        <w:rPr>
          <w:rFonts w:cs="Times New Roman"/>
        </w:rPr>
      </w:pPr>
      <w:r w:rsidRPr="007653D3">
        <w:rPr>
          <w:rFonts w:cs="Times New Roman"/>
        </w:rPr>
        <w:t>Being identified with a place name implies belonging, fitting in with a habitat or social group. Usually native to a particular place, the protagonists of the limericks are presented as peculiar species that each consist of only one member,</w:t>
      </w:r>
      <w:r w:rsidRPr="007653D3">
        <w:rPr>
          <w:rStyle w:val="FootnoteReference"/>
          <w:rFonts w:cs="Times New Roman"/>
        </w:rPr>
        <w:footnoteReference w:id="13"/>
      </w:r>
      <w:r w:rsidRPr="007653D3">
        <w:rPr>
          <w:rFonts w:cs="Times New Roman"/>
        </w:rPr>
        <w:t xml:space="preserve"> who while they may each be on friendly terms with certain animals are almost invariably distinguished from groups of people, most notoriously the ‘they’. Also placed in the past (‘There was an Old Person of …’), the protagonists of the limericks are not only definitive but also extinct, like the creatures at the end of Lear’s </w:t>
      </w:r>
      <w:r w:rsidRPr="007653D3">
        <w:rPr>
          <w:rFonts w:cs="Times New Roman"/>
          <w:i/>
        </w:rPr>
        <w:t xml:space="preserve">The History of the Seven Families of the Lake </w:t>
      </w:r>
      <w:proofErr w:type="spellStart"/>
      <w:r w:rsidRPr="007653D3">
        <w:rPr>
          <w:rFonts w:cs="Times New Roman"/>
          <w:i/>
        </w:rPr>
        <w:t>Pipple-Popple</w:t>
      </w:r>
      <w:proofErr w:type="spellEnd"/>
      <w:r w:rsidRPr="007653D3">
        <w:rPr>
          <w:rFonts w:cs="Times New Roman"/>
        </w:rPr>
        <w:t>. By the closing chapter of this little natural history the children from the Seven Families of animals have all fallen prey to a nonsensical ‘nature red in tooth and claw’. This leaves only their ‘old’ parents to represent the taxonomical array of the Lake, a role they fulfil conscientiously, as they decide to leave their remains to science, pickling themselves in seven bottles and giving ‘strict orders’ in their wills that they be carefully sealed and labelled and ‘presented to the principal museum of the city of Tosh.’ (</w:t>
      </w:r>
      <w:r w:rsidRPr="006E2449">
        <w:rPr>
          <w:rFonts w:cs="Times New Roman"/>
          <w:i/>
        </w:rPr>
        <w:t>CN</w:t>
      </w:r>
      <w:r w:rsidRPr="007653D3">
        <w:rPr>
          <w:rFonts w:cs="Times New Roman"/>
        </w:rPr>
        <w:t xml:space="preserve">, 205) They effectively offer themselves as name-bearing specimens or </w:t>
      </w:r>
      <w:proofErr w:type="spellStart"/>
      <w:r w:rsidRPr="007653D3">
        <w:rPr>
          <w:rFonts w:cs="Times New Roman"/>
        </w:rPr>
        <w:t>holotypes</w:t>
      </w:r>
      <w:proofErr w:type="spellEnd"/>
      <w:r w:rsidRPr="007653D3">
        <w:rPr>
          <w:rFonts w:cs="Times New Roman"/>
        </w:rPr>
        <w:t>, the preserved remains, usually held in the British Museum, that provide the definitive reference for identifying subsequent examples of the species.</w:t>
      </w:r>
      <w:r w:rsidRPr="007653D3">
        <w:rPr>
          <w:rStyle w:val="FootnoteReference"/>
          <w:rFonts w:cs="Times New Roman"/>
        </w:rPr>
        <w:footnoteReference w:id="14"/>
      </w:r>
      <w:r w:rsidRPr="007653D3">
        <w:rPr>
          <w:rFonts w:cs="Times New Roman"/>
        </w:rPr>
        <w:t xml:space="preserve"> As Lear was well aware from producing his </w:t>
      </w:r>
      <w:r w:rsidRPr="007653D3">
        <w:rPr>
          <w:rFonts w:cs="Times New Roman"/>
          <w:i/>
        </w:rPr>
        <w:t xml:space="preserve">Illustrations of the family of </w:t>
      </w:r>
      <w:proofErr w:type="spellStart"/>
      <w:r w:rsidRPr="007653D3">
        <w:rPr>
          <w:rFonts w:cs="Times New Roman"/>
          <w:i/>
        </w:rPr>
        <w:t>Psittacidae</w:t>
      </w:r>
      <w:proofErr w:type="spellEnd"/>
      <w:r w:rsidRPr="007653D3">
        <w:rPr>
          <w:rFonts w:cs="Times New Roman"/>
          <w:i/>
        </w:rPr>
        <w:t>,</w:t>
      </w:r>
      <w:r w:rsidRPr="007653D3">
        <w:rPr>
          <w:rFonts w:cs="Times New Roman"/>
        </w:rPr>
        <w:t xml:space="preserve"> </w:t>
      </w:r>
      <w:r w:rsidRPr="007653D3">
        <w:rPr>
          <w:rFonts w:cs="Times New Roman"/>
          <w:i/>
        </w:rPr>
        <w:t>or parrots</w:t>
      </w:r>
      <w:r w:rsidRPr="007653D3">
        <w:rPr>
          <w:rFonts w:cs="Times New Roman"/>
        </w:rPr>
        <w:t xml:space="preserve"> (1832), a male and a female specimen, complementary </w:t>
      </w:r>
      <w:proofErr w:type="spellStart"/>
      <w:r w:rsidRPr="007653D3">
        <w:rPr>
          <w:rFonts w:cs="Times New Roman"/>
        </w:rPr>
        <w:t>holotypes</w:t>
      </w:r>
      <w:proofErr w:type="spellEnd"/>
      <w:r w:rsidRPr="007653D3">
        <w:rPr>
          <w:rFonts w:cs="Times New Roman"/>
        </w:rPr>
        <w:t xml:space="preserve"> and </w:t>
      </w:r>
      <w:proofErr w:type="spellStart"/>
      <w:r w:rsidRPr="007653D3">
        <w:rPr>
          <w:rFonts w:cs="Times New Roman"/>
        </w:rPr>
        <w:t>allotypes</w:t>
      </w:r>
      <w:proofErr w:type="spellEnd"/>
      <w:r w:rsidRPr="007653D3">
        <w:rPr>
          <w:rFonts w:cs="Times New Roman"/>
        </w:rPr>
        <w:t xml:space="preserve">, are often needed to identify bird species, a requirement that is met by the pickled examples from the Seven Families, which include parrots and three other types of birds hitherto indigenous to Lake </w:t>
      </w:r>
      <w:proofErr w:type="spellStart"/>
      <w:r w:rsidRPr="007653D3">
        <w:rPr>
          <w:rFonts w:cs="Times New Roman"/>
        </w:rPr>
        <w:t>Pipple-Popple</w:t>
      </w:r>
      <w:proofErr w:type="spellEnd"/>
      <w:r w:rsidRPr="007653D3">
        <w:rPr>
          <w:rFonts w:cs="Times New Roman"/>
        </w:rPr>
        <w:t>. Of course, these creatures can serve no useful purpose as reference specimens, any more than those singular species, also old and unique, that are hermetically sealed and preserved in the arbitrary verse form of Lear’s limerick. The place to which each of the protagonists of the limericks belongs turns out to be not a society or habitat, but simply a sound, like ‘</w:t>
      </w:r>
      <w:proofErr w:type="spellStart"/>
      <w:r w:rsidRPr="007653D3">
        <w:rPr>
          <w:rFonts w:cs="Times New Roman"/>
        </w:rPr>
        <w:t>Pipple-Popple</w:t>
      </w:r>
      <w:proofErr w:type="spellEnd"/>
      <w:r w:rsidRPr="007653D3">
        <w:rPr>
          <w:rFonts w:cs="Times New Roman"/>
        </w:rPr>
        <w:t xml:space="preserve">’, a word that establishes the rhyme pattern that creates and contains them. </w:t>
      </w:r>
    </w:p>
    <w:p w:rsidR="000B4225" w:rsidRPr="007653D3" w:rsidRDefault="000B4225" w:rsidP="000B4225">
      <w:pPr>
        <w:spacing w:line="240" w:lineRule="auto"/>
        <w:ind w:firstLine="720"/>
        <w:jc w:val="both"/>
        <w:rPr>
          <w:rFonts w:cs="Times New Roman"/>
        </w:rPr>
      </w:pPr>
      <w:r w:rsidRPr="007653D3">
        <w:rPr>
          <w:rFonts w:cs="Times New Roman"/>
        </w:rPr>
        <w:t xml:space="preserve">A quirky class of word-sounds, place names, especially those that Lear chooses, can be peculiarly difficult to rhyme: Cadiz, Putney, Vienna, Carlisle, Russia, </w:t>
      </w:r>
      <w:proofErr w:type="spellStart"/>
      <w:r w:rsidRPr="007653D3">
        <w:rPr>
          <w:rFonts w:cs="Times New Roman"/>
        </w:rPr>
        <w:t>Dargle</w:t>
      </w:r>
      <w:proofErr w:type="spellEnd"/>
      <w:r w:rsidRPr="007653D3">
        <w:rPr>
          <w:rFonts w:cs="Times New Roman"/>
        </w:rPr>
        <w:t xml:space="preserve">, Hague, </w:t>
      </w:r>
      <w:proofErr w:type="spellStart"/>
      <w:r w:rsidRPr="007653D3">
        <w:rPr>
          <w:rFonts w:cs="Times New Roman"/>
        </w:rPr>
        <w:t>Kamschatka</w:t>
      </w:r>
      <w:proofErr w:type="spellEnd"/>
      <w:r w:rsidRPr="007653D3">
        <w:rPr>
          <w:rFonts w:cs="Times New Roman"/>
        </w:rPr>
        <w:t xml:space="preserve">, Bohemia, Bangor, Quebec, Smyrna, Vesuvius, Slough, Corfu. While such names each need only one rhyme for their limerick, most offer few choices and so require audacious narrative or descriptive links to facilitate and justify their connection. This </w:t>
      </w:r>
      <w:r w:rsidRPr="007653D3">
        <w:rPr>
          <w:rFonts w:cs="Times New Roman"/>
          <w:i/>
        </w:rPr>
        <w:t>a</w:t>
      </w:r>
      <w:r w:rsidRPr="007653D3">
        <w:rPr>
          <w:rFonts w:cs="Times New Roman"/>
        </w:rPr>
        <w:t xml:space="preserve"> rhyme in turn establishes the conditions for the subsidiary </w:t>
      </w:r>
      <w:r w:rsidRPr="007653D3">
        <w:rPr>
          <w:rFonts w:cs="Times New Roman"/>
          <w:i/>
        </w:rPr>
        <w:t>b</w:t>
      </w:r>
      <w:r w:rsidRPr="007653D3">
        <w:rPr>
          <w:rFonts w:cs="Times New Roman"/>
        </w:rPr>
        <w:t xml:space="preserve"> rhyme, and hence the further terms of the limerick’s vignette:</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ind w:firstLine="720"/>
        <w:jc w:val="both"/>
        <w:rPr>
          <w:rFonts w:cs="Times New Roman"/>
        </w:rPr>
      </w:pPr>
      <w:r w:rsidRPr="007653D3">
        <w:rPr>
          <w:rFonts w:cs="Times New Roman"/>
        </w:rPr>
        <w:t xml:space="preserve">There was an Old Man of </w:t>
      </w:r>
      <w:proofErr w:type="spellStart"/>
      <w:proofErr w:type="gramStart"/>
      <w:r w:rsidRPr="007653D3">
        <w:rPr>
          <w:rFonts w:cs="Times New Roman"/>
        </w:rPr>
        <w:t>th</w:t>
      </w:r>
      <w:proofErr w:type="spellEnd"/>
      <w:proofErr w:type="gramEnd"/>
      <w:r w:rsidRPr="007653D3">
        <w:rPr>
          <w:rFonts w:cs="Times New Roman"/>
        </w:rPr>
        <w:t>’ Abruzzi,</w:t>
      </w:r>
    </w:p>
    <w:p w:rsidR="000B4225" w:rsidRPr="007653D3" w:rsidRDefault="000B4225" w:rsidP="000B4225">
      <w:pPr>
        <w:spacing w:line="240" w:lineRule="auto"/>
        <w:ind w:firstLine="720"/>
        <w:jc w:val="both"/>
        <w:rPr>
          <w:rFonts w:cs="Times New Roman"/>
        </w:rPr>
      </w:pPr>
      <w:r w:rsidRPr="007653D3">
        <w:rPr>
          <w:rFonts w:cs="Times New Roman"/>
        </w:rPr>
        <w:t>So blind that he couldn’t his foot see;</w:t>
      </w:r>
    </w:p>
    <w:p w:rsidR="000B4225" w:rsidRPr="007653D3" w:rsidRDefault="000B4225" w:rsidP="000B4225">
      <w:pPr>
        <w:spacing w:line="240" w:lineRule="auto"/>
        <w:ind w:firstLine="720"/>
        <w:jc w:val="both"/>
        <w:rPr>
          <w:rFonts w:cs="Times New Roman"/>
        </w:rPr>
      </w:pPr>
      <w:r w:rsidRPr="007653D3">
        <w:rPr>
          <w:rFonts w:cs="Times New Roman"/>
        </w:rPr>
        <w:t>When they said, ‘That’s your toe,’ he replied, ‘Is it so?’</w:t>
      </w:r>
    </w:p>
    <w:p w:rsidR="000B4225" w:rsidRPr="007653D3" w:rsidRDefault="000B4225" w:rsidP="000B4225">
      <w:pPr>
        <w:spacing w:line="240" w:lineRule="auto"/>
        <w:ind w:firstLine="720"/>
        <w:jc w:val="both"/>
        <w:rPr>
          <w:rFonts w:cs="Times New Roman"/>
        </w:rPr>
      </w:pPr>
      <w:r w:rsidRPr="007653D3">
        <w:rPr>
          <w:rFonts w:cs="Times New Roman"/>
        </w:rPr>
        <w:t xml:space="preserve">That doubtful Old Man of </w:t>
      </w:r>
      <w:proofErr w:type="spellStart"/>
      <w:proofErr w:type="gramStart"/>
      <w:r w:rsidRPr="007653D3">
        <w:rPr>
          <w:rFonts w:cs="Times New Roman"/>
        </w:rPr>
        <w:t>th</w:t>
      </w:r>
      <w:proofErr w:type="spellEnd"/>
      <w:proofErr w:type="gramEnd"/>
      <w:r w:rsidRPr="007653D3">
        <w:rPr>
          <w:rFonts w:cs="Times New Roman"/>
        </w:rPr>
        <w:t>’ Abruzzi.</w:t>
      </w:r>
      <w:r>
        <w:rPr>
          <w:rFonts w:cs="Times New Roman"/>
        </w:rPr>
        <w:t xml:space="preserve"> </w:t>
      </w:r>
      <w:r w:rsidRPr="007653D3">
        <w:rPr>
          <w:rFonts w:cs="Times New Roman"/>
        </w:rPr>
        <w:t>(</w:t>
      </w:r>
      <w:r w:rsidRPr="00AF7944">
        <w:rPr>
          <w:rFonts w:cs="Times New Roman"/>
          <w:i/>
        </w:rPr>
        <w:t>CN</w:t>
      </w:r>
      <w:r w:rsidRPr="007653D3">
        <w:rPr>
          <w:rFonts w:cs="Times New Roman"/>
        </w:rPr>
        <w:t xml:space="preserve">, 79) </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ind w:firstLine="720"/>
        <w:jc w:val="both"/>
        <w:rPr>
          <w:rFonts w:cs="Times New Roman"/>
        </w:rPr>
      </w:pPr>
      <w:r w:rsidRPr="007653D3">
        <w:rPr>
          <w:rFonts w:cs="Times New Roman"/>
        </w:rPr>
        <w:t xml:space="preserve">Arbitrary formal constraints furnish the means of generating a story here, much as they do for texts by the </w:t>
      </w:r>
      <w:proofErr w:type="spellStart"/>
      <w:r w:rsidRPr="007653D3">
        <w:rPr>
          <w:rFonts w:cs="Times New Roman"/>
        </w:rPr>
        <w:t>Oulipo</w:t>
      </w:r>
      <w:proofErr w:type="spellEnd"/>
      <w:r w:rsidRPr="007653D3">
        <w:rPr>
          <w:rFonts w:cs="Times New Roman"/>
        </w:rPr>
        <w:t xml:space="preserve"> writers, while the series of rhyming words that determine this process can be compared to Lewis Carroll’s word-games. In his games of doublets (1879) and syzygies (1891), sequences of chiming letters provide the means by which words are transformed progressively from one into another, to perform a task: ‘</w:t>
      </w:r>
      <w:r w:rsidRPr="007653D3">
        <w:rPr>
          <w:rFonts w:cs="Times New Roman"/>
          <w:i/>
        </w:rPr>
        <w:t>Introduce</w:t>
      </w:r>
      <w:r w:rsidRPr="007653D3">
        <w:rPr>
          <w:rFonts w:cs="Times New Roman"/>
        </w:rPr>
        <w:t xml:space="preserve"> Walrus </w:t>
      </w:r>
      <w:r w:rsidRPr="007653D3">
        <w:rPr>
          <w:rFonts w:cs="Times New Roman"/>
          <w:i/>
        </w:rPr>
        <w:t>to</w:t>
      </w:r>
      <w:r w:rsidRPr="007653D3">
        <w:rPr>
          <w:rFonts w:cs="Times New Roman"/>
        </w:rPr>
        <w:t xml:space="preserve"> Carpenter,’ ‘Converse Cheerfully,’ ‘</w:t>
      </w:r>
      <w:r w:rsidRPr="007653D3">
        <w:rPr>
          <w:rFonts w:cs="Times New Roman"/>
          <w:i/>
        </w:rPr>
        <w:t>Make</w:t>
      </w:r>
      <w:r w:rsidRPr="007653D3">
        <w:rPr>
          <w:rFonts w:cs="Times New Roman"/>
        </w:rPr>
        <w:t xml:space="preserve"> Bullets </w:t>
      </w:r>
      <w:r w:rsidRPr="007653D3">
        <w:rPr>
          <w:rFonts w:cs="Times New Roman"/>
          <w:i/>
        </w:rPr>
        <w:t>of</w:t>
      </w:r>
      <w:r w:rsidRPr="007653D3">
        <w:rPr>
          <w:rFonts w:cs="Times New Roman"/>
        </w:rPr>
        <w:t xml:space="preserve"> Lead.’ So, for example, in a simple premonition of Edwin Morgan’s poem ‘Eohippus’,</w:t>
      </w:r>
      <w:r w:rsidRPr="007653D3">
        <w:rPr>
          <w:rStyle w:val="FootnoteReference"/>
          <w:rFonts w:cs="Times New Roman"/>
        </w:rPr>
        <w:footnoteReference w:id="15"/>
      </w:r>
      <w:r w:rsidRPr="007653D3">
        <w:rPr>
          <w:rFonts w:cs="Times New Roman"/>
        </w:rPr>
        <w:t xml:space="preserve"> linguistic gradualism emulates biological evolution in the doublet ‘</w:t>
      </w:r>
      <w:r w:rsidRPr="007653D3">
        <w:rPr>
          <w:rFonts w:cs="Times New Roman"/>
          <w:i/>
        </w:rPr>
        <w:t>Change</w:t>
      </w:r>
      <w:r w:rsidRPr="007653D3">
        <w:rPr>
          <w:rFonts w:cs="Times New Roman"/>
        </w:rPr>
        <w:t xml:space="preserve"> FISH </w:t>
      </w:r>
      <w:r w:rsidRPr="007653D3">
        <w:rPr>
          <w:rFonts w:cs="Times New Roman"/>
          <w:i/>
        </w:rPr>
        <w:t>to</w:t>
      </w:r>
      <w:r w:rsidRPr="007653D3">
        <w:rPr>
          <w:rFonts w:cs="Times New Roman"/>
        </w:rPr>
        <w:t xml:space="preserve"> BIRD,’ as transpositions of single letters generate new words: ‘FISH | fist | gist | girt | gird | BIRD.’ The more complex game of syzygies requires a sequence of at least three letter-sounds to be retained from one word to the next in order to advance to the preordained destination, as, for example, ‘</w:t>
      </w:r>
      <w:r w:rsidRPr="007653D3">
        <w:rPr>
          <w:rFonts w:cs="Times New Roman"/>
          <w:i/>
        </w:rPr>
        <w:t>Reconcile</w:t>
      </w:r>
      <w:r w:rsidRPr="007653D3">
        <w:rPr>
          <w:rFonts w:cs="Times New Roman"/>
        </w:rPr>
        <w:t xml:space="preserve"> DOG </w:t>
      </w:r>
      <w:r w:rsidRPr="007653D3">
        <w:rPr>
          <w:rFonts w:cs="Times New Roman"/>
          <w:i/>
        </w:rPr>
        <w:t>to</w:t>
      </w:r>
      <w:r w:rsidRPr="007653D3">
        <w:rPr>
          <w:rFonts w:cs="Times New Roman"/>
        </w:rPr>
        <w:t xml:space="preserve"> CAT’: ‘DOG (dog) | endogen (gen) | gentry (</w:t>
      </w:r>
      <w:proofErr w:type="spellStart"/>
      <w:r w:rsidRPr="007653D3">
        <w:rPr>
          <w:rFonts w:cs="Times New Roman"/>
        </w:rPr>
        <w:t>ntry</w:t>
      </w:r>
      <w:proofErr w:type="spellEnd"/>
      <w:r w:rsidRPr="007653D3">
        <w:rPr>
          <w:rFonts w:cs="Times New Roman"/>
        </w:rPr>
        <w:t>) | intricate (cat) | CAT.’</w:t>
      </w:r>
      <w:r w:rsidRPr="007653D3">
        <w:rPr>
          <w:rStyle w:val="FootnoteReference"/>
          <w:rFonts w:cs="Times New Roman"/>
        </w:rPr>
        <w:footnoteReference w:id="16"/>
      </w:r>
      <w:r w:rsidRPr="007653D3">
        <w:rPr>
          <w:rFonts w:cs="Times New Roman"/>
        </w:rPr>
        <w:t xml:space="preserve"> The linguistic </w:t>
      </w:r>
      <w:proofErr w:type="spellStart"/>
      <w:r w:rsidRPr="007653D3">
        <w:rPr>
          <w:rFonts w:cs="Times New Roman"/>
        </w:rPr>
        <w:t>chromatism</w:t>
      </w:r>
      <w:proofErr w:type="spellEnd"/>
      <w:r w:rsidRPr="007653D3">
        <w:rPr>
          <w:rFonts w:cs="Times New Roman"/>
        </w:rPr>
        <w:t xml:space="preserve"> of Carroll’s games is, of course, typically baulked in Lear’s limericks, as pivoting upon the </w:t>
      </w:r>
      <w:r w:rsidRPr="007653D3">
        <w:rPr>
          <w:rFonts w:cs="Times New Roman"/>
          <w:i/>
        </w:rPr>
        <w:t>a</w:t>
      </w:r>
      <w:r w:rsidRPr="007653D3">
        <w:rPr>
          <w:rFonts w:cs="Times New Roman"/>
        </w:rPr>
        <w:t xml:space="preserve"> rhyme at the end of the second line the initial term of the brief series is pedantically restored in the last. Or rather, outnumbered by the other terms, the variant word sandwiched between them emerges not so much a full rhyme as a half-repetition. Instead of opening outwards, as Carroll’s word games do, to explore possibilities that allow them to reach </w:t>
      </w:r>
      <w:proofErr w:type="gramStart"/>
      <w:r w:rsidRPr="007653D3">
        <w:rPr>
          <w:rFonts w:cs="Times New Roman"/>
        </w:rPr>
        <w:t>their</w:t>
      </w:r>
      <w:proofErr w:type="gramEnd"/>
      <w:r w:rsidRPr="007653D3">
        <w:rPr>
          <w:rFonts w:cs="Times New Roman"/>
        </w:rPr>
        <w:t xml:space="preserve"> promised end, the limericks fold back upon themselves in </w:t>
      </w:r>
      <w:proofErr w:type="spellStart"/>
      <w:r w:rsidRPr="007653D3">
        <w:rPr>
          <w:rFonts w:cs="Times New Roman"/>
        </w:rPr>
        <w:t>tautologous</w:t>
      </w:r>
      <w:proofErr w:type="spellEnd"/>
      <w:r w:rsidRPr="007653D3">
        <w:rPr>
          <w:rFonts w:cs="Times New Roman"/>
        </w:rPr>
        <w:t xml:space="preserve"> reiteration. </w:t>
      </w:r>
    </w:p>
    <w:p w:rsidR="000B4225" w:rsidRPr="007653D3" w:rsidRDefault="000B4225" w:rsidP="000B4225">
      <w:pPr>
        <w:spacing w:line="240" w:lineRule="auto"/>
        <w:ind w:firstLine="720"/>
        <w:jc w:val="both"/>
        <w:rPr>
          <w:rFonts w:cs="Times New Roman"/>
        </w:rPr>
      </w:pPr>
      <w:r w:rsidRPr="007653D3">
        <w:rPr>
          <w:rFonts w:cs="Times New Roman"/>
        </w:rPr>
        <w:t xml:space="preserve">Carroll’s word-games and the rhyme sequences of Lear’s limericks concur with Kurt </w:t>
      </w:r>
      <w:proofErr w:type="spellStart"/>
      <w:r w:rsidRPr="007653D3">
        <w:rPr>
          <w:rFonts w:cs="Times New Roman"/>
        </w:rPr>
        <w:t>Schwitter’s</w:t>
      </w:r>
      <w:proofErr w:type="spellEnd"/>
      <w:r w:rsidRPr="007653D3">
        <w:rPr>
          <w:rFonts w:cs="Times New Roman"/>
        </w:rPr>
        <w:t xml:space="preserve"> tenet that the letter rather than the word is the original material for poetry.</w:t>
      </w:r>
      <w:r w:rsidRPr="007653D3">
        <w:rPr>
          <w:rStyle w:val="FootnoteReference"/>
          <w:rFonts w:cs="Times New Roman"/>
        </w:rPr>
        <w:footnoteReference w:id="17"/>
      </w:r>
      <w:r w:rsidRPr="007653D3">
        <w:rPr>
          <w:rFonts w:cs="Times New Roman"/>
        </w:rPr>
        <w:t xml:space="preserve"> Like these word-games and the limericks, Lear’s Alphabets also have their own rules for generating sequences of word-sounds. They are made to chime with the name of an object, calling out one another in rhyming alignment to describe it: </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R was once a little </w:t>
      </w:r>
      <w:r>
        <w:rPr>
          <w:rFonts w:cs="Times New Roman"/>
        </w:rPr>
        <w:t>r</w:t>
      </w:r>
      <w:r w:rsidRPr="007653D3">
        <w:rPr>
          <w:rFonts w:cs="Times New Roman"/>
        </w:rPr>
        <w:t>ose,</w:t>
      </w:r>
    </w:p>
    <w:p w:rsidR="000B4225" w:rsidRPr="007653D3" w:rsidRDefault="000B4225" w:rsidP="000B4225">
      <w:pPr>
        <w:spacing w:line="240" w:lineRule="auto"/>
        <w:jc w:val="both"/>
        <w:rPr>
          <w:rFonts w:cs="Times New Roman"/>
        </w:rPr>
      </w:pPr>
      <w:r w:rsidRPr="007653D3">
        <w:rPr>
          <w:rFonts w:cs="Times New Roman"/>
        </w:rPr>
        <w:t xml:space="preserve">   Rosy</w:t>
      </w:r>
    </w:p>
    <w:p w:rsidR="000B4225" w:rsidRPr="007653D3" w:rsidRDefault="000B4225" w:rsidP="000B4225">
      <w:pPr>
        <w:spacing w:line="240" w:lineRule="auto"/>
        <w:jc w:val="both"/>
        <w:rPr>
          <w:rFonts w:cs="Times New Roman"/>
        </w:rPr>
      </w:pPr>
      <w:r w:rsidRPr="007653D3">
        <w:rPr>
          <w:rFonts w:cs="Times New Roman"/>
        </w:rPr>
        <w:t xml:space="preserve">   Posy</w:t>
      </w:r>
    </w:p>
    <w:p w:rsidR="000B4225" w:rsidRPr="007653D3" w:rsidRDefault="000B4225" w:rsidP="000B4225">
      <w:pPr>
        <w:spacing w:line="240" w:lineRule="auto"/>
        <w:jc w:val="both"/>
        <w:rPr>
          <w:rFonts w:cs="Times New Roman"/>
        </w:rPr>
      </w:pPr>
      <w:r w:rsidRPr="007653D3">
        <w:rPr>
          <w:rFonts w:cs="Times New Roman"/>
        </w:rPr>
        <w:t xml:space="preserve">   Nosy</w:t>
      </w:r>
    </w:p>
    <w:p w:rsidR="000B4225" w:rsidRPr="007653D3" w:rsidRDefault="000B4225" w:rsidP="000B4225">
      <w:pPr>
        <w:spacing w:line="240" w:lineRule="auto"/>
        <w:jc w:val="both"/>
        <w:rPr>
          <w:rFonts w:cs="Times New Roman"/>
        </w:rPr>
      </w:pPr>
      <w:r w:rsidRPr="007653D3">
        <w:rPr>
          <w:rFonts w:cs="Times New Roman"/>
        </w:rPr>
        <w:t xml:space="preserve">   Rosy</w:t>
      </w:r>
    </w:p>
    <w:p w:rsidR="000B4225" w:rsidRPr="007653D3" w:rsidRDefault="000B4225" w:rsidP="000B4225">
      <w:pPr>
        <w:spacing w:line="240" w:lineRule="auto"/>
        <w:jc w:val="both"/>
        <w:rPr>
          <w:rFonts w:cs="Times New Roman"/>
        </w:rPr>
      </w:pPr>
      <w:r w:rsidRPr="007653D3">
        <w:rPr>
          <w:rFonts w:cs="Times New Roman"/>
        </w:rPr>
        <w:t>Blows-y grows-y</w:t>
      </w:r>
    </w:p>
    <w:p w:rsidR="000B4225" w:rsidRPr="007653D3" w:rsidRDefault="000B4225" w:rsidP="000B4225">
      <w:pPr>
        <w:spacing w:line="240" w:lineRule="auto"/>
        <w:jc w:val="both"/>
        <w:rPr>
          <w:rFonts w:cs="Times New Roman"/>
        </w:rPr>
      </w:pPr>
      <w:r w:rsidRPr="007653D3">
        <w:rPr>
          <w:rFonts w:cs="Times New Roman"/>
        </w:rPr>
        <w:t>Little Rose!</w:t>
      </w:r>
      <w:r>
        <w:rPr>
          <w:rFonts w:cs="Times New Roman"/>
        </w:rPr>
        <w:t xml:space="preserve"> </w:t>
      </w:r>
      <w:r w:rsidRPr="007653D3">
        <w:rPr>
          <w:rFonts w:cs="Times New Roman"/>
        </w:rPr>
        <w:t>(296)</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The central column of this series corresponds to the pattern of Carroll’s doublets, before shifting into a indicative instance of syzygy with the penultimate line, all the while insisting that homologous forms of words be used to name and describe the nature of their object, the ‘little </w:t>
      </w:r>
      <w:r>
        <w:rPr>
          <w:rFonts w:cs="Times New Roman"/>
        </w:rPr>
        <w:t>r</w:t>
      </w:r>
      <w:r w:rsidRPr="007653D3">
        <w:rPr>
          <w:rFonts w:cs="Times New Roman"/>
        </w:rPr>
        <w:t xml:space="preserve">ose’ that ‘R was once.’ </w:t>
      </w:r>
    </w:p>
    <w:p w:rsidR="000B4225" w:rsidRPr="007653D3" w:rsidRDefault="000B4225" w:rsidP="000B4225">
      <w:pPr>
        <w:spacing w:line="240" w:lineRule="auto"/>
        <w:ind w:firstLine="720"/>
        <w:jc w:val="both"/>
        <w:rPr>
          <w:rFonts w:cs="Times New Roman"/>
        </w:rPr>
      </w:pPr>
      <w:r w:rsidRPr="007653D3">
        <w:rPr>
          <w:rFonts w:cs="Times New Roman"/>
        </w:rPr>
        <w:t>Such sequences from the Alphabets bear comparison with the more exacting linguistic taxonomies and scales that Lear’s young contemporary Gerard Manley Hopkins pursues during the 1860s in the word-lists of his early diaries, where he collects and arranges gradations of word-sounds that correspondingly represent a range of related meanings. He is happiest with those that participate directly in the being they designate through onomatopoeia: ‘</w:t>
      </w:r>
      <w:r w:rsidRPr="007653D3">
        <w:rPr>
          <w:rFonts w:cs="Times New Roman"/>
          <w:i/>
        </w:rPr>
        <w:t>Flick</w:t>
      </w:r>
      <w:r w:rsidRPr="007653D3">
        <w:rPr>
          <w:rFonts w:cs="Times New Roman"/>
        </w:rPr>
        <w:t xml:space="preserve">, </w:t>
      </w:r>
      <w:r w:rsidRPr="007653D3">
        <w:rPr>
          <w:rFonts w:cs="Times New Roman"/>
          <w:i/>
        </w:rPr>
        <w:t>fillip</w:t>
      </w:r>
      <w:r w:rsidRPr="007653D3">
        <w:rPr>
          <w:rFonts w:cs="Times New Roman"/>
        </w:rPr>
        <w:t xml:space="preserve">, </w:t>
      </w:r>
      <w:r w:rsidRPr="007653D3">
        <w:rPr>
          <w:rFonts w:cs="Times New Roman"/>
          <w:i/>
        </w:rPr>
        <w:t>flip</w:t>
      </w:r>
      <w:r w:rsidRPr="007653D3">
        <w:rPr>
          <w:rFonts w:cs="Times New Roman"/>
        </w:rPr>
        <w:t xml:space="preserve">, </w:t>
      </w:r>
      <w:r w:rsidRPr="007653D3">
        <w:rPr>
          <w:rFonts w:cs="Times New Roman"/>
          <w:i/>
        </w:rPr>
        <w:t>fleck</w:t>
      </w:r>
      <w:r w:rsidRPr="007653D3">
        <w:rPr>
          <w:rFonts w:cs="Times New Roman"/>
        </w:rPr>
        <w:t xml:space="preserve">, </w:t>
      </w:r>
      <w:r w:rsidRPr="007653D3">
        <w:rPr>
          <w:rFonts w:cs="Times New Roman"/>
          <w:i/>
        </w:rPr>
        <w:t>flake</w:t>
      </w:r>
      <w:r w:rsidRPr="007653D3">
        <w:rPr>
          <w:rFonts w:cs="Times New Roman"/>
        </w:rPr>
        <w:t xml:space="preserve"> … Key to meaning … is that </w:t>
      </w:r>
      <w:proofErr w:type="gramStart"/>
      <w:r w:rsidRPr="007653D3">
        <w:rPr>
          <w:rFonts w:cs="Times New Roman"/>
        </w:rPr>
        <w:t>of</w:t>
      </w:r>
      <w:proofErr w:type="gramEnd"/>
      <w:r w:rsidRPr="007653D3">
        <w:rPr>
          <w:rFonts w:cs="Times New Roman"/>
        </w:rPr>
        <w:t xml:space="preserve"> striking or cutting off the surface of a thing.’</w:t>
      </w:r>
      <w:r w:rsidRPr="007653D3">
        <w:rPr>
          <w:rStyle w:val="FootnoteReference"/>
          <w:rFonts w:cs="Times New Roman"/>
        </w:rPr>
        <w:footnoteReference w:id="18"/>
      </w:r>
      <w:r w:rsidRPr="007653D3">
        <w:rPr>
          <w:rFonts w:cs="Times New Roman"/>
        </w:rPr>
        <w:t xml:space="preserve"> Onomatopoeia also contributes to the lightly-worn ontological authority of the word-play in Lear’s Alphabets, with their ‘</w:t>
      </w:r>
      <w:proofErr w:type="spellStart"/>
      <w:r w:rsidRPr="007653D3">
        <w:rPr>
          <w:rFonts w:cs="Times New Roman"/>
        </w:rPr>
        <w:t>Twirly-tweely</w:t>
      </w:r>
      <w:proofErr w:type="spellEnd"/>
      <w:r w:rsidRPr="007653D3">
        <w:rPr>
          <w:rFonts w:cs="Times New Roman"/>
        </w:rPr>
        <w:t xml:space="preserve"> | Little Eel,’ ‘</w:t>
      </w:r>
      <w:proofErr w:type="spellStart"/>
      <w:r w:rsidRPr="007653D3">
        <w:rPr>
          <w:rFonts w:cs="Times New Roman"/>
        </w:rPr>
        <w:t>Howly</w:t>
      </w:r>
      <w:proofErr w:type="spellEnd"/>
      <w:r w:rsidRPr="007653D3">
        <w:rPr>
          <w:rFonts w:cs="Times New Roman"/>
        </w:rPr>
        <w:t>’ owl, and ‘Jumpy-</w:t>
      </w:r>
      <w:proofErr w:type="spellStart"/>
      <w:r w:rsidRPr="007653D3">
        <w:rPr>
          <w:rFonts w:cs="Times New Roman"/>
        </w:rPr>
        <w:t>jimpy</w:t>
      </w:r>
      <w:proofErr w:type="spellEnd"/>
      <w:r w:rsidRPr="007653D3">
        <w:rPr>
          <w:rFonts w:cs="Times New Roman"/>
        </w:rPr>
        <w:t xml:space="preserve"> | Little </w:t>
      </w:r>
      <w:r>
        <w:rPr>
          <w:rFonts w:cs="Times New Roman"/>
        </w:rPr>
        <w:t>S</w:t>
      </w:r>
      <w:r w:rsidRPr="007653D3">
        <w:rPr>
          <w:rFonts w:cs="Times New Roman"/>
        </w:rPr>
        <w:t>hrimp.’</w:t>
      </w:r>
      <w:r>
        <w:rPr>
          <w:rFonts w:cs="Times New Roman"/>
        </w:rPr>
        <w:t xml:space="preserve"> </w:t>
      </w:r>
      <w:proofErr w:type="gramStart"/>
      <w:r>
        <w:rPr>
          <w:rFonts w:cs="Times New Roman"/>
        </w:rPr>
        <w:t>(</w:t>
      </w:r>
      <w:r>
        <w:rPr>
          <w:rFonts w:cs="Times New Roman"/>
          <w:i/>
        </w:rPr>
        <w:t>CN</w:t>
      </w:r>
      <w:r>
        <w:rPr>
          <w:rFonts w:cs="Times New Roman"/>
        </w:rPr>
        <w:t>, 283, 293, 297).</w:t>
      </w:r>
      <w:proofErr w:type="gramEnd"/>
      <w:r>
        <w:rPr>
          <w:rStyle w:val="CommentReference"/>
        </w:rPr>
        <w:t xml:space="preserve"> </w:t>
      </w:r>
      <w:r w:rsidRPr="007653D3">
        <w:rPr>
          <w:rFonts w:cs="Times New Roman"/>
        </w:rPr>
        <w:t xml:space="preserve">Hopkins is preoccupied with exploring and establishing relations between language and being, concerns that also surface, playfully and anarchically, in Lear’s nonsense works. Some sense of these texts as a mischievous reflection of his own concerns in writing verse may have formed part of Lear’s appeal for Hopkins, who in a letter to his mother of 2 March 1873 recommends the </w:t>
      </w:r>
      <w:r w:rsidRPr="007653D3">
        <w:rPr>
          <w:rFonts w:cs="Times New Roman"/>
          <w:i/>
        </w:rPr>
        <w:t>Nonsense Songs, Stories, Botany and Alphabets</w:t>
      </w:r>
      <w:r w:rsidRPr="007653D3">
        <w:rPr>
          <w:rFonts w:cs="Times New Roman"/>
        </w:rPr>
        <w:t xml:space="preserve"> (1871), from which the examples of the eel, owl and shrimp are drawn, saying that he prefers him to Carroll.</w:t>
      </w:r>
      <w:r w:rsidRPr="007653D3">
        <w:rPr>
          <w:rStyle w:val="FootnoteReference"/>
          <w:rFonts w:cs="Times New Roman"/>
        </w:rPr>
        <w:footnoteReference w:id="19"/>
      </w:r>
      <w:r w:rsidRPr="007653D3">
        <w:rPr>
          <w:rFonts w:cs="Times New Roman"/>
        </w:rPr>
        <w:t xml:space="preserve"> The chiming lists of Lear’s Alphabets are also heavily weighted with metrical stress, in the manner of the nursery rhymes that Hopkins notes approvingly as a precedent for his practice of Sprung Rhythm,</w:t>
      </w:r>
      <w:r w:rsidRPr="007653D3">
        <w:rPr>
          <w:rStyle w:val="FootnoteReference"/>
          <w:rFonts w:cs="Times New Roman"/>
        </w:rPr>
        <w:footnoteReference w:id="20"/>
      </w:r>
      <w:r w:rsidRPr="007653D3">
        <w:rPr>
          <w:rFonts w:cs="Times New Roman"/>
        </w:rPr>
        <w:t xml:space="preserve"> which, integral to his metaphysic of </w:t>
      </w:r>
      <w:proofErr w:type="spellStart"/>
      <w:r w:rsidRPr="007653D3">
        <w:rPr>
          <w:rFonts w:cs="Times New Roman"/>
        </w:rPr>
        <w:t>instress</w:t>
      </w:r>
      <w:proofErr w:type="spellEnd"/>
      <w:r w:rsidRPr="007653D3">
        <w:rPr>
          <w:rFonts w:cs="Times New Roman"/>
        </w:rPr>
        <w:t xml:space="preserve"> and inscape, he sees to activate a language suffused with being. </w:t>
      </w:r>
    </w:p>
    <w:p w:rsidR="000B4225" w:rsidRPr="007653D3" w:rsidRDefault="000B4225" w:rsidP="000B4225">
      <w:pPr>
        <w:spacing w:line="240" w:lineRule="auto"/>
        <w:ind w:firstLine="720"/>
        <w:jc w:val="both"/>
        <w:rPr>
          <w:rFonts w:cs="Times New Roman"/>
        </w:rPr>
      </w:pPr>
      <w:r w:rsidRPr="007653D3">
        <w:rPr>
          <w:rFonts w:cs="Times New Roman"/>
        </w:rPr>
        <w:t xml:space="preserve">Both Lear and Hopkins intend their verse to be read aloud. Indeed they each make the spoken word insistent, fundamentally </w:t>
      </w:r>
      <w:proofErr w:type="spellStart"/>
      <w:r w:rsidRPr="007653D3">
        <w:rPr>
          <w:rFonts w:cs="Times New Roman"/>
        </w:rPr>
        <w:t>Schopenhauerian</w:t>
      </w:r>
      <w:proofErr w:type="spellEnd"/>
      <w:r w:rsidRPr="007653D3">
        <w:rPr>
          <w:rFonts w:cs="Times New Roman"/>
        </w:rPr>
        <w:t xml:space="preserve">, a bodily expression that objectifies, gives representation to, the force of will. In </w:t>
      </w:r>
      <w:r w:rsidRPr="007653D3">
        <w:rPr>
          <w:rFonts w:cs="Times New Roman"/>
          <w:i/>
        </w:rPr>
        <w:t>The World as Will and Representation</w:t>
      </w:r>
      <w:r w:rsidRPr="007653D3">
        <w:rPr>
          <w:rFonts w:cs="Times New Roman"/>
        </w:rPr>
        <w:t xml:space="preserve"> (1818, expanded 1844), Schopenhauer follows Kant in affirming that we know the world phenomenally as the object of our perception, but overcomes his proscription of knowledge of </w:t>
      </w:r>
      <w:proofErr w:type="spellStart"/>
      <w:r w:rsidRPr="00AF7944">
        <w:rPr>
          <w:rFonts w:cs="Times New Roman"/>
          <w:i/>
        </w:rPr>
        <w:t>noumena</w:t>
      </w:r>
      <w:proofErr w:type="spellEnd"/>
      <w:r w:rsidRPr="007653D3">
        <w:rPr>
          <w:rFonts w:cs="Times New Roman"/>
        </w:rPr>
        <w:t xml:space="preserve">, of </w:t>
      </w:r>
      <w:proofErr w:type="gramStart"/>
      <w:r w:rsidRPr="007653D3">
        <w:rPr>
          <w:rFonts w:cs="Times New Roman"/>
        </w:rPr>
        <w:t>things</w:t>
      </w:r>
      <w:proofErr w:type="gramEnd"/>
      <w:r w:rsidRPr="007653D3">
        <w:rPr>
          <w:rFonts w:cs="Times New Roman"/>
        </w:rPr>
        <w:t xml:space="preserve"> as they are in-themselves. Schopenhauer does this by arguing that the individual knows himself not only as bodily movements but also from the inside, as the will that impels them: ‘This and this alone gives him the key to his own phenomenon, reveals to him the significance and shows him the inner mechanism of his being, his actions, his movements.’</w:t>
      </w:r>
      <w:r w:rsidRPr="007653D3">
        <w:rPr>
          <w:rStyle w:val="FootnoteReference"/>
          <w:rFonts w:cs="Times New Roman"/>
        </w:rPr>
        <w:footnoteReference w:id="21"/>
      </w:r>
      <w:r w:rsidRPr="007653D3">
        <w:rPr>
          <w:rFonts w:cs="Times New Roman"/>
        </w:rPr>
        <w:t xml:space="preserve"> According to Schopenhauer, such experience enables us to understand not only other people and organisms by analogy to ourselves, as having a will, but also such physical forces as gravity, electricity and magnetism. This encompassing principle yields one of several unifying romantic ontologies that during the middle decades of the nineteenth-century furnished a suggestive model for the energy concept in physics. Energy was also known at this time by the mechanical instance and analogy of ‘stress,’ the term that Hopkins appropriates, subsuming metrical stress within it, for his active and informing principle of being.</w:t>
      </w:r>
      <w:r w:rsidRPr="007653D3">
        <w:rPr>
          <w:rStyle w:val="FootnoteReference"/>
          <w:rFonts w:cs="Times New Roman"/>
        </w:rPr>
        <w:footnoteReference w:id="22"/>
      </w:r>
      <w:r w:rsidRPr="007653D3">
        <w:rPr>
          <w:rFonts w:cs="Times New Roman"/>
        </w:rPr>
        <w:t xml:space="preserve"> </w:t>
      </w:r>
    </w:p>
    <w:p w:rsidR="000B4225" w:rsidRPr="007653D3" w:rsidRDefault="000B4225" w:rsidP="000B4225">
      <w:pPr>
        <w:spacing w:line="240" w:lineRule="auto"/>
        <w:ind w:firstLine="720"/>
        <w:jc w:val="both"/>
        <w:rPr>
          <w:rFonts w:cs="Times New Roman"/>
        </w:rPr>
      </w:pPr>
      <w:r w:rsidRPr="007653D3">
        <w:rPr>
          <w:rFonts w:cs="Times New Roman"/>
        </w:rPr>
        <w:t xml:space="preserve">The wilfulness that Lear finds in words and, akin to Hopkins, focuses in his sequences of word-sounds is, however, of the sort that Mrs Turner chastises; the ebullience of the children depicted on the covers of the </w:t>
      </w:r>
      <w:r w:rsidRPr="007653D3">
        <w:rPr>
          <w:rFonts w:cs="Times New Roman"/>
          <w:i/>
        </w:rPr>
        <w:t>Book of Nonsense</w:t>
      </w:r>
      <w:r w:rsidRPr="007653D3">
        <w:rPr>
          <w:rFonts w:cs="Times New Roman"/>
        </w:rPr>
        <w:t xml:space="preserve">, of sounds uttered and repeated for their own sake, bodily expressions of will akin to dancing and jumping, and shaking with laughter. Both poets like the freshness of word-sounds. Hopkins traces it to the original principle of </w:t>
      </w:r>
      <w:proofErr w:type="spellStart"/>
      <w:r w:rsidRPr="007653D3">
        <w:rPr>
          <w:rFonts w:cs="Times New Roman"/>
          <w:i/>
        </w:rPr>
        <w:t>pneuma</w:t>
      </w:r>
      <w:proofErr w:type="spellEnd"/>
      <w:r w:rsidRPr="007653D3">
        <w:rPr>
          <w:rFonts w:cs="Times New Roman"/>
        </w:rPr>
        <w:t xml:space="preserve">, of soul or breath that has its giver in God and informs and upholds both persons and words, while Lear explores the childish joy in making noises and reproducing the elementary sounds of language, the </w:t>
      </w:r>
      <w:proofErr w:type="spellStart"/>
      <w:r w:rsidRPr="007653D3">
        <w:rPr>
          <w:rFonts w:cs="Times New Roman"/>
        </w:rPr>
        <w:t>Kristevan</w:t>
      </w:r>
      <w:proofErr w:type="spellEnd"/>
      <w:r w:rsidRPr="007653D3">
        <w:rPr>
          <w:rFonts w:cs="Times New Roman"/>
        </w:rPr>
        <w:t xml:space="preserve"> semiotic. He pays tribute to the developmental moment at which the child tentatively recognises and savours such sounds as purveyors of meaning, as they oscillate between nonsense and sense: ‘Jammy | Mammy | Clammy | Jammy | </w:t>
      </w:r>
      <w:proofErr w:type="spellStart"/>
      <w:r w:rsidRPr="007653D3">
        <w:rPr>
          <w:rFonts w:cs="Times New Roman"/>
        </w:rPr>
        <w:t>Sweety-swammy</w:t>
      </w:r>
      <w:proofErr w:type="spellEnd"/>
      <w:r w:rsidRPr="007653D3">
        <w:rPr>
          <w:rFonts w:cs="Times New Roman"/>
        </w:rPr>
        <w:t xml:space="preserve"> | Jar of Jam!’ (</w:t>
      </w:r>
      <w:r w:rsidRPr="00AF7944">
        <w:rPr>
          <w:rFonts w:cs="Times New Roman"/>
          <w:i/>
        </w:rPr>
        <w:t>CN</w:t>
      </w:r>
      <w:r w:rsidRPr="007653D3">
        <w:rPr>
          <w:rFonts w:cs="Times New Roman"/>
        </w:rPr>
        <w:t>, 288)</w:t>
      </w:r>
    </w:p>
    <w:p w:rsidR="000B4225" w:rsidRPr="007653D3" w:rsidRDefault="000B4225" w:rsidP="000B4225">
      <w:pPr>
        <w:spacing w:line="240" w:lineRule="auto"/>
        <w:ind w:firstLine="720"/>
        <w:jc w:val="both"/>
        <w:rPr>
          <w:rFonts w:cs="Times New Roman"/>
        </w:rPr>
      </w:pPr>
      <w:r w:rsidRPr="007653D3">
        <w:rPr>
          <w:rFonts w:cs="Times New Roman"/>
        </w:rPr>
        <w:t xml:space="preserve">Hopkins formulates his doctrine of stress through his reading in 1868 of the </w:t>
      </w:r>
      <w:proofErr w:type="spellStart"/>
      <w:r w:rsidRPr="007653D3">
        <w:rPr>
          <w:rFonts w:cs="Times New Roman"/>
        </w:rPr>
        <w:t>Presocratic</w:t>
      </w:r>
      <w:proofErr w:type="spellEnd"/>
      <w:r w:rsidRPr="007653D3">
        <w:rPr>
          <w:rFonts w:cs="Times New Roman"/>
        </w:rPr>
        <w:t xml:space="preserve"> philosopher Parmenides, who, as was suggested earlier, also provides a useful point of reference for appreciating Lear. Parmenides is credited with making the first logical argument in the West, which springs from his </w:t>
      </w:r>
      <w:proofErr w:type="spellStart"/>
      <w:r w:rsidRPr="007653D3">
        <w:rPr>
          <w:rFonts w:cs="Times New Roman"/>
        </w:rPr>
        <w:t>tautologous</w:t>
      </w:r>
      <w:proofErr w:type="spellEnd"/>
      <w:r w:rsidRPr="007653D3">
        <w:rPr>
          <w:rFonts w:cs="Times New Roman"/>
        </w:rPr>
        <w:t xml:space="preserve"> premise that ‘Being </w:t>
      </w:r>
      <w:r w:rsidRPr="007653D3">
        <w:rPr>
          <w:rFonts w:cs="Times New Roman"/>
          <w:i/>
        </w:rPr>
        <w:t>is</w:t>
      </w:r>
      <w:r w:rsidRPr="007653D3">
        <w:rPr>
          <w:rFonts w:cs="Times New Roman"/>
        </w:rPr>
        <w:t>’. For this to be the case, he reasons, Being cannot come into being (that is, from nothing, or not-being) or conversely cease to be. Nor, similarly, could it be uneven in any way, existing in different degrees or places. Parmenides accordingly likens Being to a sphere, perfectly coherent and unchanging, of uniform consistency throughout.</w:t>
      </w:r>
      <w:r w:rsidRPr="007653D3">
        <w:rPr>
          <w:rStyle w:val="FootnoteReference"/>
          <w:rFonts w:cs="Times New Roman"/>
        </w:rPr>
        <w:footnoteReference w:id="23"/>
      </w:r>
      <w:r w:rsidRPr="007653D3">
        <w:rPr>
          <w:rFonts w:cs="Times New Roman"/>
        </w:rPr>
        <w:t xml:space="preserve"> This describes his Way of Truth, while the ostensible principles of variety and change, which are antithetical to Being and hence anathema to Parmenides, indicate the other ‘way’ that mortals name but should not: </w:t>
      </w:r>
    </w:p>
    <w:p w:rsidR="000B4225" w:rsidRPr="007653D3" w:rsidRDefault="000B4225" w:rsidP="000B4225">
      <w:pPr>
        <w:spacing w:line="240" w:lineRule="auto"/>
        <w:ind w:left="1134"/>
        <w:jc w:val="both"/>
        <w:rPr>
          <w:rFonts w:cs="Times New Roman"/>
        </w:rPr>
      </w:pPr>
    </w:p>
    <w:p w:rsidR="000B4225" w:rsidRPr="007653D3" w:rsidRDefault="000B4225" w:rsidP="000B4225">
      <w:pPr>
        <w:spacing w:line="240" w:lineRule="auto"/>
        <w:jc w:val="both"/>
        <w:rPr>
          <w:rFonts w:cs="Times New Roman"/>
        </w:rPr>
      </w:pPr>
      <w:proofErr w:type="gramStart"/>
      <w:r w:rsidRPr="007653D3">
        <w:rPr>
          <w:rFonts w:cs="Times New Roman"/>
        </w:rPr>
        <w:t>the</w:t>
      </w:r>
      <w:proofErr w:type="gramEnd"/>
      <w:r w:rsidRPr="007653D3">
        <w:rPr>
          <w:rFonts w:cs="Times New Roman"/>
        </w:rPr>
        <w:t xml:space="preserve"> one way, that it </w:t>
      </w:r>
      <w:r w:rsidRPr="007653D3">
        <w:rPr>
          <w:rFonts w:cs="Times New Roman"/>
          <w:i/>
        </w:rPr>
        <w:t>is</w:t>
      </w:r>
      <w:r w:rsidRPr="007653D3">
        <w:rPr>
          <w:rFonts w:cs="Times New Roman"/>
        </w:rPr>
        <w:t xml:space="preserve"> and cannot not be, is the path of Persuasion, for it attends upon Truth; the other, that it </w:t>
      </w:r>
      <w:r w:rsidRPr="007653D3">
        <w:rPr>
          <w:rFonts w:cs="Times New Roman"/>
          <w:i/>
        </w:rPr>
        <w:t>is-not</w:t>
      </w:r>
      <w:r w:rsidRPr="007653D3">
        <w:rPr>
          <w:rFonts w:cs="Times New Roman"/>
        </w:rPr>
        <w:t xml:space="preserve"> and needs must not-be, that I tell thee is a path altogether unthinkable. For thou </w:t>
      </w:r>
      <w:proofErr w:type="spellStart"/>
      <w:r w:rsidRPr="007653D3">
        <w:rPr>
          <w:rFonts w:cs="Times New Roman"/>
        </w:rPr>
        <w:t>couldst</w:t>
      </w:r>
      <w:proofErr w:type="spellEnd"/>
      <w:r w:rsidRPr="007653D3">
        <w:rPr>
          <w:rFonts w:cs="Times New Roman"/>
        </w:rPr>
        <w:t xml:space="preserve"> not know that which is-not (that is impossible) nor utter it</w:t>
      </w:r>
      <w:proofErr w:type="gramStart"/>
      <w:r w:rsidRPr="007653D3">
        <w:rPr>
          <w:rFonts w:cs="Times New Roman"/>
        </w:rPr>
        <w:t>;</w:t>
      </w:r>
      <w:proofErr w:type="gramEnd"/>
      <w:r w:rsidRPr="007653D3">
        <w:rPr>
          <w:rFonts w:cs="Times New Roman"/>
        </w:rPr>
        <w:t xml:space="preserve"> for the same thing exists for thinking and for being.</w:t>
      </w:r>
      <w:r w:rsidRPr="007653D3">
        <w:rPr>
          <w:rStyle w:val="FootnoteReference"/>
          <w:rFonts w:cs="Times New Roman"/>
        </w:rPr>
        <w:footnoteReference w:id="24"/>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An important fragment for Hopkins, as through it he develops the ontological grounds for utterance through his principle of ‘Being’ or ‘stress,’</w:t>
      </w:r>
      <w:r w:rsidRPr="007653D3">
        <w:rPr>
          <w:rStyle w:val="FootnoteReference"/>
          <w:rFonts w:cs="Times New Roman"/>
        </w:rPr>
        <w:footnoteReference w:id="25"/>
      </w:r>
      <w:r w:rsidRPr="007653D3">
        <w:rPr>
          <w:rFonts w:cs="Times New Roman"/>
        </w:rPr>
        <w:t xml:space="preserve"> this passage also conversely furnishes what may be the earliest definition of nonsense in European thought, and one that is particularly apt for Lear. Methodical and extravagant in their habits of naming that which is not, Lear’s limericks defy the oracular Parmenides: ‘Nor shall I allow thee to say or to think, “from that which is not”; for it is not to be said or thought that it is not.’</w:t>
      </w:r>
      <w:r w:rsidRPr="007653D3">
        <w:rPr>
          <w:rStyle w:val="FootnoteReference"/>
          <w:rFonts w:cs="Times New Roman"/>
        </w:rPr>
        <w:footnoteReference w:id="26"/>
      </w:r>
      <w:r w:rsidRPr="007653D3">
        <w:rPr>
          <w:rFonts w:cs="Times New Roman"/>
        </w:rPr>
        <w:t xml:space="preserve"> </w:t>
      </w:r>
      <w:proofErr w:type="gramStart"/>
      <w:r w:rsidRPr="007653D3">
        <w:rPr>
          <w:rFonts w:cs="Times New Roman"/>
        </w:rPr>
        <w:t>Not-being</w:t>
      </w:r>
      <w:proofErr w:type="gramEnd"/>
      <w:r w:rsidRPr="007653D3">
        <w:rPr>
          <w:rFonts w:cs="Times New Roman"/>
        </w:rPr>
        <w:t xml:space="preserve"> is, for Parmenides, impossible, unthinkable. Nevertheless, he finds it reified in mortal speech, which gives many names to it; ‘Wherefore all these are mere names which mortals laid down believing them to be true—coming into being and perishing, being and not being [i.e., both at once], change of place and variation of bright colour.’</w:t>
      </w:r>
      <w:r w:rsidRPr="007653D3">
        <w:rPr>
          <w:rStyle w:val="FootnoteReference"/>
          <w:rFonts w:cs="Times New Roman"/>
        </w:rPr>
        <w:footnoteReference w:id="27"/>
      </w:r>
      <w:r w:rsidRPr="007653D3">
        <w:rPr>
          <w:rFonts w:cs="Times New Roman"/>
        </w:rPr>
        <w:t xml:space="preserve"> Lear habitually and mischievously grounds his nonsense works upon merely linguistic premises, such as letters of the alphabet, the pseudo-Linnaean binomials of the nonsense botanies, and place names in the limericks. </w:t>
      </w:r>
    </w:p>
    <w:p w:rsidR="000B4225" w:rsidRPr="007653D3" w:rsidRDefault="000B4225" w:rsidP="000B4225">
      <w:pPr>
        <w:spacing w:line="240" w:lineRule="auto"/>
        <w:ind w:firstLine="720"/>
        <w:jc w:val="both"/>
        <w:rPr>
          <w:rFonts w:cs="Times New Roman"/>
        </w:rPr>
      </w:pPr>
      <w:r w:rsidRPr="007653D3">
        <w:rPr>
          <w:rFonts w:cs="Times New Roman"/>
        </w:rPr>
        <w:t xml:space="preserve">The second of Lear’s nonsense recipes, by his </w:t>
      </w:r>
      <w:proofErr w:type="gramStart"/>
      <w:r w:rsidRPr="007653D3">
        <w:rPr>
          <w:rFonts w:cs="Times New Roman"/>
        </w:rPr>
        <w:t>alter-ego</w:t>
      </w:r>
      <w:proofErr w:type="gramEnd"/>
      <w:r w:rsidRPr="007653D3">
        <w:rPr>
          <w:rFonts w:cs="Times New Roman"/>
        </w:rPr>
        <w:t xml:space="preserve"> ‘Professor Bosh,’ is based upon a conceit that can be traced back to Parmenides’ friend and fellow Eleatic philosopher, Zeno. ‘To make </w:t>
      </w:r>
      <w:proofErr w:type="spellStart"/>
      <w:r w:rsidRPr="007653D3">
        <w:rPr>
          <w:rFonts w:cs="Times New Roman"/>
        </w:rPr>
        <w:t>Crumbobblious</w:t>
      </w:r>
      <w:proofErr w:type="spellEnd"/>
      <w:r w:rsidRPr="007653D3">
        <w:rPr>
          <w:rFonts w:cs="Times New Roman"/>
        </w:rPr>
        <w:t xml:space="preserve"> Cutlets’ recalls Zeno’s paradoxes, most of which proceed from the idea that space and time are infinitely divisible. Defending Parmenides’ prohibition on ‘change of place,’ Zeno argues in his Progressive Dichotomy Paradox that motion is impossible, for in order to cover any distance one must first cover half of it, and then half of the remaining portion, and so on, </w:t>
      </w:r>
      <w:r w:rsidRPr="007653D3">
        <w:rPr>
          <w:rFonts w:cs="Times New Roman"/>
          <w:i/>
        </w:rPr>
        <w:t>ad infinitum</w:t>
      </w:r>
      <w:r w:rsidRPr="007653D3">
        <w:rPr>
          <w:rFonts w:cs="Times New Roman"/>
        </w:rPr>
        <w:t>, without ever quite reaching the destination.</w:t>
      </w:r>
      <w:r w:rsidRPr="007653D3">
        <w:rPr>
          <w:rStyle w:val="FootnoteReference"/>
          <w:rFonts w:cs="Times New Roman"/>
        </w:rPr>
        <w:footnoteReference w:id="28"/>
      </w:r>
      <w:r w:rsidRPr="007653D3">
        <w:rPr>
          <w:rFonts w:cs="Times New Roman"/>
        </w:rPr>
        <w:t xml:space="preserve"> Bosh’s culinary transposition of this conundrum requires the reader to ‘Procure some strips of beef, and having cut them into the smallest possible slices, proceed to cut them still smaller, eight or perhaps nine times.’ (</w:t>
      </w:r>
      <w:r w:rsidRPr="00A80ACD">
        <w:rPr>
          <w:rFonts w:cs="Times New Roman"/>
          <w:i/>
        </w:rPr>
        <w:t>CN</w:t>
      </w:r>
      <w:r w:rsidRPr="007653D3">
        <w:rPr>
          <w:rFonts w:cs="Times New Roman"/>
        </w:rPr>
        <w:t xml:space="preserve">, 250) With the teasing </w:t>
      </w:r>
      <w:proofErr w:type="spellStart"/>
      <w:r w:rsidRPr="007653D3">
        <w:rPr>
          <w:rFonts w:cs="Times New Roman"/>
        </w:rPr>
        <w:t>recursivity</w:t>
      </w:r>
      <w:proofErr w:type="spellEnd"/>
      <w:r w:rsidRPr="007653D3">
        <w:rPr>
          <w:rFonts w:cs="Times New Roman"/>
        </w:rPr>
        <w:t xml:space="preserve"> of Zeno’s paradoxes of plurality, the recipe demonstrates that the strips of beef can be described logically and linguistically as endlessly divisible. The reference to ‘the smallest possible slices’ focuses a </w:t>
      </w:r>
      <w:proofErr w:type="spellStart"/>
      <w:r w:rsidRPr="007653D3">
        <w:rPr>
          <w:rFonts w:cs="Times New Roman"/>
          <w:i/>
        </w:rPr>
        <w:t>reductio</w:t>
      </w:r>
      <w:proofErr w:type="spellEnd"/>
      <w:r w:rsidRPr="007653D3">
        <w:rPr>
          <w:rFonts w:cs="Times New Roman"/>
          <w:i/>
        </w:rPr>
        <w:t xml:space="preserve"> ad absurdum</w:t>
      </w:r>
      <w:r w:rsidRPr="007653D3">
        <w:rPr>
          <w:rFonts w:cs="Times New Roman"/>
        </w:rPr>
        <w:t xml:space="preserve"> argument that supports Parmenides’ identification of plurality with </w:t>
      </w:r>
      <w:proofErr w:type="gramStart"/>
      <w:r w:rsidRPr="007653D3">
        <w:rPr>
          <w:rFonts w:cs="Times New Roman"/>
        </w:rPr>
        <w:t>not-being</w:t>
      </w:r>
      <w:proofErr w:type="gramEnd"/>
      <w:r w:rsidRPr="007653D3">
        <w:rPr>
          <w:rFonts w:cs="Times New Roman"/>
        </w:rPr>
        <w:t>.</w:t>
      </w:r>
      <w:r w:rsidRPr="007653D3">
        <w:rPr>
          <w:rStyle w:val="FootnoteReference"/>
          <w:rFonts w:cs="Times New Roman"/>
        </w:rPr>
        <w:footnoteReference w:id="29"/>
      </w:r>
    </w:p>
    <w:p w:rsidR="000B4225" w:rsidRPr="007653D3" w:rsidRDefault="000B4225" w:rsidP="000B4225">
      <w:pPr>
        <w:spacing w:line="240" w:lineRule="auto"/>
        <w:jc w:val="both"/>
        <w:rPr>
          <w:rFonts w:cs="Times New Roman"/>
        </w:rPr>
      </w:pPr>
      <w:r w:rsidRPr="007653D3">
        <w:rPr>
          <w:rFonts w:cs="Times New Roman"/>
        </w:rPr>
        <w:tab/>
        <w:t xml:space="preserve">Lear strives to name that which is not, writing ‘bosh’ that he intends to be ‘perfectly clear </w:t>
      </w:r>
      <w:r>
        <w:rPr>
          <w:rFonts w:cs="Times New Roman"/>
        </w:rPr>
        <w:t>&amp;</w:t>
      </w:r>
      <w:r w:rsidRPr="007653D3">
        <w:rPr>
          <w:rFonts w:cs="Times New Roman"/>
        </w:rPr>
        <w:t xml:space="preserve"> bright, &amp; incapable of any meaning but </w:t>
      </w:r>
      <w:r>
        <w:rPr>
          <w:rFonts w:cs="Times New Roman"/>
        </w:rPr>
        <w:t>one</w:t>
      </w:r>
      <w:r w:rsidRPr="007653D3">
        <w:rPr>
          <w:rFonts w:cs="Times New Roman"/>
        </w:rPr>
        <w:t xml:space="preserve"> of sheer nonsense.’ (</w:t>
      </w:r>
      <w:r w:rsidRPr="00A80ACD">
        <w:rPr>
          <w:rFonts w:cs="Times New Roman"/>
          <w:i/>
        </w:rPr>
        <w:t>SL</w:t>
      </w:r>
      <w:r w:rsidRPr="007653D3">
        <w:rPr>
          <w:rFonts w:cs="Times New Roman"/>
        </w:rPr>
        <w:t>, 228) His model of nonsense does not have the assured teleology of Carroll’s word-games, the transformative operations of which, informed by mathematical logic, ensure that they are traceable and reversible, cogent. Lear’s nonsense is accordingly more proliferative, vulnerable to dissipation and incoherence:</w:t>
      </w:r>
    </w:p>
    <w:p w:rsidR="000B4225" w:rsidRDefault="000B4225" w:rsidP="000B4225">
      <w:pPr>
        <w:spacing w:line="240" w:lineRule="auto"/>
        <w:jc w:val="both"/>
        <w:rPr>
          <w:rFonts w:cs="Times New Roman"/>
        </w:rPr>
      </w:pPr>
      <w:r>
        <w:rPr>
          <w:rFonts w:cs="Times New Roman"/>
          <w:noProof/>
          <w:lang w:val="en-US"/>
        </w:rPr>
        <w:drawing>
          <wp:inline distT="0" distB="0" distL="0" distR="0" wp14:anchorId="7E5064DE" wp14:editId="6D3A872A">
            <wp:extent cx="3236150" cy="1820333"/>
            <wp:effectExtent l="0" t="0" r="0" b="8890"/>
            <wp:docPr id="7" name="Picture 7" descr="Macintosh HD:Users:db13g12:Desktop:3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db13g12:Desktop:32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419" cy="1821609"/>
                    </a:xfrm>
                    <a:prstGeom prst="rect">
                      <a:avLst/>
                    </a:prstGeom>
                    <a:noFill/>
                    <a:ln>
                      <a:noFill/>
                    </a:ln>
                  </pic:spPr>
                </pic:pic>
              </a:graphicData>
            </a:graphic>
          </wp:inline>
        </w:drawing>
      </w:r>
    </w:p>
    <w:p w:rsidR="000B4225" w:rsidRDefault="000B4225" w:rsidP="000B4225">
      <w:pPr>
        <w:spacing w:line="240" w:lineRule="auto"/>
        <w:jc w:val="center"/>
        <w:rPr>
          <w:rFonts w:cs="Times New Roman"/>
        </w:rPr>
      </w:pPr>
      <w:r w:rsidRPr="00A80ACD">
        <w:rPr>
          <w:rFonts w:cs="Times New Roman"/>
          <w:highlight w:val="yellow"/>
        </w:rPr>
        <w:t>Insert Fig. 7.3 here</w:t>
      </w:r>
    </w:p>
    <w:p w:rsidR="000B4225" w:rsidRPr="007653D3" w:rsidRDefault="000B4225" w:rsidP="000B4225">
      <w:pPr>
        <w:spacing w:line="240" w:lineRule="auto"/>
        <w:jc w:val="center"/>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There was an </w:t>
      </w:r>
      <w:r>
        <w:rPr>
          <w:rFonts w:cs="Times New Roman"/>
        </w:rPr>
        <w:t>O</w:t>
      </w:r>
      <w:r w:rsidRPr="007653D3">
        <w:rPr>
          <w:rFonts w:cs="Times New Roman"/>
        </w:rPr>
        <w:t xml:space="preserve">ld </w:t>
      </w:r>
      <w:r>
        <w:rPr>
          <w:rFonts w:cs="Times New Roman"/>
        </w:rPr>
        <w:t>M</w:t>
      </w:r>
      <w:r w:rsidRPr="007653D3">
        <w:rPr>
          <w:rFonts w:cs="Times New Roman"/>
        </w:rPr>
        <w:t>an of Spithead,</w:t>
      </w:r>
    </w:p>
    <w:p w:rsidR="000B4225" w:rsidRPr="007653D3" w:rsidRDefault="000B4225" w:rsidP="000B4225">
      <w:pPr>
        <w:spacing w:line="240" w:lineRule="auto"/>
        <w:jc w:val="both"/>
        <w:rPr>
          <w:rFonts w:cs="Times New Roman"/>
        </w:rPr>
      </w:pPr>
      <w:r w:rsidRPr="007653D3">
        <w:rPr>
          <w:rFonts w:cs="Times New Roman"/>
        </w:rPr>
        <w:t>Who opened the window, and said</w:t>
      </w:r>
      <w:proofErr w:type="gramStart"/>
      <w:r w:rsidRPr="007653D3">
        <w:rPr>
          <w:rFonts w:cs="Times New Roman"/>
        </w:rPr>
        <w:t>,-</w:t>
      </w:r>
      <w:proofErr w:type="gramEnd"/>
      <w:r w:rsidRPr="007653D3">
        <w:rPr>
          <w:rFonts w:cs="Times New Roman"/>
        </w:rPr>
        <w:t>-</w:t>
      </w:r>
    </w:p>
    <w:p w:rsidR="000B4225" w:rsidRPr="007653D3" w:rsidRDefault="000B4225" w:rsidP="000B4225">
      <w:pPr>
        <w:spacing w:line="240" w:lineRule="auto"/>
        <w:jc w:val="both"/>
        <w:rPr>
          <w:rFonts w:cs="Times New Roman"/>
        </w:rPr>
      </w:pPr>
      <w:r w:rsidRPr="007653D3">
        <w:rPr>
          <w:rFonts w:cs="Times New Roman"/>
        </w:rPr>
        <w:t>‘</w:t>
      </w:r>
      <w:proofErr w:type="spellStart"/>
      <w:r w:rsidRPr="007653D3">
        <w:rPr>
          <w:rFonts w:cs="Times New Roman"/>
        </w:rPr>
        <w:t>Fil-jomble</w:t>
      </w:r>
      <w:proofErr w:type="spellEnd"/>
      <w:r w:rsidRPr="007653D3">
        <w:rPr>
          <w:rFonts w:cs="Times New Roman"/>
        </w:rPr>
        <w:t xml:space="preserve">, </w:t>
      </w:r>
      <w:proofErr w:type="spellStart"/>
      <w:r w:rsidRPr="007653D3">
        <w:rPr>
          <w:rFonts w:cs="Times New Roman"/>
        </w:rPr>
        <w:t>fil</w:t>
      </w:r>
      <w:proofErr w:type="spellEnd"/>
      <w:r w:rsidRPr="007653D3">
        <w:rPr>
          <w:rFonts w:cs="Times New Roman"/>
        </w:rPr>
        <w:t xml:space="preserve">-jumble, </w:t>
      </w:r>
      <w:proofErr w:type="spellStart"/>
      <w:r>
        <w:rPr>
          <w:rFonts w:cs="Times New Roman"/>
        </w:rPr>
        <w:t>f</w:t>
      </w:r>
      <w:r w:rsidRPr="007653D3">
        <w:rPr>
          <w:rFonts w:cs="Times New Roman"/>
        </w:rPr>
        <w:t>il</w:t>
      </w:r>
      <w:proofErr w:type="spellEnd"/>
      <w:r w:rsidRPr="007653D3">
        <w:rPr>
          <w:rFonts w:cs="Times New Roman"/>
        </w:rPr>
        <w:t>-rumble-come-tumble!’</w:t>
      </w:r>
    </w:p>
    <w:p w:rsidR="000B4225" w:rsidRPr="007653D3" w:rsidRDefault="000B4225" w:rsidP="000B4225">
      <w:pPr>
        <w:spacing w:line="240" w:lineRule="auto"/>
        <w:jc w:val="both"/>
        <w:rPr>
          <w:rFonts w:cs="Times New Roman"/>
        </w:rPr>
      </w:pPr>
      <w:r w:rsidRPr="007653D3">
        <w:rPr>
          <w:rFonts w:cs="Times New Roman"/>
        </w:rPr>
        <w:t xml:space="preserve">That doubtful </w:t>
      </w:r>
      <w:r>
        <w:rPr>
          <w:rFonts w:cs="Times New Roman"/>
        </w:rPr>
        <w:t>O</w:t>
      </w:r>
      <w:r w:rsidRPr="007653D3">
        <w:rPr>
          <w:rFonts w:cs="Times New Roman"/>
        </w:rPr>
        <w:t xml:space="preserve">ld </w:t>
      </w:r>
      <w:r>
        <w:rPr>
          <w:rFonts w:cs="Times New Roman"/>
        </w:rPr>
        <w:t>M</w:t>
      </w:r>
      <w:r w:rsidRPr="007653D3">
        <w:rPr>
          <w:rFonts w:cs="Times New Roman"/>
        </w:rPr>
        <w:t>an of Spithead.</w:t>
      </w:r>
      <w:r>
        <w:rPr>
          <w:rFonts w:cs="Times New Roman"/>
        </w:rPr>
        <w:t xml:space="preserve"> </w:t>
      </w:r>
      <w:r w:rsidRPr="007653D3">
        <w:rPr>
          <w:rFonts w:cs="Times New Roman"/>
        </w:rPr>
        <w:t>(353)</w:t>
      </w:r>
    </w:p>
    <w:p w:rsidR="000B4225" w:rsidRPr="007653D3" w:rsidRDefault="000B4225" w:rsidP="000B4225">
      <w:pPr>
        <w:spacing w:line="240" w:lineRule="auto"/>
        <w:jc w:val="both"/>
        <w:rPr>
          <w:rFonts w:cs="Times New Roman"/>
        </w:rPr>
      </w:pPr>
    </w:p>
    <w:p w:rsidR="000B4225" w:rsidRDefault="000B4225" w:rsidP="000B4225">
      <w:pPr>
        <w:spacing w:line="240" w:lineRule="auto"/>
        <w:jc w:val="both"/>
        <w:rPr>
          <w:rFonts w:cs="Times New Roman"/>
        </w:rPr>
      </w:pPr>
      <w:r w:rsidRPr="007653D3">
        <w:rPr>
          <w:rFonts w:cs="Times New Roman"/>
        </w:rPr>
        <w:t xml:space="preserve">In the accompanying drawing, the </w:t>
      </w:r>
      <w:r>
        <w:rPr>
          <w:rFonts w:cs="Times New Roman"/>
        </w:rPr>
        <w:t>O</w:t>
      </w:r>
      <w:r w:rsidRPr="007653D3">
        <w:rPr>
          <w:rFonts w:cs="Times New Roman"/>
        </w:rPr>
        <w:t xml:space="preserve">ld </w:t>
      </w:r>
      <w:r>
        <w:rPr>
          <w:rFonts w:cs="Times New Roman"/>
        </w:rPr>
        <w:t>M</w:t>
      </w:r>
      <w:r w:rsidRPr="007653D3">
        <w:rPr>
          <w:rFonts w:cs="Times New Roman"/>
        </w:rPr>
        <w:t xml:space="preserve">an of Spithead stands at his window, broadly smiling and nicely dressed, his arms outstretched holding the catches to the windows he has just opened outwards, as he addresses the world with a private language, a series of word-sounds that in tumbling along their muffled onomatopoeic way suggest perhaps a nonsense rhetoric, infantile </w:t>
      </w:r>
      <w:proofErr w:type="spellStart"/>
      <w:r w:rsidRPr="007653D3">
        <w:rPr>
          <w:rFonts w:cs="Times New Roman"/>
        </w:rPr>
        <w:t>gurglings</w:t>
      </w:r>
      <w:proofErr w:type="spellEnd"/>
      <w:r w:rsidRPr="007653D3">
        <w:rPr>
          <w:rFonts w:cs="Times New Roman"/>
        </w:rPr>
        <w:t xml:space="preserve">, or an incantation. The rhyme on ‘Spithead’ glosses it as a description of a particular type of utterance, a gratuitous ejaculation issuing from the man’s (deranged) head, which he accordingly demonstrates in the following line, nicely quarantined from the rest of the limerick by its </w:t>
      </w:r>
      <w:r w:rsidRPr="007653D3">
        <w:rPr>
          <w:rFonts w:cs="Times New Roman"/>
          <w:i/>
        </w:rPr>
        <w:t>b</w:t>
      </w:r>
      <w:r w:rsidRPr="007653D3">
        <w:rPr>
          <w:rFonts w:cs="Times New Roman"/>
        </w:rPr>
        <w:t xml:space="preserve"> rhyme and quotation marks. While, as ‘an old Derry down Derry,’ Lear identifies himself with the similarly unmeaning word sounds of traditional folk refrains, the ‘bosh’ of his limericks is nevertheless coherent and resolute. It is distinct from the fuzzy nursery-rhyme formula for nonsense exemplified by the utterances of the ‘</w:t>
      </w:r>
      <w:r>
        <w:rPr>
          <w:rFonts w:cs="Times New Roman"/>
        </w:rPr>
        <w:t>O</w:t>
      </w:r>
      <w:r w:rsidRPr="007653D3">
        <w:rPr>
          <w:rFonts w:cs="Times New Roman"/>
        </w:rPr>
        <w:t xml:space="preserve">ld </w:t>
      </w:r>
      <w:r>
        <w:rPr>
          <w:rFonts w:cs="Times New Roman"/>
        </w:rPr>
        <w:t>M</w:t>
      </w:r>
      <w:r w:rsidRPr="007653D3">
        <w:rPr>
          <w:rFonts w:cs="Times New Roman"/>
        </w:rPr>
        <w:t xml:space="preserve">an of Spithead,’ which in the final line that follows them earns him the defining attribute of being ‘doubtful.’ It is not that his words express feelings of uncertainty, indeed the drawing represents him beaming and confident, nor is he sceptical, in the manner of ‘That doubtful </w:t>
      </w:r>
      <w:r>
        <w:rPr>
          <w:rFonts w:cs="Times New Roman"/>
        </w:rPr>
        <w:t>O</w:t>
      </w:r>
      <w:r w:rsidRPr="007653D3">
        <w:rPr>
          <w:rFonts w:cs="Times New Roman"/>
        </w:rPr>
        <w:t xml:space="preserve">ld Man of </w:t>
      </w:r>
      <w:proofErr w:type="spellStart"/>
      <w:r w:rsidRPr="007653D3">
        <w:rPr>
          <w:rFonts w:cs="Times New Roman"/>
        </w:rPr>
        <w:t>th</w:t>
      </w:r>
      <w:proofErr w:type="spellEnd"/>
      <w:r w:rsidRPr="007653D3">
        <w:rPr>
          <w:rFonts w:cs="Times New Roman"/>
        </w:rPr>
        <w:t xml:space="preserve">’ Abruzzi.’ Rather, the concluding line infers from the language that the old man offers so deliberately to the larger world that he is ontologically doubtful, improbable, like the stranger on the train Lear depicts in his 1866 letter to Lady </w:t>
      </w:r>
      <w:proofErr w:type="spellStart"/>
      <w:r w:rsidRPr="007653D3">
        <w:rPr>
          <w:rFonts w:cs="Times New Roman"/>
        </w:rPr>
        <w:t>Waldegrave</w:t>
      </w:r>
      <w:proofErr w:type="spellEnd"/>
      <w:r w:rsidRPr="007653D3">
        <w:rPr>
          <w:rFonts w:cs="Times New Roman"/>
        </w:rPr>
        <w:t xml:space="preserve">. The closed form of Lear’s limericks is </w:t>
      </w:r>
      <w:proofErr w:type="spellStart"/>
      <w:r w:rsidRPr="007653D3">
        <w:rPr>
          <w:rFonts w:cs="Times New Roman"/>
        </w:rPr>
        <w:t>para-Parmenidean</w:t>
      </w:r>
      <w:proofErr w:type="spellEnd"/>
      <w:r w:rsidRPr="007653D3">
        <w:rPr>
          <w:rFonts w:cs="Times New Roman"/>
        </w:rPr>
        <w:t xml:space="preserve"> in its self-contained model of </w:t>
      </w:r>
      <w:proofErr w:type="gramStart"/>
      <w:r w:rsidRPr="007653D3">
        <w:rPr>
          <w:rFonts w:cs="Times New Roman"/>
        </w:rPr>
        <w:t>not-being</w:t>
      </w:r>
      <w:proofErr w:type="gramEnd"/>
      <w:r w:rsidRPr="007653D3">
        <w:rPr>
          <w:rFonts w:cs="Times New Roman"/>
        </w:rPr>
        <w:t>, a nonsense that is not simply the random and unmeaning other of sense, mere noise, but intrinsically coherent verbal substance.</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center"/>
        <w:rPr>
          <w:rFonts w:cs="Times New Roman"/>
        </w:rPr>
      </w:pPr>
      <w:r w:rsidRPr="007653D3">
        <w:rPr>
          <w:rFonts w:cs="Times New Roman"/>
        </w:rPr>
        <w:t>III</w:t>
      </w:r>
    </w:p>
    <w:p w:rsidR="000B4225" w:rsidRPr="007653D3" w:rsidRDefault="000B4225" w:rsidP="000B4225">
      <w:pPr>
        <w:spacing w:line="240" w:lineRule="auto"/>
        <w:jc w:val="center"/>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Lear’s limericks each precipitate their own referents, a set of self-subsisting relations that constitute a curious and discrete little world. As suggested earlier, akin to the </w:t>
      </w:r>
      <w:proofErr w:type="spellStart"/>
      <w:r w:rsidRPr="007653D3">
        <w:rPr>
          <w:rFonts w:cs="Times New Roman"/>
          <w:i/>
        </w:rPr>
        <w:t>ouroboros</w:t>
      </w:r>
      <w:proofErr w:type="spellEnd"/>
      <w:r w:rsidRPr="007653D3">
        <w:rPr>
          <w:rFonts w:cs="Times New Roman"/>
        </w:rPr>
        <w:t xml:space="preserve"> or figure of the snake swallowing its tail, the limerick’s short-circuited rhyme scheme, which is typically established and comes to rest on a particular place name, defines an enclosed space, like the bottles containing the Lake </w:t>
      </w:r>
      <w:proofErr w:type="spellStart"/>
      <w:r w:rsidRPr="007653D3">
        <w:rPr>
          <w:rFonts w:cs="Times New Roman"/>
        </w:rPr>
        <w:t>Pipple-Popple</w:t>
      </w:r>
      <w:proofErr w:type="spellEnd"/>
      <w:r w:rsidRPr="007653D3">
        <w:rPr>
          <w:rFonts w:cs="Times New Roman"/>
        </w:rPr>
        <w:t xml:space="preserve"> pickles. This space is filled and made substantive in the past tense, much as the similarly bounded ‘O [that] was an Orange’</w:t>
      </w:r>
      <w:r w:rsidRPr="007653D3">
        <w:rPr>
          <w:rStyle w:val="FootnoteReference"/>
          <w:rFonts w:cs="Times New Roman"/>
        </w:rPr>
        <w:footnoteReference w:id="30"/>
      </w:r>
      <w:r w:rsidRPr="007653D3">
        <w:rPr>
          <w:rFonts w:cs="Times New Roman"/>
        </w:rPr>
        <w:t xml:space="preserve"> is in Lear’s Alphabets. The following early example locates its idiosyncratic space not geographically but almost geometrically, as it starts and ends at a precisely defined -- and progressively honed -- point:</w:t>
      </w:r>
    </w:p>
    <w:p w:rsidR="000B4225" w:rsidRDefault="000B4225" w:rsidP="000B4225">
      <w:pPr>
        <w:spacing w:line="240" w:lineRule="auto"/>
        <w:jc w:val="both"/>
        <w:rPr>
          <w:rFonts w:cs="Times New Roman"/>
        </w:rPr>
      </w:pPr>
      <w:r>
        <w:rPr>
          <w:rFonts w:cs="Times New Roman"/>
          <w:noProof/>
          <w:lang w:val="en-US"/>
        </w:rPr>
        <w:drawing>
          <wp:inline distT="0" distB="0" distL="0" distR="0" wp14:anchorId="79605376" wp14:editId="7F6EC3C9">
            <wp:extent cx="2286000" cy="1558559"/>
            <wp:effectExtent l="0" t="0" r="0" b="0"/>
            <wp:docPr id="10" name="Picture 10" descr="Macintosh HD:Users:db13g12:Desktop:bon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db13g12:Desktop:bon01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7952" cy="1559890"/>
                    </a:xfrm>
                    <a:prstGeom prst="rect">
                      <a:avLst/>
                    </a:prstGeom>
                    <a:noFill/>
                    <a:ln>
                      <a:noFill/>
                    </a:ln>
                  </pic:spPr>
                </pic:pic>
              </a:graphicData>
            </a:graphic>
          </wp:inline>
        </w:drawing>
      </w:r>
    </w:p>
    <w:p w:rsidR="000B4225" w:rsidRPr="007653D3" w:rsidRDefault="000B4225" w:rsidP="000B4225">
      <w:pPr>
        <w:spacing w:line="240" w:lineRule="auto"/>
        <w:jc w:val="center"/>
        <w:rPr>
          <w:rFonts w:cs="Times New Roman"/>
        </w:rPr>
      </w:pPr>
      <w:r w:rsidRPr="00A80ACD">
        <w:rPr>
          <w:rFonts w:cs="Times New Roman"/>
          <w:highlight w:val="yellow"/>
        </w:rPr>
        <w:t>Insert Fig. 7.4 here</w:t>
      </w:r>
    </w:p>
    <w:p w:rsidR="000B4225" w:rsidRPr="007653D3" w:rsidRDefault="000B4225" w:rsidP="000B4225">
      <w:pPr>
        <w:spacing w:line="240" w:lineRule="auto"/>
        <w:rPr>
          <w:rFonts w:cs="Times New Roman"/>
        </w:rPr>
      </w:pPr>
      <w:r w:rsidRPr="007653D3">
        <w:rPr>
          <w:rFonts w:cs="Times New Roman"/>
        </w:rPr>
        <w:t xml:space="preserve">There was a Young Lady whose chin, </w:t>
      </w:r>
    </w:p>
    <w:p w:rsidR="000B4225" w:rsidRPr="007653D3" w:rsidRDefault="000B4225" w:rsidP="000B4225">
      <w:pPr>
        <w:spacing w:line="240" w:lineRule="auto"/>
        <w:rPr>
          <w:rFonts w:cs="Times New Roman"/>
        </w:rPr>
      </w:pPr>
      <w:r w:rsidRPr="007653D3">
        <w:rPr>
          <w:rFonts w:cs="Times New Roman"/>
        </w:rPr>
        <w:t>Resembled the point of a pin</w:t>
      </w:r>
      <w:proofErr w:type="gramStart"/>
      <w:r w:rsidRPr="007653D3">
        <w:rPr>
          <w:rFonts w:cs="Times New Roman"/>
        </w:rPr>
        <w:t>;</w:t>
      </w:r>
      <w:proofErr w:type="gramEnd"/>
    </w:p>
    <w:p w:rsidR="000B4225" w:rsidRPr="007653D3" w:rsidRDefault="000B4225" w:rsidP="000B4225">
      <w:pPr>
        <w:spacing w:line="240" w:lineRule="auto"/>
        <w:rPr>
          <w:rFonts w:cs="Times New Roman"/>
        </w:rPr>
      </w:pPr>
      <w:r w:rsidRPr="007653D3">
        <w:rPr>
          <w:rFonts w:cs="Times New Roman"/>
        </w:rPr>
        <w:t>So she had it made sharp, and purchased a harp,</w:t>
      </w:r>
    </w:p>
    <w:p w:rsidR="000B4225" w:rsidRPr="007653D3" w:rsidRDefault="000B4225" w:rsidP="000B4225">
      <w:pPr>
        <w:spacing w:line="240" w:lineRule="auto"/>
        <w:rPr>
          <w:rFonts w:cs="Times New Roman"/>
        </w:rPr>
      </w:pPr>
      <w:r w:rsidRPr="007653D3">
        <w:rPr>
          <w:rFonts w:cs="Times New Roman"/>
        </w:rPr>
        <w:t>And played several tunes with her chin.</w:t>
      </w:r>
      <w:r>
        <w:rPr>
          <w:rFonts w:cs="Times New Roman"/>
        </w:rPr>
        <w:t xml:space="preserve"> </w:t>
      </w:r>
      <w:r w:rsidRPr="007653D3">
        <w:rPr>
          <w:rFonts w:cs="Times New Roman"/>
        </w:rPr>
        <w:t>(162)</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There is an odd, but not unrepresentative, verisimilitude to this description. The forthrightness of the rhyme scheme and the anapaestic rhythms that undergird Lear’s limericks give to the most preposterous content an even and inevitable measure, an assured </w:t>
      </w:r>
      <w:proofErr w:type="spellStart"/>
      <w:r w:rsidRPr="007653D3">
        <w:rPr>
          <w:rFonts w:cs="Times New Roman"/>
        </w:rPr>
        <w:t>commonsensical</w:t>
      </w:r>
      <w:proofErr w:type="spellEnd"/>
      <w:r w:rsidRPr="007653D3">
        <w:rPr>
          <w:rFonts w:cs="Times New Roman"/>
        </w:rPr>
        <w:t xml:space="preserve"> impetus. More specifically, the short pointy rhymes of ‘There was a Young Lady whose chin’ are brought into close proximity with one another, made jabbing and insistent, by the limerick form. The following reading of the poem looks to the legacy of Lear’s nonsense Alphabets and their models in didactic toy books to clarify the ways in which verisimilitude proceeds from the sounds of his words, and the letters that vary them in the unlikely series of rhymes that the limericks usually pivot upon.</w:t>
      </w:r>
    </w:p>
    <w:p w:rsidR="000B4225" w:rsidRPr="007653D3" w:rsidRDefault="000B4225" w:rsidP="000B4225">
      <w:pPr>
        <w:spacing w:line="240" w:lineRule="auto"/>
        <w:jc w:val="both"/>
        <w:rPr>
          <w:rFonts w:cs="Times New Roman"/>
        </w:rPr>
      </w:pPr>
      <w:r w:rsidRPr="007653D3">
        <w:rPr>
          <w:rFonts w:cs="Times New Roman"/>
        </w:rPr>
        <w:tab/>
        <w:t>The simplest and most fundamental cases of reifying word sounds that Lear makes are his genealogical accounts of letters in the Alphabets, where for instance ‘O’ was not only an Orange, but on another occasion also filled with the long vowel sound, and (in Lear’s illustration) oval shape, of the Owl (</w:t>
      </w:r>
      <w:r w:rsidRPr="00A80ACD">
        <w:rPr>
          <w:rFonts w:cs="Times New Roman"/>
          <w:i/>
        </w:rPr>
        <w:t>CN</w:t>
      </w:r>
      <w:r w:rsidRPr="007653D3">
        <w:rPr>
          <w:rFonts w:cs="Times New Roman"/>
        </w:rPr>
        <w:t>, 293). Such examples as the encompassing ‘O’, which at yet another time in its obscure past was also an ‘Open-</w:t>
      </w:r>
      <w:proofErr w:type="spellStart"/>
      <w:r w:rsidRPr="007653D3">
        <w:rPr>
          <w:rFonts w:cs="Times New Roman"/>
        </w:rPr>
        <w:t>mouth’d</w:t>
      </w:r>
      <w:proofErr w:type="spellEnd"/>
      <w:r w:rsidRPr="007653D3">
        <w:rPr>
          <w:rFonts w:cs="Times New Roman"/>
        </w:rPr>
        <w:t xml:space="preserve"> Oyster!</w:t>
      </w:r>
      <w:proofErr w:type="gramStart"/>
      <w:r w:rsidRPr="007653D3">
        <w:rPr>
          <w:rFonts w:cs="Times New Roman"/>
        </w:rPr>
        <w:t>’,</w:t>
      </w:r>
      <w:proofErr w:type="gramEnd"/>
      <w:r w:rsidRPr="007653D3">
        <w:rPr>
          <w:rStyle w:val="FootnoteReference"/>
          <w:rFonts w:cs="Times New Roman"/>
        </w:rPr>
        <w:footnoteReference w:id="31"/>
      </w:r>
      <w:r w:rsidRPr="007653D3">
        <w:rPr>
          <w:rFonts w:cs="Times New Roman"/>
        </w:rPr>
        <w:t xml:space="preserve"> are not original to Lear but generic. They follow a convention of children’s alphabets, found in such books as </w:t>
      </w:r>
      <w:r w:rsidRPr="007653D3">
        <w:rPr>
          <w:rFonts w:cs="Times New Roman"/>
          <w:i/>
        </w:rPr>
        <w:t>Mrs Lovechild’s Golden Present</w:t>
      </w:r>
      <w:r w:rsidRPr="007653D3">
        <w:rPr>
          <w:rFonts w:cs="Times New Roman"/>
        </w:rPr>
        <w:t>; ‘O was an Otter, that ne’er could be caught.’</w:t>
      </w:r>
      <w:r w:rsidRPr="007653D3">
        <w:rPr>
          <w:rStyle w:val="FootnoteReference"/>
          <w:rFonts w:cs="Times New Roman"/>
        </w:rPr>
        <w:footnoteReference w:id="32"/>
      </w:r>
      <w:r w:rsidRPr="007653D3">
        <w:rPr>
          <w:rFonts w:cs="Times New Roman"/>
        </w:rPr>
        <w:t xml:space="preserve"> Lear’s examples differ from this precedent in their iconic construal of the letter O, which is depicted, mainly through its </w:t>
      </w:r>
      <w:proofErr w:type="gramStart"/>
      <w:r w:rsidRPr="007653D3">
        <w:rPr>
          <w:rFonts w:cs="Times New Roman"/>
        </w:rPr>
        <w:t>shape,</w:t>
      </w:r>
      <w:proofErr w:type="gramEnd"/>
      <w:r w:rsidRPr="007653D3">
        <w:rPr>
          <w:rFonts w:cs="Times New Roman"/>
        </w:rPr>
        <w:t xml:space="preserve"> to be of a piece with the referents it heads up. Other alphabets in such contemporary toy books as</w:t>
      </w:r>
      <w:r w:rsidRPr="007653D3">
        <w:rPr>
          <w:rFonts w:cs="Times New Roman"/>
          <w:i/>
        </w:rPr>
        <w:t xml:space="preserve"> The Home Alphabet Book</w:t>
      </w:r>
      <w:r w:rsidRPr="007653D3">
        <w:rPr>
          <w:rFonts w:cs="Times New Roman"/>
        </w:rPr>
        <w:t xml:space="preserve"> (c. 1847), however, regard their constituent letters in similar ways to Lear, presenting them ambiguously as participants in not only their words but also their referents:</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The H in Honeysuckle twines</w:t>
      </w:r>
    </w:p>
    <w:p w:rsidR="000B4225" w:rsidRPr="007653D3" w:rsidRDefault="000B4225" w:rsidP="000B4225">
      <w:pPr>
        <w:spacing w:line="240" w:lineRule="auto"/>
        <w:jc w:val="both"/>
        <w:rPr>
          <w:rFonts w:cs="Times New Roman"/>
        </w:rPr>
      </w:pPr>
      <w:r w:rsidRPr="007653D3">
        <w:rPr>
          <w:rFonts w:cs="Times New Roman"/>
        </w:rPr>
        <w:t xml:space="preserve">   Around the cottage door;</w:t>
      </w:r>
    </w:p>
    <w:p w:rsidR="000B4225" w:rsidRPr="007653D3" w:rsidRDefault="000B4225" w:rsidP="000B4225">
      <w:pPr>
        <w:spacing w:line="240" w:lineRule="auto"/>
        <w:jc w:val="both"/>
        <w:rPr>
          <w:rFonts w:cs="Times New Roman"/>
        </w:rPr>
      </w:pPr>
      <w:r w:rsidRPr="007653D3">
        <w:rPr>
          <w:rFonts w:cs="Times New Roman"/>
        </w:rPr>
        <w:t>In Hollyhock it well combines</w:t>
      </w:r>
    </w:p>
    <w:p w:rsidR="000B4225" w:rsidRPr="007653D3" w:rsidRDefault="000B4225" w:rsidP="000B4225">
      <w:pPr>
        <w:spacing w:line="240" w:lineRule="auto"/>
        <w:jc w:val="both"/>
        <w:rPr>
          <w:rFonts w:cs="Times New Roman"/>
        </w:rPr>
      </w:pPr>
      <w:r w:rsidRPr="007653D3">
        <w:rPr>
          <w:rFonts w:cs="Times New Roman"/>
        </w:rPr>
        <w:t xml:space="preserve">   </w:t>
      </w:r>
      <w:proofErr w:type="gramStart"/>
      <w:r w:rsidRPr="007653D3">
        <w:rPr>
          <w:rFonts w:cs="Times New Roman"/>
        </w:rPr>
        <w:t>The Hue of every flower.</w:t>
      </w:r>
      <w:proofErr w:type="gramEnd"/>
      <w:r w:rsidRPr="007653D3">
        <w:rPr>
          <w:rStyle w:val="FootnoteReference"/>
          <w:rFonts w:cs="Times New Roman"/>
        </w:rPr>
        <w:footnoteReference w:id="33"/>
      </w:r>
      <w:r w:rsidRPr="007653D3">
        <w:rPr>
          <w:rFonts w:cs="Times New Roman"/>
        </w:rPr>
        <w:t xml:space="preserve"> </w:t>
      </w:r>
    </w:p>
    <w:p w:rsidR="000B4225" w:rsidRPr="007653D3" w:rsidRDefault="000B4225" w:rsidP="000B4225">
      <w:pPr>
        <w:spacing w:line="240" w:lineRule="auto"/>
        <w:ind w:firstLine="720"/>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‘H’ embodies active vegetative tendencies, like its close kin, the linear letter that follows it; ‘In Ivy green the I you see, | </w:t>
      </w:r>
      <w:proofErr w:type="gramStart"/>
      <w:r w:rsidRPr="007653D3">
        <w:rPr>
          <w:rFonts w:cs="Times New Roman"/>
        </w:rPr>
        <w:t>Which</w:t>
      </w:r>
      <w:proofErr w:type="gramEnd"/>
      <w:r w:rsidRPr="007653D3">
        <w:rPr>
          <w:rFonts w:cs="Times New Roman"/>
        </w:rPr>
        <w:t xml:space="preserve"> creeps round house apace.’</w:t>
      </w:r>
      <w:r w:rsidRPr="007653D3">
        <w:rPr>
          <w:rStyle w:val="FootnoteReference"/>
          <w:rFonts w:cs="Times New Roman"/>
        </w:rPr>
        <w:footnoteReference w:id="34"/>
      </w:r>
      <w:r w:rsidRPr="007653D3">
        <w:rPr>
          <w:rFonts w:cs="Times New Roman"/>
        </w:rPr>
        <w:t xml:space="preserve"> The ‘I’ is also ‘seen in Lime and Lupine tree,’ furnishing the central stem for word and referent alike, as well as the stamen in ‘Lily’s lovely face,’ while ‘H’ also incarnates hues of colour, which are correspondingly enhanced and various through the letter’s multiple occurrence in ‘Hollyhock.’ In teaching the alphabet, such toy books harness the animism that word sounds acquire through early childhood experience of them, and encourage their correspondingly totemic representation in letters. They are seen in such books, as they are by Lear in the examples cited earlier, as contractions of the words that begin with them and fetishes that have the power to realize and enact their referents. </w:t>
      </w:r>
    </w:p>
    <w:p w:rsidR="000B4225" w:rsidRPr="007653D3" w:rsidRDefault="000B4225" w:rsidP="000B4225">
      <w:pPr>
        <w:spacing w:line="240" w:lineRule="auto"/>
        <w:ind w:firstLine="720"/>
        <w:jc w:val="both"/>
        <w:rPr>
          <w:rFonts w:cs="Times New Roman"/>
        </w:rPr>
      </w:pPr>
      <w:r w:rsidRPr="007653D3">
        <w:rPr>
          <w:rFonts w:cs="Times New Roman"/>
        </w:rPr>
        <w:t>For children who were just beginning to learn to read, to gain access to the century’s principal form of mass entertainment and information, the toy book alphabets presented its magic as within their grasp, inhering within the constituent letters, the building blocks, of stories and books. The</w:t>
      </w:r>
      <w:r w:rsidRPr="007653D3">
        <w:rPr>
          <w:rFonts w:cs="Times New Roman"/>
          <w:i/>
        </w:rPr>
        <w:t xml:space="preserve"> Child’s New Alphabet</w:t>
      </w:r>
      <w:r w:rsidRPr="007653D3">
        <w:rPr>
          <w:rFonts w:cs="Times New Roman"/>
        </w:rPr>
        <w:t xml:space="preserve"> (1824) is prefaced with some riddling verses that describe the paradoxical powers of the alphabet (which here includes the ampersand as an additional letter): </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proofErr w:type="spellStart"/>
      <w:r w:rsidRPr="007653D3">
        <w:rPr>
          <w:rFonts w:cs="Times New Roman"/>
        </w:rPr>
        <w:t>Altho</w:t>
      </w:r>
      <w:proofErr w:type="spellEnd"/>
      <w:r w:rsidRPr="007653D3">
        <w:rPr>
          <w:rFonts w:cs="Times New Roman"/>
        </w:rPr>
        <w:t>’ we are but twenty-seven,</w:t>
      </w:r>
    </w:p>
    <w:p w:rsidR="000B4225" w:rsidRPr="007653D3" w:rsidRDefault="000B4225" w:rsidP="000B4225">
      <w:pPr>
        <w:spacing w:line="240" w:lineRule="auto"/>
        <w:jc w:val="both"/>
        <w:rPr>
          <w:rFonts w:cs="Times New Roman"/>
        </w:rPr>
      </w:pPr>
      <w:r w:rsidRPr="007653D3">
        <w:rPr>
          <w:rFonts w:cs="Times New Roman"/>
        </w:rPr>
        <w:t xml:space="preserve">   We change to millions too</w:t>
      </w:r>
      <w:proofErr w:type="gramStart"/>
      <w:r w:rsidRPr="007653D3">
        <w:rPr>
          <w:rFonts w:cs="Times New Roman"/>
        </w:rPr>
        <w:t>;</w:t>
      </w:r>
      <w:proofErr w:type="gramEnd"/>
    </w:p>
    <w:p w:rsidR="000B4225" w:rsidRPr="007653D3" w:rsidRDefault="000B4225" w:rsidP="000B4225">
      <w:pPr>
        <w:spacing w:line="240" w:lineRule="auto"/>
        <w:jc w:val="both"/>
        <w:rPr>
          <w:rFonts w:cs="Times New Roman"/>
        </w:rPr>
      </w:pPr>
      <w:proofErr w:type="spellStart"/>
      <w:r w:rsidRPr="007653D3">
        <w:rPr>
          <w:rFonts w:cs="Times New Roman"/>
        </w:rPr>
        <w:t>Altho</w:t>
      </w:r>
      <w:proofErr w:type="spellEnd"/>
      <w:r w:rsidRPr="007653D3">
        <w:rPr>
          <w:rFonts w:cs="Times New Roman"/>
        </w:rPr>
        <w:t>’ we cannot speak a word,</w:t>
      </w:r>
    </w:p>
    <w:p w:rsidR="000B4225" w:rsidRPr="007653D3" w:rsidRDefault="000B4225" w:rsidP="000B4225">
      <w:pPr>
        <w:spacing w:line="240" w:lineRule="auto"/>
        <w:jc w:val="both"/>
        <w:rPr>
          <w:rFonts w:cs="Times New Roman"/>
        </w:rPr>
      </w:pPr>
      <w:r w:rsidRPr="007653D3">
        <w:rPr>
          <w:rFonts w:cs="Times New Roman"/>
        </w:rPr>
        <w:t xml:space="preserve">   We tell what others do. </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Personified collectively in the prologue, each letter is then introduced as a particular character with its own backstory and woodblock illustration; ‘R was a Robber, | </w:t>
      </w:r>
      <w:proofErr w:type="gramStart"/>
      <w:r w:rsidRPr="007653D3">
        <w:rPr>
          <w:rFonts w:cs="Times New Roman"/>
        </w:rPr>
        <w:t>And</w:t>
      </w:r>
      <w:proofErr w:type="gramEnd"/>
      <w:r w:rsidRPr="007653D3">
        <w:rPr>
          <w:rFonts w:cs="Times New Roman"/>
        </w:rPr>
        <w:t xml:space="preserve"> hung as you see.’</w:t>
      </w:r>
      <w:r w:rsidRPr="007653D3">
        <w:rPr>
          <w:rStyle w:val="FootnoteReference"/>
          <w:rFonts w:cs="Times New Roman"/>
        </w:rPr>
        <w:footnoteReference w:id="35"/>
      </w:r>
      <w:r w:rsidRPr="007653D3">
        <w:rPr>
          <w:rFonts w:cs="Times New Roman"/>
        </w:rPr>
        <w:t xml:space="preserve"> In a particularly grand example of its conjuring powers, the alphabet progressively unfurls an entire royal party in </w:t>
      </w:r>
      <w:r w:rsidRPr="007653D3">
        <w:rPr>
          <w:rFonts w:cs="Times New Roman"/>
          <w:i/>
        </w:rPr>
        <w:t>The Royal Alphabet</w:t>
      </w:r>
      <w:r w:rsidRPr="007653D3">
        <w:rPr>
          <w:rFonts w:cs="Times New Roman"/>
        </w:rPr>
        <w:t xml:space="preserve"> (c. 1844): ‘A stands for Albert, he’s handsome and tall,’ its illustration </w:t>
      </w:r>
      <w:proofErr w:type="spellStart"/>
      <w:r w:rsidRPr="007653D3">
        <w:rPr>
          <w:rFonts w:cs="Times New Roman"/>
        </w:rPr>
        <w:t>punningly</w:t>
      </w:r>
      <w:proofErr w:type="spellEnd"/>
      <w:r w:rsidRPr="007653D3">
        <w:rPr>
          <w:rFonts w:cs="Times New Roman"/>
        </w:rPr>
        <w:t xml:space="preserve"> showing the First Letter standing to attention for HRH, while ‘B is the Banquet, he gave in the hall,’ and so on.</w:t>
      </w:r>
      <w:r w:rsidRPr="007653D3">
        <w:rPr>
          <w:rStyle w:val="FootnoteReference"/>
          <w:rFonts w:cs="Times New Roman"/>
        </w:rPr>
        <w:footnoteReference w:id="36"/>
      </w:r>
      <w:r w:rsidRPr="007653D3">
        <w:rPr>
          <w:rFonts w:cs="Times New Roman"/>
        </w:rPr>
        <w:t xml:space="preserve"> </w:t>
      </w:r>
    </w:p>
    <w:p w:rsidR="000B4225" w:rsidRPr="007653D3" w:rsidRDefault="000B4225" w:rsidP="000B4225">
      <w:pPr>
        <w:spacing w:line="240" w:lineRule="auto"/>
        <w:ind w:firstLine="720"/>
        <w:jc w:val="both"/>
        <w:rPr>
          <w:rFonts w:cs="Times New Roman"/>
        </w:rPr>
      </w:pPr>
      <w:r w:rsidRPr="007653D3">
        <w:rPr>
          <w:rFonts w:cs="Times New Roman"/>
        </w:rPr>
        <w:t xml:space="preserve">While the chiming word-series of Lear’s Alphabets participate playfully in the object they refer to, the nonsense of </w:t>
      </w:r>
      <w:proofErr w:type="gramStart"/>
      <w:r w:rsidRPr="007653D3">
        <w:rPr>
          <w:rFonts w:cs="Times New Roman"/>
        </w:rPr>
        <w:t>not-being</w:t>
      </w:r>
      <w:proofErr w:type="gramEnd"/>
      <w:r w:rsidRPr="007653D3">
        <w:rPr>
          <w:rFonts w:cs="Times New Roman"/>
        </w:rPr>
        <w:t xml:space="preserve"> is played more strictly as a word-game in the limericks. Repudiating figurative language, Lear deploys words with a radical literalism, which sees the relations between word-sounds not as contingent and arbitrary, but necessary and significant, systematic, so that in mobilizing them within the overarching rhyme scheme of the limericks, inherent generic meanings are disclosed and defined. The patterns of chiming morphemes in ‘There was a Young Lady whose chin’ can be usefully compared with the word-play around ‘J’ in </w:t>
      </w:r>
      <w:r w:rsidRPr="007653D3">
        <w:rPr>
          <w:rFonts w:cs="Times New Roman"/>
          <w:i/>
        </w:rPr>
        <w:t>The Home Alphabet Book</w:t>
      </w:r>
      <w:r w:rsidRPr="007653D3">
        <w:rPr>
          <w:rFonts w:cs="Times New Roman"/>
        </w:rPr>
        <w:t>, where, parallel to the twining habits of its immediate predecessors, the letter is attributed, albeit ambiguously, with its own agency: ‘In Juice of fruit the J is seen, | To make nice Jam to eat.’</w:t>
      </w:r>
      <w:r w:rsidRPr="007653D3">
        <w:rPr>
          <w:rStyle w:val="FootnoteReference"/>
          <w:rFonts w:cs="Times New Roman"/>
        </w:rPr>
        <w:footnoteReference w:id="37"/>
      </w:r>
      <w:r w:rsidRPr="007653D3">
        <w:rPr>
          <w:rFonts w:cs="Times New Roman"/>
        </w:rPr>
        <w:t xml:space="preserve"> Like ‘H’ and ‘I’ before it, ‘J’ appears to participate in the referents it enables, as the letter draws from ‘fruit’ its essence, its fluent vowel sound, as ‘Juice,’ which it subsequently congeals as ‘Jam.’ Lear’s limerick functions through a similar reification, as in bringing together the words ‘chin’ and ‘pin’ the rhyme is seen to reveal a substantive affinity between the two, a relation that the lines they yoke together make explicit: ‘There was a Young Lady whose chin, | Resembled the point of a pin.’ The resemblance belongs materially to both words through their shared morpheme and, as the limerick’s drawing further corroborates, their referents also. </w:t>
      </w:r>
    </w:p>
    <w:p w:rsidR="000B4225" w:rsidRPr="007653D3" w:rsidRDefault="000B4225" w:rsidP="000B4225">
      <w:pPr>
        <w:spacing w:line="240" w:lineRule="auto"/>
        <w:ind w:firstLine="720"/>
        <w:jc w:val="both"/>
        <w:rPr>
          <w:rFonts w:cs="Times New Roman"/>
        </w:rPr>
      </w:pPr>
      <w:r w:rsidRPr="007653D3">
        <w:rPr>
          <w:rFonts w:cs="Times New Roman"/>
        </w:rPr>
        <w:t>Speech is for Schopenhauer the representation of a mental representation of will, the communication of arbitrary signs that betoken ‘concepts, representations that are abstract not perceptive, universal not individual in time and space.’</w:t>
      </w:r>
      <w:r w:rsidRPr="007653D3">
        <w:rPr>
          <w:rStyle w:val="FootnoteReference"/>
          <w:rFonts w:cs="Times New Roman"/>
        </w:rPr>
        <w:footnoteReference w:id="38"/>
      </w:r>
      <w:r w:rsidRPr="007653D3">
        <w:rPr>
          <w:rFonts w:cs="Times New Roman"/>
        </w:rPr>
        <w:t xml:space="preserve"> Minimising such mediation, Lear radicalises speech into elementary word-sounds, a more forthright, visceral, embodiment of will. Familiar from the chutzpah of the chiming letters in ‘chin’ and ‘pin,’ the will of Lear’s word-sounds is deployed most overtly in the ‘</w:t>
      </w:r>
      <w:proofErr w:type="spellStart"/>
      <w:r w:rsidRPr="007653D3">
        <w:rPr>
          <w:rFonts w:cs="Times New Roman"/>
        </w:rPr>
        <w:t>Ribands</w:t>
      </w:r>
      <w:proofErr w:type="spellEnd"/>
      <w:r w:rsidRPr="007653D3">
        <w:rPr>
          <w:rFonts w:cs="Times New Roman"/>
        </w:rPr>
        <w:t xml:space="preserve"> and pigs’ series of rhymes (</w:t>
      </w:r>
      <w:r w:rsidRPr="00A80ACD">
        <w:rPr>
          <w:rFonts w:cs="Times New Roman"/>
          <w:i/>
        </w:rPr>
        <w:t>CN</w:t>
      </w:r>
      <w:r w:rsidRPr="007653D3">
        <w:rPr>
          <w:rFonts w:cs="Times New Roman"/>
        </w:rPr>
        <w:t xml:space="preserve">, 135-148): </w:t>
      </w:r>
    </w:p>
    <w:p w:rsidR="000B4225" w:rsidRPr="007653D3" w:rsidRDefault="000B4225" w:rsidP="000B4225">
      <w:pPr>
        <w:spacing w:line="240" w:lineRule="auto"/>
        <w:ind w:firstLine="720"/>
        <w:jc w:val="both"/>
        <w:rPr>
          <w:rFonts w:cs="Times New Roman"/>
        </w:rPr>
      </w:pPr>
    </w:p>
    <w:p w:rsidR="000B4225" w:rsidRPr="007653D3" w:rsidRDefault="000B4225" w:rsidP="000B4225">
      <w:pPr>
        <w:spacing w:line="240" w:lineRule="auto"/>
        <w:jc w:val="both"/>
        <w:rPr>
          <w:rFonts w:cs="Times New Roman"/>
        </w:rPr>
      </w:pPr>
      <w:proofErr w:type="spellStart"/>
      <w:r w:rsidRPr="007653D3">
        <w:rPr>
          <w:rFonts w:cs="Times New Roman"/>
        </w:rPr>
        <w:t>Ribands</w:t>
      </w:r>
      <w:proofErr w:type="spellEnd"/>
      <w:r w:rsidRPr="007653D3">
        <w:rPr>
          <w:rFonts w:cs="Times New Roman"/>
        </w:rPr>
        <w:t xml:space="preserve"> &amp; pigs,</w:t>
      </w:r>
    </w:p>
    <w:p w:rsidR="000B4225" w:rsidRPr="007653D3" w:rsidRDefault="000B4225" w:rsidP="000B4225">
      <w:pPr>
        <w:spacing w:line="240" w:lineRule="auto"/>
        <w:jc w:val="both"/>
        <w:rPr>
          <w:rFonts w:cs="Times New Roman"/>
        </w:rPr>
      </w:pPr>
      <w:r w:rsidRPr="007653D3">
        <w:rPr>
          <w:rFonts w:cs="Times New Roman"/>
        </w:rPr>
        <w:t xml:space="preserve">Helmets &amp; </w:t>
      </w:r>
      <w:r>
        <w:rPr>
          <w:rFonts w:cs="Times New Roman"/>
        </w:rPr>
        <w:t>F</w:t>
      </w:r>
      <w:r w:rsidRPr="007653D3">
        <w:rPr>
          <w:rFonts w:cs="Times New Roman"/>
        </w:rPr>
        <w:t>igs,</w:t>
      </w:r>
    </w:p>
    <w:p w:rsidR="000B4225" w:rsidRPr="007653D3" w:rsidRDefault="000B4225" w:rsidP="000B4225">
      <w:pPr>
        <w:spacing w:line="240" w:lineRule="auto"/>
        <w:jc w:val="both"/>
        <w:rPr>
          <w:rFonts w:cs="Times New Roman"/>
        </w:rPr>
      </w:pPr>
      <w:r w:rsidRPr="007653D3">
        <w:rPr>
          <w:rFonts w:cs="Times New Roman"/>
        </w:rPr>
        <w:t>Set him a jigging &amp; see how he jigs</w:t>
      </w:r>
      <w:r>
        <w:rPr>
          <w:rFonts w:cs="Times New Roman"/>
        </w:rPr>
        <w:t xml:space="preserve">. </w:t>
      </w:r>
      <w:r w:rsidRPr="007653D3">
        <w:rPr>
          <w:rFonts w:cs="Times New Roman"/>
        </w:rPr>
        <w:t>(</w:t>
      </w:r>
      <w:r w:rsidRPr="00A80ACD">
        <w:rPr>
          <w:rFonts w:cs="Times New Roman"/>
          <w:i/>
        </w:rPr>
        <w:t>CN</w:t>
      </w:r>
      <w:r w:rsidRPr="007653D3">
        <w:rPr>
          <w:rFonts w:cs="Times New Roman"/>
        </w:rPr>
        <w:t>, 135; see also 143)</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Such incantations attribute words with an inherent power of causation, which the rhymes isolate in certain morphemes, a latent power that is apparently actualized as they are coupled with other, ostensibly random, words and their referents. In this example, the rhythm and the rhyme pattern established by ‘figs’ following ‘pigs’ then triggers the ‘jigging’ of the third line, the perpetuation and incarnation of the pattern, as the half rhyme of the word’s suffix (‘</w:t>
      </w:r>
      <w:proofErr w:type="spellStart"/>
      <w:r w:rsidRPr="007653D3">
        <w:rPr>
          <w:rFonts w:cs="Times New Roman"/>
        </w:rPr>
        <w:t>jigg-ing</w:t>
      </w:r>
      <w:proofErr w:type="spellEnd"/>
      <w:r w:rsidRPr="007653D3">
        <w:rPr>
          <w:rFonts w:cs="Times New Roman"/>
        </w:rPr>
        <w:t>’) and the final rhyme that closes this double line (‘jigs’) set up a series of echoes that suggest its compulsive, dervish-like, bodily expression, its referent. The shared morphemes furnish the fundamental principle of meaning through sheer force of will, which as in Schopenhauer, becomes manifest in bodily movement. In the following example, a cat is provoked by the combination of certain objects with a morpheme that becomes tinted with broadly religious associations through the rhyming words that host it:</w:t>
      </w:r>
    </w:p>
    <w:p w:rsidR="000B4225" w:rsidRPr="007653D3" w:rsidRDefault="000B4225" w:rsidP="000B4225">
      <w:pPr>
        <w:spacing w:line="240" w:lineRule="auto"/>
        <w:ind w:firstLine="720"/>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Tea </w:t>
      </w:r>
      <w:r>
        <w:rPr>
          <w:rFonts w:cs="Times New Roman"/>
        </w:rPr>
        <w:t>U</w:t>
      </w:r>
      <w:r w:rsidRPr="007653D3">
        <w:rPr>
          <w:rFonts w:cs="Times New Roman"/>
        </w:rPr>
        <w:t>rns &amp; Pews,</w:t>
      </w:r>
    </w:p>
    <w:p w:rsidR="000B4225" w:rsidRPr="007653D3" w:rsidRDefault="000B4225" w:rsidP="000B4225">
      <w:pPr>
        <w:spacing w:line="240" w:lineRule="auto"/>
        <w:jc w:val="both"/>
        <w:rPr>
          <w:rFonts w:cs="Times New Roman"/>
        </w:rPr>
      </w:pPr>
      <w:r w:rsidRPr="007653D3">
        <w:rPr>
          <w:rFonts w:cs="Times New Roman"/>
        </w:rPr>
        <w:t>Muscles &amp; Jews,</w:t>
      </w:r>
    </w:p>
    <w:p w:rsidR="000B4225" w:rsidRDefault="000B4225" w:rsidP="000B4225">
      <w:pPr>
        <w:spacing w:line="240" w:lineRule="auto"/>
        <w:jc w:val="both"/>
        <w:rPr>
          <w:rFonts w:cs="Times New Roman"/>
        </w:rPr>
      </w:pPr>
      <w:r w:rsidRPr="007653D3">
        <w:rPr>
          <w:rFonts w:cs="Times New Roman"/>
        </w:rPr>
        <w:t>Set him a mewing and hear how he mews -</w:t>
      </w:r>
    </w:p>
    <w:p w:rsidR="000B4225" w:rsidRPr="007653D3" w:rsidRDefault="000B4225" w:rsidP="000B4225">
      <w:pPr>
        <w:spacing w:line="240" w:lineRule="auto"/>
        <w:jc w:val="both"/>
        <w:rPr>
          <w:rFonts w:cs="Times New Roman"/>
        </w:rPr>
      </w:pPr>
      <w:r w:rsidRPr="007653D3">
        <w:rPr>
          <w:rFonts w:cs="Times New Roman"/>
        </w:rPr>
        <w:t>(</w:t>
      </w:r>
      <w:r w:rsidRPr="00A80ACD">
        <w:rPr>
          <w:rFonts w:cs="Times New Roman"/>
          <w:i/>
        </w:rPr>
        <w:t>CN</w:t>
      </w:r>
      <w:r w:rsidRPr="007653D3">
        <w:rPr>
          <w:rFonts w:cs="Times New Roman"/>
        </w:rPr>
        <w:t>, 145)</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The causal agent is substantive and objective, intrinsic to the chiming word-sounds (there is little room for </w:t>
      </w:r>
      <w:proofErr w:type="spellStart"/>
      <w:r w:rsidRPr="007653D3">
        <w:rPr>
          <w:rFonts w:cs="Times New Roman"/>
        </w:rPr>
        <w:t>Humean</w:t>
      </w:r>
      <w:proofErr w:type="spellEnd"/>
      <w:r w:rsidRPr="007653D3">
        <w:rPr>
          <w:rFonts w:cs="Times New Roman"/>
        </w:rPr>
        <w:t xml:space="preserve"> scepticism here), while its consequences for the signified itself, in this case the cat, are referred to the reader for independent empirical verification.</w:t>
      </w:r>
    </w:p>
    <w:p w:rsidR="000B4225" w:rsidRPr="007653D3" w:rsidRDefault="000B4225" w:rsidP="000B4225">
      <w:pPr>
        <w:spacing w:line="240" w:lineRule="auto"/>
        <w:ind w:firstLine="720"/>
        <w:jc w:val="both"/>
        <w:rPr>
          <w:rFonts w:cs="Times New Roman"/>
        </w:rPr>
      </w:pPr>
      <w:r w:rsidRPr="007653D3">
        <w:rPr>
          <w:rFonts w:cs="Times New Roman"/>
        </w:rPr>
        <w:t>In ‘There was a Young Lady whose chin,’ the resemblance of the protagonist’s chin to the ‘the point of a pin’ is assumed to be natural, endemic to the language relations, like the causal relations attributed to the chiming morphemes of the ‘</w:t>
      </w:r>
      <w:proofErr w:type="spellStart"/>
      <w:r w:rsidRPr="007653D3">
        <w:rPr>
          <w:rFonts w:cs="Times New Roman"/>
        </w:rPr>
        <w:t>Ribands</w:t>
      </w:r>
      <w:proofErr w:type="spellEnd"/>
      <w:r w:rsidRPr="007653D3">
        <w:rPr>
          <w:rFonts w:cs="Times New Roman"/>
        </w:rPr>
        <w:t xml:space="preserve"> and </w:t>
      </w:r>
      <w:r>
        <w:rPr>
          <w:rFonts w:cs="Times New Roman"/>
        </w:rPr>
        <w:t>P</w:t>
      </w:r>
      <w:r w:rsidRPr="007653D3">
        <w:rPr>
          <w:rFonts w:cs="Times New Roman"/>
        </w:rPr>
        <w:t>igs’ verses. Its rhyme is seen to disclose a quality, a principle of will, that subsists within each word, and is transposed and literally honed in the next line, ‘made sharp,’ where indeed the rising vowel sound on the second word suggests the musical application of the term. As this further rhyme draws attention to, ‘sharp’ also holds within it the word ‘harp.’ This is treated as a derivation or formal deduction, from which the meanings follow, so that the quality of being ‘sharp’ has its natural application here in relation to the ‘harp.’ Ergo, in the concluding line of the limerick, the word-sounds ‘tunes’ and ‘chin’ modulate one into the other, a similarly sonorous affinity that makes them semi-synonymous, and completes the circuit of rhymes. The limerick recalls Carroll’s word-games, reconciling Chin to Harp in three recursive linguistic moments, a deduction from ‘chin’ in which the word’s implications are extrapolated and then returned to their source, packed up again:</w:t>
      </w:r>
    </w:p>
    <w:p w:rsidR="000B4225" w:rsidRPr="007653D3" w:rsidRDefault="000B4225" w:rsidP="000B4225">
      <w:pPr>
        <w:spacing w:line="240" w:lineRule="auto"/>
        <w:ind w:firstLine="720"/>
        <w:jc w:val="both"/>
        <w:rPr>
          <w:rFonts w:cs="Times New Roman"/>
        </w:rPr>
      </w:pPr>
    </w:p>
    <w:p w:rsidR="000B4225" w:rsidRPr="007653D3" w:rsidRDefault="000B4225" w:rsidP="000B4225">
      <w:pPr>
        <w:spacing w:line="240" w:lineRule="auto"/>
        <w:jc w:val="both"/>
        <w:rPr>
          <w:rFonts w:cs="Times New Roman"/>
        </w:rPr>
      </w:pPr>
      <w:proofErr w:type="gramStart"/>
      <w:r w:rsidRPr="007653D3">
        <w:rPr>
          <w:rFonts w:cs="Times New Roman"/>
        </w:rPr>
        <w:t>chin</w:t>
      </w:r>
      <w:proofErr w:type="gramEnd"/>
      <w:r w:rsidRPr="007653D3">
        <w:rPr>
          <w:rFonts w:cs="Times New Roman"/>
        </w:rPr>
        <w:t>-pin</w:t>
      </w:r>
    </w:p>
    <w:p w:rsidR="000B4225" w:rsidRPr="007653D3" w:rsidRDefault="000B4225" w:rsidP="000B4225">
      <w:pPr>
        <w:spacing w:line="240" w:lineRule="auto"/>
        <w:jc w:val="both"/>
        <w:rPr>
          <w:rFonts w:cs="Times New Roman"/>
        </w:rPr>
      </w:pPr>
      <w:proofErr w:type="gramStart"/>
      <w:r w:rsidRPr="007653D3">
        <w:rPr>
          <w:rFonts w:cs="Times New Roman"/>
        </w:rPr>
        <w:t>sharp</w:t>
      </w:r>
      <w:proofErr w:type="gramEnd"/>
      <w:r w:rsidRPr="007653D3">
        <w:rPr>
          <w:rFonts w:cs="Times New Roman"/>
        </w:rPr>
        <w:t>-harp</w:t>
      </w:r>
    </w:p>
    <w:p w:rsidR="000B4225" w:rsidRPr="007653D3" w:rsidRDefault="000B4225" w:rsidP="000B4225">
      <w:pPr>
        <w:spacing w:line="240" w:lineRule="auto"/>
        <w:jc w:val="both"/>
        <w:rPr>
          <w:rFonts w:cs="Times New Roman"/>
        </w:rPr>
      </w:pPr>
      <w:proofErr w:type="gramStart"/>
      <w:r w:rsidRPr="007653D3">
        <w:rPr>
          <w:rFonts w:cs="Times New Roman"/>
        </w:rPr>
        <w:t>tunes</w:t>
      </w:r>
      <w:proofErr w:type="gramEnd"/>
      <w:r w:rsidRPr="007653D3">
        <w:rPr>
          <w:rFonts w:cs="Times New Roman"/>
        </w:rPr>
        <w:t>-chin</w:t>
      </w:r>
      <w:r w:rsidRPr="007653D3">
        <w:rPr>
          <w:rStyle w:val="FootnoteReference"/>
          <w:rFonts w:cs="Times New Roman"/>
        </w:rPr>
        <w:footnoteReference w:id="39"/>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ind w:firstLine="720"/>
        <w:jc w:val="both"/>
        <w:rPr>
          <w:rFonts w:cs="Times New Roman"/>
          <w:iCs/>
        </w:rPr>
      </w:pPr>
      <w:r w:rsidRPr="007653D3">
        <w:rPr>
          <w:rFonts w:cs="Times New Roman"/>
          <w:iCs/>
        </w:rPr>
        <w:t xml:space="preserve">Unlike Carroll’s doublets, however, Lear’s limericks insist that the formal relations between words that their rhymes disclose are not contingent, but inherently significant, like </w:t>
      </w:r>
      <w:r w:rsidRPr="007653D3">
        <w:rPr>
          <w:rFonts w:cs="Times New Roman"/>
        </w:rPr>
        <w:t xml:space="preserve">the </w:t>
      </w:r>
      <w:proofErr w:type="spellStart"/>
      <w:r w:rsidRPr="007653D3">
        <w:rPr>
          <w:rFonts w:cs="Times New Roman"/>
        </w:rPr>
        <w:t>onomatopoeiac</w:t>
      </w:r>
      <w:proofErr w:type="spellEnd"/>
      <w:r w:rsidRPr="007653D3">
        <w:rPr>
          <w:rFonts w:cs="Times New Roman"/>
        </w:rPr>
        <w:t xml:space="preserve"> series</w:t>
      </w:r>
      <w:r w:rsidRPr="007653D3">
        <w:rPr>
          <w:rFonts w:cs="Times New Roman"/>
          <w:iCs/>
        </w:rPr>
        <w:t xml:space="preserve"> of Hopkins’ word-lists, such </w:t>
      </w:r>
      <w:r w:rsidRPr="007653D3">
        <w:rPr>
          <w:rFonts w:cs="Times New Roman"/>
        </w:rPr>
        <w:t>as ‘</w:t>
      </w:r>
      <w:r w:rsidRPr="007653D3">
        <w:rPr>
          <w:rFonts w:cs="Times New Roman"/>
          <w:i/>
          <w:iCs/>
        </w:rPr>
        <w:t>Grind</w:t>
      </w:r>
      <w:r w:rsidRPr="007653D3">
        <w:rPr>
          <w:rFonts w:cs="Times New Roman"/>
        </w:rPr>
        <w:t xml:space="preserve">, </w:t>
      </w:r>
      <w:proofErr w:type="spellStart"/>
      <w:r w:rsidRPr="007653D3">
        <w:rPr>
          <w:rFonts w:cs="Times New Roman"/>
          <w:i/>
          <w:iCs/>
        </w:rPr>
        <w:t>gride</w:t>
      </w:r>
      <w:proofErr w:type="spellEnd"/>
      <w:r w:rsidRPr="007653D3">
        <w:rPr>
          <w:rFonts w:cs="Times New Roman"/>
        </w:rPr>
        <w:t xml:space="preserve">, </w:t>
      </w:r>
      <w:r w:rsidRPr="007653D3">
        <w:rPr>
          <w:rFonts w:cs="Times New Roman"/>
          <w:i/>
          <w:iCs/>
        </w:rPr>
        <w:t>gird</w:t>
      </w:r>
      <w:r w:rsidRPr="007653D3">
        <w:rPr>
          <w:rFonts w:cs="Times New Roman"/>
        </w:rPr>
        <w:t xml:space="preserve">, </w:t>
      </w:r>
      <w:r w:rsidRPr="007653D3">
        <w:rPr>
          <w:rFonts w:cs="Times New Roman"/>
          <w:i/>
          <w:iCs/>
        </w:rPr>
        <w:t>grit</w:t>
      </w:r>
      <w:r w:rsidRPr="007653D3">
        <w:rPr>
          <w:rFonts w:cs="Times New Roman"/>
        </w:rPr>
        <w:t xml:space="preserve">, </w:t>
      </w:r>
      <w:proofErr w:type="spellStart"/>
      <w:r w:rsidRPr="007653D3">
        <w:rPr>
          <w:rFonts w:cs="Times New Roman"/>
          <w:i/>
          <w:iCs/>
        </w:rPr>
        <w:t>groat</w:t>
      </w:r>
      <w:proofErr w:type="spellEnd"/>
      <w:r w:rsidRPr="007653D3">
        <w:rPr>
          <w:rFonts w:cs="Times New Roman"/>
        </w:rPr>
        <w:t xml:space="preserve">, </w:t>
      </w:r>
      <w:r w:rsidRPr="007653D3">
        <w:rPr>
          <w:rFonts w:cs="Times New Roman"/>
          <w:i/>
          <w:iCs/>
        </w:rPr>
        <w:t>grate</w:t>
      </w:r>
      <w:r w:rsidRPr="007653D3">
        <w:rPr>
          <w:rFonts w:cs="Times New Roman"/>
        </w:rPr>
        <w:t xml:space="preserve">, </w:t>
      </w:r>
      <w:r w:rsidRPr="007653D3">
        <w:rPr>
          <w:rFonts w:cs="Times New Roman"/>
          <w:i/>
          <w:iCs/>
        </w:rPr>
        <w:t>greet</w:t>
      </w:r>
      <w:r w:rsidRPr="007653D3">
        <w:rPr>
          <w:rFonts w:cs="Times New Roman"/>
          <w:iCs/>
        </w:rPr>
        <w:t>,</w:t>
      </w:r>
      <w:r w:rsidRPr="007653D3">
        <w:rPr>
          <w:rFonts w:cs="Times New Roman"/>
        </w:rPr>
        <w:t xml:space="preserve">’ which he grounds in etymology: ‘Original meaning to </w:t>
      </w:r>
      <w:r w:rsidRPr="007653D3">
        <w:rPr>
          <w:rFonts w:cs="Times New Roman"/>
          <w:i/>
          <w:iCs/>
        </w:rPr>
        <w:t>strike</w:t>
      </w:r>
      <w:r w:rsidRPr="007653D3">
        <w:rPr>
          <w:rFonts w:cs="Times New Roman"/>
        </w:rPr>
        <w:t xml:space="preserve">, </w:t>
      </w:r>
      <w:r w:rsidRPr="007653D3">
        <w:rPr>
          <w:rFonts w:cs="Times New Roman"/>
          <w:i/>
          <w:iCs/>
        </w:rPr>
        <w:t>rub</w:t>
      </w:r>
      <w:r w:rsidRPr="007653D3">
        <w:rPr>
          <w:rFonts w:cs="Times New Roman"/>
        </w:rPr>
        <w:t xml:space="preserve">, particularly </w:t>
      </w:r>
      <w:r w:rsidRPr="007653D3">
        <w:rPr>
          <w:rFonts w:cs="Times New Roman"/>
          <w:i/>
          <w:iCs/>
        </w:rPr>
        <w:t>together</w:t>
      </w:r>
      <w:r w:rsidRPr="007653D3">
        <w:rPr>
          <w:rFonts w:cs="Times New Roman"/>
          <w:iCs/>
        </w:rPr>
        <w:t>.’</w:t>
      </w:r>
      <w:r w:rsidRPr="007653D3">
        <w:rPr>
          <w:rStyle w:val="FootnoteReference"/>
          <w:rFonts w:cs="Times New Roman"/>
          <w:iCs/>
        </w:rPr>
        <w:footnoteReference w:id="40"/>
      </w:r>
      <w:r w:rsidRPr="007653D3">
        <w:rPr>
          <w:rFonts w:cs="Times New Roman"/>
          <w:iCs/>
        </w:rPr>
        <w:t xml:space="preserve"> An ostensibly arbitrary rhyme is revealed to be a formal affinity between words that embodies a real relation between their referents:</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ind w:firstLine="720"/>
        <w:jc w:val="both"/>
        <w:rPr>
          <w:rFonts w:cs="Times New Roman"/>
        </w:rPr>
      </w:pPr>
      <w:r w:rsidRPr="007653D3">
        <w:rPr>
          <w:rFonts w:cs="Times New Roman"/>
        </w:rPr>
        <w:t xml:space="preserve">There was an Old Lady whose folly, </w:t>
      </w:r>
    </w:p>
    <w:p w:rsidR="000B4225" w:rsidRPr="007653D3" w:rsidRDefault="000B4225" w:rsidP="000B4225">
      <w:pPr>
        <w:spacing w:line="240" w:lineRule="auto"/>
        <w:ind w:firstLine="720"/>
        <w:jc w:val="both"/>
        <w:rPr>
          <w:rFonts w:cs="Times New Roman"/>
        </w:rPr>
      </w:pPr>
      <w:r w:rsidRPr="007653D3">
        <w:rPr>
          <w:rFonts w:cs="Times New Roman"/>
        </w:rPr>
        <w:t>Induced her to sit in a holly</w:t>
      </w:r>
      <w:proofErr w:type="gramStart"/>
      <w:r w:rsidRPr="007653D3">
        <w:rPr>
          <w:rFonts w:cs="Times New Roman"/>
        </w:rPr>
        <w:t>;</w:t>
      </w:r>
      <w:proofErr w:type="gramEnd"/>
    </w:p>
    <w:p w:rsidR="000B4225" w:rsidRPr="007653D3" w:rsidRDefault="000B4225" w:rsidP="000B4225">
      <w:pPr>
        <w:spacing w:line="240" w:lineRule="auto"/>
        <w:ind w:firstLine="720"/>
        <w:jc w:val="both"/>
        <w:rPr>
          <w:rFonts w:cs="Times New Roman"/>
        </w:rPr>
      </w:pPr>
      <w:r w:rsidRPr="007653D3">
        <w:rPr>
          <w:rFonts w:cs="Times New Roman"/>
        </w:rPr>
        <w:t>Whereon by a thorn, her dress being torn,</w:t>
      </w:r>
    </w:p>
    <w:p w:rsidR="000B4225" w:rsidRPr="007653D3" w:rsidRDefault="000B4225" w:rsidP="000B4225">
      <w:pPr>
        <w:spacing w:line="240" w:lineRule="auto"/>
        <w:ind w:firstLine="720"/>
        <w:jc w:val="both"/>
        <w:rPr>
          <w:rFonts w:cs="Times New Roman"/>
        </w:rPr>
      </w:pPr>
      <w:r w:rsidRPr="007653D3">
        <w:rPr>
          <w:rFonts w:cs="Times New Roman"/>
        </w:rPr>
        <w:t>She quickly became melancholy.</w:t>
      </w:r>
      <w:r w:rsidRPr="007653D3">
        <w:rPr>
          <w:rStyle w:val="FootnoteReference"/>
          <w:rFonts w:cs="Times New Roman"/>
        </w:rPr>
        <w:footnoteReference w:id="41"/>
      </w:r>
      <w:r>
        <w:rPr>
          <w:rFonts w:cs="Times New Roman"/>
        </w:rPr>
        <w:t xml:space="preserve"> (</w:t>
      </w:r>
      <w:r w:rsidRPr="009D432F">
        <w:rPr>
          <w:rFonts w:cs="Times New Roman"/>
          <w:i/>
        </w:rPr>
        <w:t>CN</w:t>
      </w:r>
      <w:r>
        <w:rPr>
          <w:rFonts w:cs="Times New Roman"/>
        </w:rPr>
        <w:t>, 92)</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The ‘holly’ mediates the Old Lady’s swift movement from ‘folly’ to ‘melancholy,’ as by sitting in it she triggers a linguistic relation that ensures her change of mood. For just as the actual thorn holds the potential to catch and tear clothing, the rhyme draws attention to the fact that the word that denotes this consequence, ‘torn,’ is intrinsic to ‘thorn.’ A racist assumption emerges from a similar pairing in another limerick, as the Quaker who married ‘an Old Man of Jamaica,’ ‘cried out</w:t>
      </w:r>
      <w:r>
        <w:rPr>
          <w:rFonts w:cs="Times New Roman"/>
        </w:rPr>
        <w:t xml:space="preserve"> – “</w:t>
      </w:r>
      <w:r w:rsidRPr="007653D3">
        <w:rPr>
          <w:rFonts w:cs="Times New Roman"/>
        </w:rPr>
        <w:t>O lack! I have married a black!”’ (</w:t>
      </w:r>
      <w:r w:rsidRPr="00A80ACD">
        <w:rPr>
          <w:rFonts w:cs="Times New Roman"/>
          <w:i/>
        </w:rPr>
        <w:t>CN</w:t>
      </w:r>
      <w:r w:rsidRPr="007653D3">
        <w:rPr>
          <w:rFonts w:cs="Times New Roman"/>
        </w:rPr>
        <w:t>, 98) Lear uses the inclusive rhyme of ‘size’ and ‘eyes,’ in his respective limericks about ‘a Young Lady of Dorking’ and ‘a Young Lady whose eyes, were unique as to colour and size.’ (</w:t>
      </w:r>
      <w:r w:rsidRPr="00A80ACD">
        <w:rPr>
          <w:rFonts w:cs="Times New Roman"/>
          <w:i/>
        </w:rPr>
        <w:t>CN</w:t>
      </w:r>
      <w:r w:rsidRPr="007653D3">
        <w:rPr>
          <w:rFonts w:cs="Times New Roman"/>
        </w:rPr>
        <w:t xml:space="preserve">, 96, 75) The latter rhyme is figured as an equation that yields its consequence in the final rhyme, as the chiming coincidence of ‘eyes’ and the attribute of ‘size’ </w:t>
      </w:r>
      <w:proofErr w:type="gramStart"/>
      <w:r w:rsidRPr="007653D3">
        <w:rPr>
          <w:rFonts w:cs="Times New Roman"/>
        </w:rPr>
        <w:t>yields</w:t>
      </w:r>
      <w:proofErr w:type="gramEnd"/>
      <w:r w:rsidRPr="007653D3">
        <w:rPr>
          <w:rFonts w:cs="Times New Roman"/>
        </w:rPr>
        <w:t xml:space="preserve"> their expanded form in wide-eyed ‘surprise,’ which is amply represented by the accompanying drawing.</w:t>
      </w:r>
    </w:p>
    <w:p w:rsidR="000B4225" w:rsidRPr="007653D3" w:rsidRDefault="000B4225" w:rsidP="000B4225">
      <w:pPr>
        <w:spacing w:line="240" w:lineRule="auto"/>
        <w:ind w:firstLine="720"/>
        <w:jc w:val="both"/>
        <w:rPr>
          <w:rFonts w:cs="Times New Roman"/>
        </w:rPr>
      </w:pPr>
      <w:r w:rsidRPr="007653D3">
        <w:rPr>
          <w:rFonts w:cs="Times New Roman"/>
        </w:rPr>
        <w:t xml:space="preserve">Lear’s </w:t>
      </w:r>
      <w:proofErr w:type="gramStart"/>
      <w:r w:rsidRPr="007653D3">
        <w:rPr>
          <w:rFonts w:cs="Times New Roman"/>
        </w:rPr>
        <w:t>word-play</w:t>
      </w:r>
      <w:proofErr w:type="gramEnd"/>
      <w:r w:rsidRPr="007653D3">
        <w:rPr>
          <w:rFonts w:cs="Times New Roman"/>
        </w:rPr>
        <w:t xml:space="preserve"> builds upon toy book suggestions that significance ultimately resides not in whole words but more radically and magically in letters and morphemes, such as the shared vowel sound in ‘juice’ and ‘fruit,’ or the stem-like ‘I’ that is prominent in ‘Ivy’ and takes a supporting role in ‘Lime and Lupine.’ This idea is also fostered by the practice in early Victorian Alphabets and Readers of distinguishing and emphasising morphemes: ‘U | U-</w:t>
      </w:r>
      <w:proofErr w:type="spellStart"/>
      <w:r w:rsidRPr="007653D3">
        <w:rPr>
          <w:rFonts w:cs="Times New Roman"/>
        </w:rPr>
        <w:t>sur</w:t>
      </w:r>
      <w:proofErr w:type="spellEnd"/>
      <w:r w:rsidRPr="007653D3">
        <w:rPr>
          <w:rFonts w:cs="Times New Roman"/>
        </w:rPr>
        <w:t>-</w:t>
      </w:r>
      <w:proofErr w:type="spellStart"/>
      <w:r w:rsidRPr="007653D3">
        <w:rPr>
          <w:rFonts w:cs="Times New Roman"/>
        </w:rPr>
        <w:t>er</w:t>
      </w:r>
      <w:proofErr w:type="spellEnd"/>
      <w:r w:rsidRPr="007653D3">
        <w:rPr>
          <w:rFonts w:cs="Times New Roman"/>
        </w:rPr>
        <w:t>’; ‘</w:t>
      </w:r>
      <w:proofErr w:type="gramStart"/>
      <w:r w:rsidRPr="007653D3">
        <w:rPr>
          <w:rFonts w:cs="Times New Roman"/>
        </w:rPr>
        <w:t>The</w:t>
      </w:r>
      <w:proofErr w:type="gramEnd"/>
      <w:r w:rsidRPr="007653D3">
        <w:rPr>
          <w:rFonts w:cs="Times New Roman"/>
        </w:rPr>
        <w:t xml:space="preserve"> </w:t>
      </w:r>
      <w:proofErr w:type="spellStart"/>
      <w:r w:rsidRPr="007653D3">
        <w:rPr>
          <w:rFonts w:cs="Times New Roman"/>
        </w:rPr>
        <w:t>na-tu-ral</w:t>
      </w:r>
      <w:proofErr w:type="spellEnd"/>
      <w:r w:rsidRPr="007653D3">
        <w:rPr>
          <w:rFonts w:cs="Times New Roman"/>
        </w:rPr>
        <w:t xml:space="preserve"> </w:t>
      </w:r>
      <w:proofErr w:type="spellStart"/>
      <w:r w:rsidRPr="007653D3">
        <w:rPr>
          <w:rFonts w:cs="Times New Roman"/>
        </w:rPr>
        <w:t>po-si-tion</w:t>
      </w:r>
      <w:proofErr w:type="spellEnd"/>
      <w:r w:rsidRPr="007653D3">
        <w:rPr>
          <w:rFonts w:cs="Times New Roman"/>
        </w:rPr>
        <w:t xml:space="preserve"> of the mouth of the Whale is o-pen.’</w:t>
      </w:r>
      <w:r w:rsidRPr="007653D3">
        <w:rPr>
          <w:rStyle w:val="FootnoteReference"/>
          <w:rFonts w:cs="Times New Roman"/>
        </w:rPr>
        <w:footnoteReference w:id="42"/>
      </w:r>
      <w:r w:rsidRPr="007653D3">
        <w:rPr>
          <w:rFonts w:cs="Times New Roman"/>
        </w:rPr>
        <w:t xml:space="preserve"> Such elements, in the form of conventional suffixes, give credence to the fanciful hybrids of Lear’s Nonsense Botany, such as ‘</w:t>
      </w:r>
      <w:proofErr w:type="spellStart"/>
      <w:r w:rsidRPr="007653D3">
        <w:rPr>
          <w:rFonts w:cs="Times New Roman"/>
        </w:rPr>
        <w:t>Bottlephorkia</w:t>
      </w:r>
      <w:proofErr w:type="spellEnd"/>
      <w:r w:rsidRPr="007653D3">
        <w:rPr>
          <w:rFonts w:cs="Times New Roman"/>
        </w:rPr>
        <w:t xml:space="preserve"> </w:t>
      </w:r>
      <w:proofErr w:type="spellStart"/>
      <w:r w:rsidRPr="007653D3">
        <w:rPr>
          <w:rFonts w:cs="Times New Roman"/>
        </w:rPr>
        <w:t>Spoonifolia</w:t>
      </w:r>
      <w:proofErr w:type="spellEnd"/>
      <w:r w:rsidRPr="007653D3">
        <w:rPr>
          <w:rFonts w:cs="Times New Roman"/>
        </w:rPr>
        <w:t>’ and ‘</w:t>
      </w:r>
      <w:proofErr w:type="spellStart"/>
      <w:r w:rsidRPr="007653D3">
        <w:rPr>
          <w:rFonts w:cs="Times New Roman"/>
        </w:rPr>
        <w:t>Pollybirdia</w:t>
      </w:r>
      <w:proofErr w:type="spellEnd"/>
      <w:r w:rsidRPr="007653D3">
        <w:rPr>
          <w:rFonts w:cs="Times New Roman"/>
        </w:rPr>
        <w:t xml:space="preserve"> </w:t>
      </w:r>
      <w:proofErr w:type="spellStart"/>
      <w:r w:rsidRPr="007653D3">
        <w:rPr>
          <w:rFonts w:cs="Times New Roman"/>
        </w:rPr>
        <w:t>Singularis</w:t>
      </w:r>
      <w:proofErr w:type="spellEnd"/>
      <w:r w:rsidRPr="007653D3">
        <w:rPr>
          <w:rFonts w:cs="Times New Roman"/>
        </w:rPr>
        <w:t>’ (</w:t>
      </w:r>
      <w:r w:rsidRPr="00A80ACD">
        <w:rPr>
          <w:rFonts w:cs="Times New Roman"/>
          <w:i/>
        </w:rPr>
        <w:t>CN</w:t>
      </w:r>
      <w:r w:rsidRPr="007653D3">
        <w:rPr>
          <w:rFonts w:cs="Times New Roman"/>
        </w:rPr>
        <w:t xml:space="preserve">, 251, 253). As Lear was aware from his early natural history work, such suffixes canonize names for particular </w:t>
      </w:r>
      <w:proofErr w:type="spellStart"/>
      <w:r w:rsidRPr="007653D3">
        <w:rPr>
          <w:rFonts w:cs="Times New Roman"/>
        </w:rPr>
        <w:t>genuses</w:t>
      </w:r>
      <w:proofErr w:type="spellEnd"/>
      <w:r w:rsidRPr="007653D3">
        <w:rPr>
          <w:rFonts w:cs="Times New Roman"/>
        </w:rPr>
        <w:t xml:space="preserve"> and their species, types that are defined by sets of physical attributes, which, arrived at by observation and induction, he often selected and illustrated in such works as his lithographs for his </w:t>
      </w:r>
      <w:proofErr w:type="spellStart"/>
      <w:r w:rsidRPr="007653D3">
        <w:rPr>
          <w:rFonts w:cs="Times New Roman"/>
          <w:i/>
        </w:rPr>
        <w:t>Psittacidae</w:t>
      </w:r>
      <w:proofErr w:type="spellEnd"/>
      <w:r w:rsidRPr="007653D3">
        <w:rPr>
          <w:rFonts w:cs="Times New Roman"/>
          <w:i/>
        </w:rPr>
        <w:t>, or Parrots</w:t>
      </w:r>
      <w:r w:rsidRPr="007653D3">
        <w:rPr>
          <w:rFonts w:cs="Times New Roman"/>
        </w:rPr>
        <w:t xml:space="preserve"> folio and wood-engravings for </w:t>
      </w:r>
      <w:r w:rsidRPr="007653D3">
        <w:rPr>
          <w:rFonts w:cs="Times New Roman"/>
          <w:i/>
        </w:rPr>
        <w:t>The Transactions of the Zoological Society</w:t>
      </w:r>
      <w:r w:rsidRPr="007653D3">
        <w:rPr>
          <w:rFonts w:cs="Times New Roman"/>
        </w:rPr>
        <w:t>. This process is turned on its head for the Nonsense Botany, where Lear produces science in the manner of the illustrated book, with the pictures following upon the words: ‘</w:t>
      </w:r>
      <w:proofErr w:type="spellStart"/>
      <w:r w:rsidRPr="007653D3">
        <w:rPr>
          <w:rFonts w:cs="Times New Roman"/>
        </w:rPr>
        <w:t>Phattfacia</w:t>
      </w:r>
      <w:proofErr w:type="spellEnd"/>
      <w:r w:rsidRPr="007653D3">
        <w:rPr>
          <w:rFonts w:cs="Times New Roman"/>
        </w:rPr>
        <w:t xml:space="preserve"> </w:t>
      </w:r>
      <w:proofErr w:type="spellStart"/>
      <w:r w:rsidRPr="007653D3">
        <w:rPr>
          <w:rFonts w:cs="Times New Roman"/>
        </w:rPr>
        <w:t>Stupenda</w:t>
      </w:r>
      <w:proofErr w:type="spellEnd"/>
      <w:r w:rsidRPr="007653D3">
        <w:rPr>
          <w:rFonts w:cs="Times New Roman"/>
        </w:rPr>
        <w:t>’ and ‘</w:t>
      </w:r>
      <w:proofErr w:type="spellStart"/>
      <w:r w:rsidRPr="007653D3">
        <w:rPr>
          <w:rFonts w:cs="Times New Roman"/>
        </w:rPr>
        <w:t>Armchairia</w:t>
      </w:r>
      <w:proofErr w:type="spellEnd"/>
      <w:r w:rsidRPr="007653D3">
        <w:rPr>
          <w:rFonts w:cs="Times New Roman"/>
        </w:rPr>
        <w:t xml:space="preserve"> </w:t>
      </w:r>
      <w:proofErr w:type="spellStart"/>
      <w:r w:rsidRPr="007653D3">
        <w:rPr>
          <w:rFonts w:cs="Times New Roman"/>
        </w:rPr>
        <w:t>Comfortabilis</w:t>
      </w:r>
      <w:proofErr w:type="spellEnd"/>
      <w:r w:rsidRPr="007653D3">
        <w:rPr>
          <w:rFonts w:cs="Times New Roman"/>
        </w:rPr>
        <w:t>’ (</w:t>
      </w:r>
      <w:r w:rsidRPr="007653D3">
        <w:rPr>
          <w:rFonts w:cs="Times New Roman"/>
          <w:i/>
        </w:rPr>
        <w:t>CN</w:t>
      </w:r>
      <w:r w:rsidRPr="007653D3">
        <w:rPr>
          <w:rFonts w:cs="Times New Roman"/>
        </w:rPr>
        <w:t xml:space="preserve">, 252, 417). The talismanic Linnaean suffixes bring his </w:t>
      </w:r>
      <w:proofErr w:type="spellStart"/>
      <w:r w:rsidRPr="007653D3">
        <w:rPr>
          <w:rFonts w:cs="Times New Roman"/>
          <w:i/>
        </w:rPr>
        <w:t>Wunderkammer</w:t>
      </w:r>
      <w:proofErr w:type="spellEnd"/>
      <w:r w:rsidRPr="007653D3">
        <w:rPr>
          <w:rFonts w:cs="Times New Roman"/>
        </w:rPr>
        <w:t xml:space="preserve"> species of flowers into pseudo-scientific being. </w:t>
      </w:r>
    </w:p>
    <w:p w:rsidR="000B4225" w:rsidRPr="007653D3" w:rsidRDefault="000B4225" w:rsidP="000B4225">
      <w:pPr>
        <w:spacing w:line="240" w:lineRule="auto"/>
        <w:ind w:firstLine="720"/>
        <w:jc w:val="both"/>
        <w:rPr>
          <w:rFonts w:cs="Times New Roman"/>
        </w:rPr>
      </w:pPr>
      <w:r w:rsidRPr="007653D3">
        <w:rPr>
          <w:rFonts w:cs="Times New Roman"/>
        </w:rPr>
        <w:t>Lear’s portmanteau coinages, such as ‘</w:t>
      </w:r>
      <w:proofErr w:type="spellStart"/>
      <w:r w:rsidRPr="007653D3">
        <w:rPr>
          <w:rFonts w:cs="Times New Roman"/>
        </w:rPr>
        <w:t>scroobious</w:t>
      </w:r>
      <w:proofErr w:type="spellEnd"/>
      <w:r w:rsidRPr="007653D3">
        <w:rPr>
          <w:rFonts w:cs="Times New Roman"/>
        </w:rPr>
        <w:t>’, ‘</w:t>
      </w:r>
      <w:proofErr w:type="spellStart"/>
      <w:r w:rsidRPr="007653D3">
        <w:rPr>
          <w:rFonts w:cs="Times New Roman"/>
        </w:rPr>
        <w:t>Dolomphious</w:t>
      </w:r>
      <w:proofErr w:type="spellEnd"/>
      <w:r w:rsidRPr="007653D3">
        <w:rPr>
          <w:rFonts w:cs="Times New Roman"/>
        </w:rPr>
        <w:t>’, ‘</w:t>
      </w:r>
      <w:proofErr w:type="spellStart"/>
      <w:r w:rsidRPr="007653D3">
        <w:rPr>
          <w:rFonts w:cs="Times New Roman"/>
        </w:rPr>
        <w:t>borascible</w:t>
      </w:r>
      <w:proofErr w:type="spellEnd"/>
      <w:r w:rsidRPr="007653D3">
        <w:rPr>
          <w:rFonts w:cs="Times New Roman"/>
        </w:rPr>
        <w:t>’, ‘</w:t>
      </w:r>
      <w:proofErr w:type="spellStart"/>
      <w:r w:rsidRPr="007653D3">
        <w:rPr>
          <w:rFonts w:cs="Times New Roman"/>
        </w:rPr>
        <w:t>slobaciously</w:t>
      </w:r>
      <w:proofErr w:type="spellEnd"/>
      <w:r w:rsidRPr="007653D3">
        <w:rPr>
          <w:rFonts w:cs="Times New Roman"/>
        </w:rPr>
        <w:t>’, and ‘</w:t>
      </w:r>
      <w:proofErr w:type="spellStart"/>
      <w:r w:rsidRPr="007653D3">
        <w:rPr>
          <w:rFonts w:cs="Times New Roman"/>
        </w:rPr>
        <w:t>ombliferous</w:t>
      </w:r>
      <w:proofErr w:type="spellEnd"/>
      <w:r w:rsidRPr="007653D3">
        <w:rPr>
          <w:rFonts w:cs="Times New Roman"/>
        </w:rPr>
        <w:t xml:space="preserve">’, similarly draw from common language experience not only conventional suffixes, in the manner of the Botany, but also other morphemes that, rather than embodying meanings by convention, gather around them or evoke certain associations. Rather than simply hybridizing a pair of existing words, as Carroll’s do, Lear’s more capacious portmanteau words invoke morphemes that chime with broader experiences of language use, whether they </w:t>
      </w:r>
      <w:proofErr w:type="gramStart"/>
      <w:r w:rsidRPr="007653D3">
        <w:rPr>
          <w:rFonts w:cs="Times New Roman"/>
        </w:rPr>
        <w:t>be</w:t>
      </w:r>
      <w:proofErr w:type="gramEnd"/>
      <w:r w:rsidRPr="007653D3">
        <w:rPr>
          <w:rFonts w:cs="Times New Roman"/>
        </w:rPr>
        <w:t xml:space="preserve"> conventional, onomatopoeic, or arbitrary and accidental. So, for example, ‘</w:t>
      </w:r>
      <w:proofErr w:type="spellStart"/>
      <w:r w:rsidRPr="007653D3">
        <w:rPr>
          <w:rFonts w:cs="Times New Roman"/>
        </w:rPr>
        <w:t>scroobious</w:t>
      </w:r>
      <w:proofErr w:type="spellEnd"/>
      <w:r w:rsidRPr="007653D3">
        <w:rPr>
          <w:rFonts w:cs="Times New Roman"/>
        </w:rPr>
        <w:t xml:space="preserve">’ is grounded by its compound suffix, which assures us that the adjective’s referent is full of, or characterized by, </w:t>
      </w:r>
      <w:r w:rsidRPr="007653D3">
        <w:rPr>
          <w:rFonts w:cs="Times New Roman"/>
          <w:i/>
        </w:rPr>
        <w:t>something</w:t>
      </w:r>
      <w:r w:rsidRPr="007653D3">
        <w:rPr>
          <w:rFonts w:cs="Times New Roman"/>
        </w:rPr>
        <w:t>, namely ‘</w:t>
      </w:r>
      <w:proofErr w:type="spellStart"/>
      <w:r w:rsidRPr="007653D3">
        <w:rPr>
          <w:rFonts w:cs="Times New Roman"/>
        </w:rPr>
        <w:t>scroob</w:t>
      </w:r>
      <w:proofErr w:type="spellEnd"/>
      <w:r w:rsidRPr="007653D3">
        <w:rPr>
          <w:rFonts w:cs="Times New Roman"/>
        </w:rPr>
        <w:t xml:space="preserve">.’ This stem sounds vaguely onomatopoeic, however, the main way it acquires meaning is by association, through its echoes with other words, including ‘scrupulous’ and ‘dubious.’ While they are implicit to the portmanteau, such associative echoes are explicit and formal in Lear’s limericks, which, as was observed earlier, promote and indeed propagate, this process of association by yoking together ostensibly disparate words in such rhymes as ‘chin’ and ‘pin.’ Reciprocally, the limericks also disclose and unpack what could be regarded as simple naturally occurring portmanteaus through such encompassing rhymes as ‘sharp’ with ‘harp,’ and ‘black’ with ‘lack.’ Like the rhymes and </w:t>
      </w:r>
      <w:proofErr w:type="spellStart"/>
      <w:r w:rsidRPr="007653D3">
        <w:rPr>
          <w:rFonts w:cs="Times New Roman"/>
        </w:rPr>
        <w:t>chimings</w:t>
      </w:r>
      <w:proofErr w:type="spellEnd"/>
      <w:r w:rsidRPr="007653D3">
        <w:rPr>
          <w:rFonts w:cs="Times New Roman"/>
        </w:rPr>
        <w:t xml:space="preserve"> that they effectively compress into their suggestive neologisms, Lear’s portmanteaus bring into relief and articulate the wilfulness of words, the means by which the characters of the limericks defy classification, not simply by being eccentric, but more radically by being contingent. This function is nicely represented by the similarly unique </w:t>
      </w:r>
      <w:proofErr w:type="spellStart"/>
      <w:r w:rsidRPr="007653D3">
        <w:rPr>
          <w:rFonts w:cs="Times New Roman"/>
        </w:rPr>
        <w:t>Scroobious</w:t>
      </w:r>
      <w:proofErr w:type="spellEnd"/>
      <w:r w:rsidRPr="007653D3">
        <w:rPr>
          <w:rFonts w:cs="Times New Roman"/>
        </w:rPr>
        <w:t xml:space="preserve"> Pip, who on being asked by various creatures ‘“Are you </w:t>
      </w:r>
      <w:r>
        <w:rPr>
          <w:rFonts w:cs="Times New Roman"/>
        </w:rPr>
        <w:t>B</w:t>
      </w:r>
      <w:r w:rsidRPr="007653D3">
        <w:rPr>
          <w:rFonts w:cs="Times New Roman"/>
        </w:rPr>
        <w:t xml:space="preserve">east or </w:t>
      </w:r>
      <w:r>
        <w:rPr>
          <w:rFonts w:cs="Times New Roman"/>
        </w:rPr>
        <w:t>I</w:t>
      </w:r>
      <w:r w:rsidRPr="007653D3">
        <w:rPr>
          <w:rFonts w:cs="Times New Roman"/>
        </w:rPr>
        <w:t xml:space="preserve">nsect, </w:t>
      </w:r>
      <w:r>
        <w:rPr>
          <w:rFonts w:cs="Times New Roman"/>
        </w:rPr>
        <w:t>B</w:t>
      </w:r>
      <w:r w:rsidRPr="007653D3">
        <w:rPr>
          <w:rFonts w:cs="Times New Roman"/>
        </w:rPr>
        <w:t xml:space="preserve">ird or </w:t>
      </w:r>
      <w:r>
        <w:rPr>
          <w:rFonts w:cs="Times New Roman"/>
        </w:rPr>
        <w:t>F</w:t>
      </w:r>
      <w:r w:rsidRPr="007653D3">
        <w:rPr>
          <w:rFonts w:cs="Times New Roman"/>
        </w:rPr>
        <w:t>ish?”</w:t>
      </w:r>
      <w:proofErr w:type="gramStart"/>
      <w:r w:rsidRPr="007653D3">
        <w:rPr>
          <w:rFonts w:cs="Times New Roman"/>
        </w:rPr>
        <w:t>,’</w:t>
      </w:r>
      <w:proofErr w:type="gramEnd"/>
      <w:r w:rsidRPr="007653D3">
        <w:rPr>
          <w:rFonts w:cs="Times New Roman"/>
        </w:rPr>
        <w:t xml:space="preserve"> displaces the ontic with the nominal as he informs each in turn, ‘My only name is the </w:t>
      </w:r>
      <w:proofErr w:type="spellStart"/>
      <w:r w:rsidRPr="007653D3">
        <w:rPr>
          <w:rFonts w:cs="Times New Roman"/>
        </w:rPr>
        <w:t>Scroobious</w:t>
      </w:r>
      <w:proofErr w:type="spellEnd"/>
      <w:r w:rsidRPr="007653D3">
        <w:rPr>
          <w:rFonts w:cs="Times New Roman"/>
        </w:rPr>
        <w:t xml:space="preserve"> Pip.’ (</w:t>
      </w:r>
      <w:r w:rsidRPr="00A80ACD">
        <w:rPr>
          <w:rFonts w:cs="Times New Roman"/>
          <w:i/>
        </w:rPr>
        <w:t>CN</w:t>
      </w:r>
      <w:r>
        <w:rPr>
          <w:rFonts w:cs="Times New Roman"/>
        </w:rPr>
        <w:t>,</w:t>
      </w:r>
      <w:r w:rsidRPr="00A80ACD">
        <w:rPr>
          <w:rFonts w:cs="Times New Roman"/>
        </w:rPr>
        <w:t xml:space="preserve"> 389</w:t>
      </w:r>
      <w:r>
        <w:rPr>
          <w:rFonts w:cs="Times New Roman"/>
        </w:rPr>
        <w:t xml:space="preserve">, </w:t>
      </w:r>
      <w:r w:rsidRPr="007653D3">
        <w:rPr>
          <w:rFonts w:cs="Times New Roman"/>
        </w:rPr>
        <w:t>387-390)</w:t>
      </w:r>
    </w:p>
    <w:p w:rsidR="000B4225" w:rsidRPr="007653D3" w:rsidRDefault="000B4225" w:rsidP="000B4225">
      <w:pPr>
        <w:spacing w:line="240" w:lineRule="auto"/>
        <w:ind w:firstLine="720"/>
        <w:jc w:val="both"/>
        <w:rPr>
          <w:rFonts w:cs="Times New Roman"/>
        </w:rPr>
      </w:pPr>
      <w:r w:rsidRPr="007653D3">
        <w:rPr>
          <w:rFonts w:cs="Times New Roman"/>
        </w:rPr>
        <w:t>The preferred incipit for the limerick’s rhyme sequences, the place name is an unfamiliar word, like a portmanteau, from which such verses endeavour to coax its inherent significance and indeed character, an obscure but intrinsic will to meaning:</w:t>
      </w:r>
    </w:p>
    <w:p w:rsidR="000B4225" w:rsidRPr="007653D3" w:rsidRDefault="000B4225" w:rsidP="000B4225">
      <w:pPr>
        <w:spacing w:line="240" w:lineRule="auto"/>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There was an Old Man of Coblenz, </w:t>
      </w:r>
    </w:p>
    <w:p w:rsidR="000B4225" w:rsidRPr="007653D3" w:rsidRDefault="000B4225" w:rsidP="000B4225">
      <w:pPr>
        <w:spacing w:line="240" w:lineRule="auto"/>
        <w:jc w:val="both"/>
        <w:rPr>
          <w:rFonts w:cs="Times New Roman"/>
        </w:rPr>
      </w:pPr>
      <w:r w:rsidRPr="007653D3">
        <w:rPr>
          <w:rFonts w:cs="Times New Roman"/>
        </w:rPr>
        <w:t>The length of whose legs was immense</w:t>
      </w:r>
      <w:proofErr w:type="gramStart"/>
      <w:r w:rsidRPr="007653D3">
        <w:rPr>
          <w:rFonts w:cs="Times New Roman"/>
        </w:rPr>
        <w:t>;</w:t>
      </w:r>
      <w:proofErr w:type="gramEnd"/>
    </w:p>
    <w:p w:rsidR="000B4225" w:rsidRPr="007653D3" w:rsidRDefault="000B4225" w:rsidP="000B4225">
      <w:pPr>
        <w:spacing w:line="240" w:lineRule="auto"/>
        <w:jc w:val="both"/>
        <w:rPr>
          <w:rFonts w:cs="Times New Roman"/>
        </w:rPr>
      </w:pPr>
      <w:r w:rsidRPr="007653D3">
        <w:rPr>
          <w:rFonts w:cs="Times New Roman"/>
        </w:rPr>
        <w:t>He went with one prance, from Turkey to France,</w:t>
      </w:r>
    </w:p>
    <w:p w:rsidR="000B4225" w:rsidRPr="007653D3" w:rsidRDefault="000B4225" w:rsidP="000B4225">
      <w:pPr>
        <w:spacing w:line="240" w:lineRule="auto"/>
        <w:jc w:val="both"/>
        <w:rPr>
          <w:rFonts w:cs="Times New Roman"/>
        </w:rPr>
      </w:pPr>
      <w:r w:rsidRPr="007653D3">
        <w:rPr>
          <w:rFonts w:cs="Times New Roman"/>
        </w:rPr>
        <w:t>That surprising Old Man of Coblenz.</w:t>
      </w:r>
      <w:r>
        <w:rPr>
          <w:rFonts w:cs="Times New Roman"/>
        </w:rPr>
        <w:t xml:space="preserve"> </w:t>
      </w:r>
      <w:r w:rsidRPr="007653D3">
        <w:rPr>
          <w:rFonts w:cs="Times New Roman"/>
        </w:rPr>
        <w:t xml:space="preserve">(71) </w:t>
      </w:r>
    </w:p>
    <w:p w:rsidR="000B4225" w:rsidRPr="007653D3" w:rsidRDefault="000B4225" w:rsidP="000B4225">
      <w:pPr>
        <w:spacing w:line="240" w:lineRule="auto"/>
        <w:ind w:firstLine="720"/>
        <w:jc w:val="both"/>
        <w:rPr>
          <w:rFonts w:cs="Times New Roman"/>
        </w:rPr>
      </w:pPr>
    </w:p>
    <w:p w:rsidR="000B4225" w:rsidRPr="007653D3" w:rsidRDefault="000B4225" w:rsidP="000B4225">
      <w:pPr>
        <w:spacing w:line="240" w:lineRule="auto"/>
        <w:jc w:val="both"/>
        <w:rPr>
          <w:rFonts w:cs="Times New Roman"/>
        </w:rPr>
      </w:pPr>
      <w:r w:rsidRPr="007653D3">
        <w:rPr>
          <w:rFonts w:cs="Times New Roman"/>
        </w:rPr>
        <w:t xml:space="preserve">While place names have only minimal extension, usually a single referent, Lear’s use of them, as this example demonstrates, is especially arbitrary and formal. The limericks furnish few opportunities for sightseeing, little or no sense of place. Treated primarily as a word-sound, the place name provides the formal premise for the limerick, which then casts around to find an echoing word for it. Denuded of content, of local colour and richness, Lear’s place names are inchoate words, mere word-sounds that appear driven in the limericks, as if by a wilful </w:t>
      </w:r>
      <w:proofErr w:type="spellStart"/>
      <w:r w:rsidRPr="007653D3">
        <w:rPr>
          <w:rFonts w:cs="Times New Roman"/>
        </w:rPr>
        <w:t>Larmarckian</w:t>
      </w:r>
      <w:proofErr w:type="spellEnd"/>
      <w:r w:rsidRPr="007653D3">
        <w:rPr>
          <w:rFonts w:cs="Times New Roman"/>
        </w:rPr>
        <w:t xml:space="preserve"> yearning, to achieve semantic definition and depth. They gain significance in the manner of the portmanteaus, by evoking other words. The term that is found to echo the place name (or indeed any other first term for the </w:t>
      </w:r>
      <w:r w:rsidRPr="007653D3">
        <w:rPr>
          <w:rFonts w:cs="Times New Roman"/>
          <w:i/>
        </w:rPr>
        <w:t>a</w:t>
      </w:r>
      <w:r w:rsidRPr="007653D3">
        <w:rPr>
          <w:rFonts w:cs="Times New Roman"/>
        </w:rPr>
        <w:t xml:space="preserve"> rhyme) is effectively presented as a gloss on the original sound, a formal but also enlightening semantic cognate, from which it gathers meaning. A simple example of this occurs in the limerick on the title page of </w:t>
      </w:r>
      <w:r w:rsidRPr="007653D3">
        <w:rPr>
          <w:rFonts w:cs="Times New Roman"/>
          <w:i/>
        </w:rPr>
        <w:t>A Book of Nonsense</w:t>
      </w:r>
      <w:r w:rsidRPr="007653D3">
        <w:rPr>
          <w:rFonts w:cs="Times New Roman"/>
        </w:rPr>
        <w:t xml:space="preserve">, through the rhyme of ‘merry’ with ‘Derry,’ a staple of English folk song. In the limerick cited above, the </w:t>
      </w:r>
      <w:r w:rsidRPr="007653D3">
        <w:rPr>
          <w:rFonts w:cs="Times New Roman"/>
          <w:i/>
        </w:rPr>
        <w:t>a</w:t>
      </w:r>
      <w:r w:rsidRPr="007653D3">
        <w:rPr>
          <w:rFonts w:cs="Times New Roman"/>
        </w:rPr>
        <w:t xml:space="preserve"> rhyme established by ‘Coblenz’, with its elongated vowel and sibilant, finds its resonant term in ‘immense,’ which is taken to describe the length of the Old Man’s legs, while the international stretch of their stride is accordingly rendered in the brisker modulated </w:t>
      </w:r>
      <w:r w:rsidRPr="007653D3">
        <w:rPr>
          <w:rFonts w:cs="Times New Roman"/>
          <w:i/>
        </w:rPr>
        <w:t>b</w:t>
      </w:r>
      <w:r w:rsidRPr="007653D3">
        <w:rPr>
          <w:rFonts w:cs="Times New Roman"/>
        </w:rPr>
        <w:t xml:space="preserve"> form of this rhyme, a half-rhyme, as ‘He went with one prance, from Turkey to France.’ In this way the little world of the limerick, its peculiar character, is extrapolated, unfurls, from the place name. The limerick describes a round trip, of raw will and recursive movement, from Coblenz to Coblenz, and having explored the world of this arbitrary word-sound, returns from its travels with an enhanced understanding, which is formally registered in the supplementary epithet awarded to the protagonist in the final line; ‘That surprising Old Man of Coblenz.’ </w:t>
      </w:r>
    </w:p>
    <w:p w:rsidR="000B4225" w:rsidRPr="007653D3" w:rsidRDefault="000B4225" w:rsidP="000B4225">
      <w:pPr>
        <w:spacing w:line="240" w:lineRule="auto"/>
        <w:ind w:firstLine="720"/>
        <w:jc w:val="both"/>
        <w:rPr>
          <w:rFonts w:cs="Times New Roman"/>
        </w:rPr>
      </w:pPr>
      <w:r w:rsidRPr="007653D3">
        <w:rPr>
          <w:rFonts w:cs="Times New Roman"/>
        </w:rPr>
        <w:t xml:space="preserve">The wilfulness of chiming word-sounds brings the protagonists of Lear’s limericks into being. Similarly, if less happily, -- and coupled with a ‘they’ who, in contrast to the ‘they’ of Lear’s limericks, have a porous, and probably synonymous, relation to him, -- Beckett’s </w:t>
      </w:r>
      <w:proofErr w:type="spellStart"/>
      <w:r w:rsidRPr="007653D3">
        <w:rPr>
          <w:rFonts w:cs="Times New Roman"/>
        </w:rPr>
        <w:t>Unnamable</w:t>
      </w:r>
      <w:proofErr w:type="spellEnd"/>
      <w:r w:rsidRPr="007653D3">
        <w:rPr>
          <w:rFonts w:cs="Times New Roman"/>
        </w:rPr>
        <w:t xml:space="preserve"> is brought into being through what he considers to be the distasteful coercive force of utterance: ‘as if it were my own voice, pronouncing my own words, words pronouncing me alive, since that’s how they want me to be, I don’t know why … I too must contribute my little convulsion, mewl, howl, gasp and rattle.’</w:t>
      </w:r>
      <w:r w:rsidRPr="007653D3">
        <w:rPr>
          <w:rStyle w:val="FootnoteReference"/>
          <w:rFonts w:cs="Times New Roman"/>
        </w:rPr>
        <w:footnoteReference w:id="43"/>
      </w:r>
      <w:r w:rsidRPr="007653D3">
        <w:rPr>
          <w:rFonts w:cs="Times New Roman"/>
        </w:rPr>
        <w:t xml:space="preserve"> Beckett presents spoken words as unspecific, having a generic denotation and intent, the simple assertion of being that makes them cognate with other bodily noises. Such rude utterance is for the avowed </w:t>
      </w:r>
      <w:proofErr w:type="spellStart"/>
      <w:r w:rsidRPr="007653D3">
        <w:rPr>
          <w:rFonts w:cs="Times New Roman"/>
        </w:rPr>
        <w:t>Schopenhaurian</w:t>
      </w:r>
      <w:proofErr w:type="spellEnd"/>
      <w:r w:rsidRPr="007653D3">
        <w:rPr>
          <w:rFonts w:cs="Times New Roman"/>
        </w:rPr>
        <w:t xml:space="preserve"> Beckett wilful and perverse, as in other ways it is for the moralistic Mrs Turner in her chapbooks, and for Lear also, where it makes preposterous affirmations of being. </w:t>
      </w:r>
    </w:p>
    <w:p w:rsidR="000B4225" w:rsidRPr="007653D3" w:rsidRDefault="000B4225" w:rsidP="000B4225">
      <w:pPr>
        <w:spacing w:line="240" w:lineRule="auto"/>
        <w:ind w:firstLine="720"/>
        <w:jc w:val="both"/>
        <w:rPr>
          <w:rFonts w:cs="Times New Roman"/>
        </w:rPr>
      </w:pPr>
      <w:r w:rsidRPr="007653D3">
        <w:rPr>
          <w:rFonts w:cs="Times New Roman"/>
        </w:rPr>
        <w:t>Like their ‘perfectly spherical’ (</w:t>
      </w:r>
      <w:r w:rsidRPr="007653D3">
        <w:rPr>
          <w:rFonts w:cs="Times New Roman"/>
          <w:i/>
        </w:rPr>
        <w:t>CN</w:t>
      </w:r>
      <w:r w:rsidRPr="007653D3">
        <w:rPr>
          <w:rFonts w:cs="Times New Roman"/>
        </w:rPr>
        <w:t xml:space="preserve">, 429) author and counterpart, the protagonists of the limericks can each be identified with the form of the circle, the radical instance and emblem of encapsulating </w:t>
      </w:r>
      <w:proofErr w:type="gramStart"/>
      <w:r w:rsidRPr="007653D3">
        <w:rPr>
          <w:rFonts w:cs="Times New Roman"/>
        </w:rPr>
        <w:t>form, that</w:t>
      </w:r>
      <w:proofErr w:type="gramEnd"/>
      <w:r w:rsidRPr="007653D3">
        <w:rPr>
          <w:rFonts w:cs="Times New Roman"/>
        </w:rPr>
        <w:t xml:space="preserve"> comes to nothing here.</w:t>
      </w:r>
      <w:r w:rsidRPr="007653D3">
        <w:rPr>
          <w:rStyle w:val="FootnoteReference"/>
          <w:rFonts w:cs="Times New Roman"/>
        </w:rPr>
        <w:footnoteReference w:id="44"/>
      </w:r>
      <w:r w:rsidRPr="007653D3">
        <w:rPr>
          <w:rFonts w:cs="Times New Roman"/>
        </w:rPr>
        <w:t xml:space="preserve"> The being that emerges from wilful utterance into representation through the structure of Lear’s limericks is recursive and hence hermetic, akin to that of </w:t>
      </w:r>
      <w:r w:rsidRPr="007653D3">
        <w:rPr>
          <w:rFonts w:cs="Times New Roman"/>
          <w:i/>
        </w:rPr>
        <w:t>The</w:t>
      </w:r>
      <w:r w:rsidRPr="007653D3">
        <w:rPr>
          <w:rFonts w:cs="Times New Roman"/>
        </w:rPr>
        <w:t xml:space="preserve"> </w:t>
      </w:r>
      <w:proofErr w:type="spellStart"/>
      <w:r w:rsidRPr="007653D3">
        <w:rPr>
          <w:rFonts w:cs="Times New Roman"/>
          <w:i/>
        </w:rPr>
        <w:t>Unnamable</w:t>
      </w:r>
      <w:proofErr w:type="spellEnd"/>
      <w:r w:rsidRPr="007653D3">
        <w:rPr>
          <w:rFonts w:cs="Times New Roman"/>
        </w:rPr>
        <w:t xml:space="preserve">, but dizzy and bright, like the </w:t>
      </w:r>
      <w:proofErr w:type="spellStart"/>
      <w:r w:rsidRPr="007653D3">
        <w:rPr>
          <w:rFonts w:cs="Times New Roman"/>
        </w:rPr>
        <w:t>Jumblies</w:t>
      </w:r>
      <w:proofErr w:type="spellEnd"/>
      <w:r w:rsidRPr="007653D3">
        <w:rPr>
          <w:rFonts w:cs="Times New Roman"/>
        </w:rPr>
        <w:t xml:space="preserve"> in ‘The Dong with a Luminous Nose’: ‘They danced in circlets all night long.’ (</w:t>
      </w:r>
      <w:r w:rsidRPr="007653D3">
        <w:rPr>
          <w:rFonts w:cs="Times New Roman"/>
          <w:i/>
        </w:rPr>
        <w:t>CN</w:t>
      </w:r>
      <w:r w:rsidRPr="007653D3">
        <w:rPr>
          <w:rFonts w:cs="Times New Roman"/>
        </w:rPr>
        <w:t xml:space="preserve">, 423) Lear’s nonsense works are full of such ostensibly pointless but exuberant recursive iterations, like interpretive dance versions of the foundational </w:t>
      </w:r>
      <w:proofErr w:type="spellStart"/>
      <w:r w:rsidRPr="007653D3">
        <w:rPr>
          <w:rFonts w:cs="Times New Roman"/>
        </w:rPr>
        <w:t>Parmenidean</w:t>
      </w:r>
      <w:proofErr w:type="spellEnd"/>
      <w:r w:rsidRPr="007653D3">
        <w:rPr>
          <w:rFonts w:cs="Times New Roman"/>
        </w:rPr>
        <w:t xml:space="preserve"> tautology, ‘Being </w:t>
      </w:r>
      <w:r w:rsidRPr="007653D3">
        <w:rPr>
          <w:rFonts w:cs="Times New Roman"/>
          <w:i/>
        </w:rPr>
        <w:t>is</w:t>
      </w:r>
      <w:r w:rsidRPr="007653D3">
        <w:rPr>
          <w:rFonts w:cs="Times New Roman"/>
        </w:rPr>
        <w:t>.’ A closed form dedicated to naming that which is not, each limerick is like a sphere: not the ontological plenum of Parmenides, but rather a bubble of n</w:t>
      </w:r>
      <w:r>
        <w:rPr>
          <w:rFonts w:cs="Times New Roman"/>
        </w:rPr>
        <w:t>ot-being, the futile figure of O</w:t>
      </w:r>
      <w:r w:rsidRPr="007653D3">
        <w:rPr>
          <w:rFonts w:cs="Times New Roman"/>
        </w:rPr>
        <w:t>, a naught, their protagonists also being figures of naught. Lear’s true naughtiness lies in his limericks, compulsively and methodically.</w:t>
      </w:r>
    </w:p>
    <w:p w:rsidR="000B4225" w:rsidRPr="00390C44" w:rsidRDefault="000B4225" w:rsidP="000B4225">
      <w:pPr>
        <w:spacing w:line="240" w:lineRule="auto"/>
        <w:rPr>
          <w:rFonts w:cs="Times New Roman"/>
        </w:rPr>
      </w:pPr>
    </w:p>
    <w:p w:rsidR="008A357C" w:rsidRDefault="008A357C"/>
    <w:sectPr w:rsidR="008A357C" w:rsidSect="00CF2214">
      <w:headerReference w:type="default" r:id="rId11"/>
      <w:footerReference w:type="even" r:id="rId12"/>
      <w:footerReference w:type="default" r:id="rId13"/>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225" w:rsidRDefault="000B4225" w:rsidP="000B4225">
      <w:pPr>
        <w:spacing w:line="240" w:lineRule="auto"/>
      </w:pPr>
      <w:r>
        <w:separator/>
      </w:r>
    </w:p>
  </w:endnote>
  <w:endnote w:type="continuationSeparator" w:id="0">
    <w:p w:rsidR="000B4225" w:rsidRDefault="000B4225" w:rsidP="000B4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80" w:rsidRDefault="000B4225" w:rsidP="00E72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2680" w:rsidRDefault="000B4225" w:rsidP="00CF22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680" w:rsidRDefault="000B4225" w:rsidP="00E726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72680" w:rsidRDefault="000B4225" w:rsidP="00CF221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225" w:rsidRDefault="000B4225" w:rsidP="000B4225">
      <w:pPr>
        <w:spacing w:line="240" w:lineRule="auto"/>
      </w:pPr>
      <w:r>
        <w:separator/>
      </w:r>
    </w:p>
  </w:footnote>
  <w:footnote w:type="continuationSeparator" w:id="0">
    <w:p w:rsidR="000B4225" w:rsidRDefault="000B4225" w:rsidP="000B4225">
      <w:pPr>
        <w:spacing w:line="240" w:lineRule="auto"/>
      </w:pPr>
      <w:r>
        <w:continuationSeparator/>
      </w:r>
    </w:p>
  </w:footnote>
  <w:footnote w:id="1">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Oscar Wilde, </w:t>
      </w:r>
      <w:r w:rsidRPr="00390C44">
        <w:rPr>
          <w:rFonts w:cs="Times New Roman"/>
          <w:i/>
        </w:rPr>
        <w:t>The Importance of Being Earnest</w:t>
      </w:r>
      <w:r w:rsidRPr="007653D3">
        <w:rPr>
          <w:rFonts w:cs="Times New Roman"/>
        </w:rPr>
        <w:t xml:space="preserve">, in </w:t>
      </w:r>
      <w:r w:rsidRPr="007653D3">
        <w:rPr>
          <w:rFonts w:cs="Times New Roman"/>
          <w:i/>
        </w:rPr>
        <w:t>Oscar Wilde</w:t>
      </w:r>
      <w:r w:rsidRPr="007653D3">
        <w:rPr>
          <w:rFonts w:cs="Times New Roman"/>
        </w:rPr>
        <w:t xml:space="preserve">, ed. Isobel Murray (Oxford: </w:t>
      </w:r>
      <w:r w:rsidRPr="007653D3">
        <w:rPr>
          <w:rFonts w:cs="Times New Roman"/>
          <w:lang w:val="en-US"/>
        </w:rPr>
        <w:t>Oxford University Press, 1989), 484.</w:t>
      </w:r>
    </w:p>
  </w:footnote>
  <w:footnote w:id="2">
    <w:p w:rsidR="000B4225" w:rsidRPr="007653D3" w:rsidRDefault="000B4225" w:rsidP="000B4225">
      <w:pPr>
        <w:pStyle w:val="FootnoteText"/>
        <w:rPr>
          <w:lang w:val="en-US"/>
        </w:rPr>
      </w:pPr>
      <w:r w:rsidRPr="007653D3">
        <w:rPr>
          <w:rStyle w:val="FootnoteReference"/>
          <w:rFonts w:cs="Times New Roman"/>
        </w:rPr>
        <w:footnoteRef/>
      </w:r>
      <w:r>
        <w:t xml:space="preserve"> </w:t>
      </w:r>
      <w:proofErr w:type="gramStart"/>
      <w:r>
        <w:t xml:space="preserve">W. </w:t>
      </w:r>
      <w:r w:rsidRPr="007653D3">
        <w:t xml:space="preserve">O. Quine, </w:t>
      </w:r>
      <w:r w:rsidRPr="007653D3">
        <w:rPr>
          <w:i/>
        </w:rPr>
        <w:t>Ontological Relativity and Other Essays</w:t>
      </w:r>
      <w:r w:rsidRPr="007653D3">
        <w:t xml:space="preserve">, (New York: Columbia University Press, </w:t>
      </w:r>
      <w:r w:rsidRPr="007653D3">
        <w:rPr>
          <w:lang w:val="en-US"/>
        </w:rPr>
        <w:t>1969), 23.</w:t>
      </w:r>
      <w:proofErr w:type="gramEnd"/>
    </w:p>
  </w:footnote>
  <w:footnote w:id="3">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lang w:val="en-US"/>
        </w:rPr>
        <w:t xml:space="preserve"> Samuel Beckett, </w:t>
      </w:r>
      <w:r w:rsidRPr="007653D3">
        <w:rPr>
          <w:rFonts w:cs="Times New Roman"/>
          <w:i/>
          <w:lang w:val="en-US"/>
        </w:rPr>
        <w:t xml:space="preserve">The Unnamable </w:t>
      </w:r>
      <w:r w:rsidRPr="007653D3">
        <w:rPr>
          <w:rFonts w:cs="Times New Roman"/>
          <w:lang w:val="en-US"/>
        </w:rPr>
        <w:t xml:space="preserve">(London: Calder and </w:t>
      </w:r>
      <w:proofErr w:type="spellStart"/>
      <w:r w:rsidRPr="007653D3">
        <w:rPr>
          <w:rFonts w:cs="Times New Roman"/>
          <w:lang w:val="en-US"/>
        </w:rPr>
        <w:t>Boyers</w:t>
      </w:r>
      <w:proofErr w:type="spellEnd"/>
      <w:r w:rsidRPr="007653D3">
        <w:rPr>
          <w:rFonts w:cs="Times New Roman"/>
          <w:lang w:val="en-US"/>
        </w:rPr>
        <w:t>, 1975), 132</w:t>
      </w:r>
      <w:r w:rsidRPr="007653D3">
        <w:rPr>
          <w:rFonts w:cs="Times New Roman"/>
          <w:i/>
          <w:lang w:val="en-US"/>
        </w:rPr>
        <w:t>.</w:t>
      </w:r>
    </w:p>
  </w:footnote>
  <w:footnote w:id="4">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w:t>
      </w:r>
      <w:proofErr w:type="gramStart"/>
      <w:r w:rsidRPr="007653D3">
        <w:rPr>
          <w:rFonts w:cs="Times New Roman"/>
        </w:rPr>
        <w:t xml:space="preserve">Edward Lear, </w:t>
      </w:r>
      <w:r w:rsidRPr="007653D3">
        <w:rPr>
          <w:rFonts w:cs="Times New Roman"/>
          <w:i/>
        </w:rPr>
        <w:t>A Book of Nonsense</w:t>
      </w:r>
      <w:r w:rsidRPr="007653D3">
        <w:rPr>
          <w:rFonts w:cs="Times New Roman"/>
        </w:rPr>
        <w:t>, 5</w:t>
      </w:r>
      <w:r w:rsidRPr="007653D3">
        <w:rPr>
          <w:rFonts w:cs="Times New Roman"/>
          <w:vertAlign w:val="superscript"/>
        </w:rPr>
        <w:t>th</w:t>
      </w:r>
      <w:r w:rsidRPr="007653D3">
        <w:rPr>
          <w:rFonts w:cs="Times New Roman"/>
        </w:rPr>
        <w:t xml:space="preserve"> </w:t>
      </w:r>
      <w:proofErr w:type="spellStart"/>
      <w:r w:rsidRPr="007653D3">
        <w:rPr>
          <w:rFonts w:cs="Times New Roman"/>
        </w:rPr>
        <w:t>edn</w:t>
      </w:r>
      <w:proofErr w:type="spellEnd"/>
      <w:r w:rsidRPr="007653D3">
        <w:rPr>
          <w:rFonts w:cs="Times New Roman"/>
        </w:rPr>
        <w:t xml:space="preserve">, (London: </w:t>
      </w:r>
      <w:proofErr w:type="spellStart"/>
      <w:r w:rsidRPr="007653D3">
        <w:rPr>
          <w:rFonts w:cs="Times New Roman"/>
        </w:rPr>
        <w:t>Routled</w:t>
      </w:r>
      <w:r>
        <w:rPr>
          <w:rFonts w:cs="Times New Roman"/>
        </w:rPr>
        <w:t>ge</w:t>
      </w:r>
      <w:proofErr w:type="spellEnd"/>
      <w:r>
        <w:rPr>
          <w:rFonts w:cs="Times New Roman"/>
        </w:rPr>
        <w:t xml:space="preserve">, Warne, and </w:t>
      </w:r>
      <w:proofErr w:type="spellStart"/>
      <w:r>
        <w:rPr>
          <w:rFonts w:cs="Times New Roman"/>
        </w:rPr>
        <w:t>Routledge</w:t>
      </w:r>
      <w:proofErr w:type="spellEnd"/>
      <w:r>
        <w:rPr>
          <w:rFonts w:cs="Times New Roman"/>
        </w:rPr>
        <w:t>, 1861</w:t>
      </w:r>
      <w:r w:rsidRPr="007653D3">
        <w:rPr>
          <w:rFonts w:cs="Times New Roman"/>
        </w:rPr>
        <w:t>)</w:t>
      </w:r>
      <w:r>
        <w:rPr>
          <w:rFonts w:cs="Times New Roman"/>
        </w:rPr>
        <w:t>, 000</w:t>
      </w:r>
      <w:r w:rsidRPr="007653D3">
        <w:rPr>
          <w:rFonts w:cs="Times New Roman"/>
        </w:rPr>
        <w:t>.</w:t>
      </w:r>
      <w:proofErr w:type="gramEnd"/>
      <w:r w:rsidRPr="007653D3">
        <w:rPr>
          <w:rFonts w:cs="Times New Roman"/>
        </w:rPr>
        <w:t xml:space="preserve"> </w:t>
      </w:r>
      <w:r>
        <w:rPr>
          <w:rFonts w:cs="Times New Roman"/>
        </w:rPr>
        <w:t xml:space="preserve">See also </w:t>
      </w:r>
      <w:r>
        <w:rPr>
          <w:rFonts w:cs="Times New Roman"/>
          <w:i/>
        </w:rPr>
        <w:t>CN</w:t>
      </w:r>
      <w:r>
        <w:rPr>
          <w:rFonts w:cs="Times New Roman"/>
        </w:rPr>
        <w:t>,</w:t>
      </w:r>
      <w:r w:rsidRPr="007653D3">
        <w:rPr>
          <w:rFonts w:cs="Times New Roman"/>
        </w:rPr>
        <w:t xml:space="preserve"> 7</w:t>
      </w:r>
      <w:r>
        <w:rPr>
          <w:rFonts w:cs="Times New Roman"/>
        </w:rPr>
        <w:t xml:space="preserve">1, where </w:t>
      </w:r>
      <w:proofErr w:type="spellStart"/>
      <w:r>
        <w:rPr>
          <w:rFonts w:cs="Times New Roman"/>
        </w:rPr>
        <w:t>Noakes</w:t>
      </w:r>
      <w:proofErr w:type="spellEnd"/>
      <w:r>
        <w:rPr>
          <w:rFonts w:cs="Times New Roman"/>
        </w:rPr>
        <w:t xml:space="preserve"> prints the poem in five-line form.</w:t>
      </w:r>
    </w:p>
  </w:footnote>
  <w:footnote w:id="5">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proofErr w:type="spellStart"/>
      <w:r w:rsidRPr="007653D3">
        <w:rPr>
          <w:rFonts w:cs="Times New Roman"/>
          <w:lang w:val="en-US"/>
        </w:rPr>
        <w:t>Noakes</w:t>
      </w:r>
      <w:proofErr w:type="spellEnd"/>
      <w:r w:rsidRPr="007653D3">
        <w:rPr>
          <w:rFonts w:cs="Times New Roman"/>
          <w:lang w:val="en-US"/>
        </w:rPr>
        <w:t xml:space="preserve"> notes that the phrase is included in what Lear called his ‘long nonsense name’ (</w:t>
      </w:r>
      <w:r w:rsidRPr="007653D3">
        <w:rPr>
          <w:rFonts w:cs="Times New Roman"/>
          <w:i/>
          <w:lang w:val="en-US"/>
        </w:rPr>
        <w:t xml:space="preserve">CN, </w:t>
      </w:r>
      <w:r w:rsidRPr="007653D3">
        <w:rPr>
          <w:rFonts w:cs="Times New Roman"/>
          <w:lang w:val="en-US"/>
        </w:rPr>
        <w:t xml:space="preserve">485). </w:t>
      </w:r>
    </w:p>
  </w:footnote>
  <w:footnote w:id="6">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Elizabeth Turner, </w:t>
      </w:r>
      <w:r w:rsidRPr="007653D3">
        <w:rPr>
          <w:rFonts w:cs="Times New Roman"/>
          <w:i/>
        </w:rPr>
        <w:t>The Daisy, or Cautionary Stories in Verse</w:t>
      </w:r>
      <w:r w:rsidRPr="007653D3">
        <w:rPr>
          <w:rFonts w:cs="Times New Roman"/>
        </w:rPr>
        <w:t>, 6</w:t>
      </w:r>
      <w:r w:rsidRPr="007653D3">
        <w:rPr>
          <w:rFonts w:cs="Times New Roman"/>
          <w:vertAlign w:val="superscript"/>
        </w:rPr>
        <w:t>th</w:t>
      </w:r>
      <w:r w:rsidRPr="007653D3">
        <w:rPr>
          <w:rFonts w:cs="Times New Roman"/>
        </w:rPr>
        <w:t xml:space="preserve"> </w:t>
      </w:r>
      <w:proofErr w:type="spellStart"/>
      <w:r w:rsidRPr="007653D3">
        <w:rPr>
          <w:rFonts w:cs="Times New Roman"/>
        </w:rPr>
        <w:t>edn</w:t>
      </w:r>
      <w:proofErr w:type="spellEnd"/>
      <w:r w:rsidRPr="007653D3">
        <w:rPr>
          <w:rFonts w:cs="Times New Roman"/>
        </w:rPr>
        <w:t>. (London: Harris, 1817)</w:t>
      </w:r>
      <w:proofErr w:type="gramStart"/>
      <w:r w:rsidRPr="007653D3">
        <w:rPr>
          <w:rFonts w:cs="Times New Roman"/>
        </w:rPr>
        <w:t>, 50.</w:t>
      </w:r>
      <w:proofErr w:type="gramEnd"/>
    </w:p>
  </w:footnote>
  <w:footnote w:id="7">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proofErr w:type="gramStart"/>
      <w:r w:rsidRPr="007653D3">
        <w:rPr>
          <w:rFonts w:cs="Times New Roman"/>
        </w:rPr>
        <w:t xml:space="preserve">Elizabeth Turner, </w:t>
      </w:r>
      <w:r w:rsidRPr="007653D3">
        <w:rPr>
          <w:rFonts w:cs="Times New Roman"/>
          <w:i/>
        </w:rPr>
        <w:t xml:space="preserve">The Cowslip; or, More Cautionary Stories in Verse, </w:t>
      </w:r>
      <w:r w:rsidRPr="007653D3">
        <w:rPr>
          <w:rFonts w:cs="Times New Roman"/>
        </w:rPr>
        <w:t>19</w:t>
      </w:r>
      <w:r w:rsidRPr="007653D3">
        <w:rPr>
          <w:rFonts w:cs="Times New Roman"/>
          <w:vertAlign w:val="superscript"/>
        </w:rPr>
        <w:t>th</w:t>
      </w:r>
      <w:r w:rsidRPr="007653D3">
        <w:rPr>
          <w:rFonts w:cs="Times New Roman"/>
        </w:rPr>
        <w:t xml:space="preserve"> </w:t>
      </w:r>
      <w:proofErr w:type="spellStart"/>
      <w:r w:rsidRPr="007653D3">
        <w:rPr>
          <w:rFonts w:cs="Times New Roman"/>
        </w:rPr>
        <w:t>edn</w:t>
      </w:r>
      <w:proofErr w:type="spellEnd"/>
      <w:r w:rsidRPr="007653D3">
        <w:rPr>
          <w:rFonts w:cs="Times New Roman"/>
          <w:i/>
        </w:rPr>
        <w:t>.</w:t>
      </w:r>
      <w:proofErr w:type="gramEnd"/>
      <w:r w:rsidRPr="007653D3">
        <w:rPr>
          <w:rFonts w:cs="Times New Roman"/>
        </w:rPr>
        <w:t xml:space="preserve"> (London: Grant and Griffith, c. 1845)</w:t>
      </w:r>
      <w:proofErr w:type="gramStart"/>
      <w:r w:rsidRPr="007653D3">
        <w:rPr>
          <w:rFonts w:cs="Times New Roman"/>
        </w:rPr>
        <w:t>, 25-26.</w:t>
      </w:r>
      <w:proofErr w:type="gramEnd"/>
    </w:p>
  </w:footnote>
  <w:footnote w:id="8">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w:t>
      </w:r>
      <w:proofErr w:type="gramStart"/>
      <w:r w:rsidRPr="007653D3">
        <w:rPr>
          <w:rFonts w:cs="Times New Roman"/>
        </w:rPr>
        <w:t xml:space="preserve">Jean-Jacques </w:t>
      </w:r>
      <w:proofErr w:type="spellStart"/>
      <w:r w:rsidRPr="007653D3">
        <w:rPr>
          <w:rFonts w:cs="Times New Roman"/>
        </w:rPr>
        <w:t>Lecercle</w:t>
      </w:r>
      <w:proofErr w:type="spellEnd"/>
      <w:r w:rsidRPr="007653D3">
        <w:rPr>
          <w:rFonts w:cs="Times New Roman"/>
        </w:rPr>
        <w:t xml:space="preserve">, </w:t>
      </w:r>
      <w:r w:rsidRPr="007653D3">
        <w:rPr>
          <w:rFonts w:cs="Times New Roman"/>
          <w:i/>
        </w:rPr>
        <w:t>The Philosophy of Nonsense</w:t>
      </w:r>
      <w:r w:rsidRPr="007653D3">
        <w:rPr>
          <w:rFonts w:cs="Times New Roman"/>
        </w:rPr>
        <w:t xml:space="preserve"> (London: </w:t>
      </w:r>
      <w:proofErr w:type="spellStart"/>
      <w:r w:rsidRPr="007653D3">
        <w:rPr>
          <w:rFonts w:cs="Times New Roman"/>
        </w:rPr>
        <w:t>Routledge</w:t>
      </w:r>
      <w:proofErr w:type="spellEnd"/>
      <w:r w:rsidRPr="007653D3">
        <w:rPr>
          <w:rFonts w:cs="Times New Roman"/>
        </w:rPr>
        <w:t>, 1994), 4.</w:t>
      </w:r>
      <w:proofErr w:type="gramEnd"/>
    </w:p>
  </w:footnote>
  <w:footnote w:id="9">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6E2449">
        <w:rPr>
          <w:rFonts w:cs="Times New Roman"/>
        </w:rPr>
        <w:t xml:space="preserve"> </w:t>
      </w:r>
      <w:r w:rsidRPr="007653D3">
        <w:rPr>
          <w:rFonts w:cs="Times New Roman"/>
          <w:i/>
        </w:rPr>
        <w:t>Mrs Lovechild’s Golden Present for All Good Little Boys and Girls</w:t>
      </w:r>
      <w:r w:rsidRPr="007653D3">
        <w:rPr>
          <w:rFonts w:cs="Times New Roman"/>
        </w:rPr>
        <w:t xml:space="preserve"> (York: J. Kendrew, c.1820), 2.</w:t>
      </w:r>
    </w:p>
  </w:footnote>
  <w:footnote w:id="10">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proofErr w:type="gramStart"/>
      <w:r w:rsidRPr="007653D3">
        <w:rPr>
          <w:rFonts w:cs="Times New Roman"/>
        </w:rPr>
        <w:t xml:space="preserve">Turner, </w:t>
      </w:r>
      <w:r w:rsidRPr="007653D3">
        <w:rPr>
          <w:rFonts w:cs="Times New Roman"/>
          <w:i/>
        </w:rPr>
        <w:t>The</w:t>
      </w:r>
      <w:r w:rsidRPr="007653D3">
        <w:rPr>
          <w:rFonts w:cs="Times New Roman"/>
        </w:rPr>
        <w:t xml:space="preserve"> </w:t>
      </w:r>
      <w:r w:rsidRPr="007653D3">
        <w:rPr>
          <w:rFonts w:cs="Times New Roman"/>
          <w:i/>
        </w:rPr>
        <w:t>Cowslip</w:t>
      </w:r>
      <w:r w:rsidRPr="007653D3">
        <w:rPr>
          <w:rFonts w:cs="Times New Roman"/>
        </w:rPr>
        <w:t>, 39, 17, 18.</w:t>
      </w:r>
      <w:proofErr w:type="gramEnd"/>
    </w:p>
  </w:footnote>
  <w:footnote w:id="11">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proofErr w:type="gramStart"/>
      <w:r w:rsidRPr="007653D3">
        <w:rPr>
          <w:rFonts w:cs="Times New Roman"/>
        </w:rPr>
        <w:t xml:space="preserve">Turner, </w:t>
      </w:r>
      <w:r w:rsidRPr="007653D3">
        <w:rPr>
          <w:rFonts w:cs="Times New Roman"/>
          <w:i/>
        </w:rPr>
        <w:t>The Daisy</w:t>
      </w:r>
      <w:r w:rsidRPr="007653D3">
        <w:rPr>
          <w:rFonts w:cs="Times New Roman"/>
        </w:rPr>
        <w:t xml:space="preserve">, 9, </w:t>
      </w:r>
      <w:r w:rsidRPr="007653D3">
        <w:rPr>
          <w:rFonts w:cs="Times New Roman"/>
          <w:lang w:val="en-US"/>
        </w:rPr>
        <w:t>16.</w:t>
      </w:r>
      <w:proofErr w:type="gramEnd"/>
    </w:p>
  </w:footnote>
  <w:footnote w:id="12">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proofErr w:type="gramStart"/>
      <w:r w:rsidRPr="007653D3">
        <w:rPr>
          <w:rFonts w:cs="Times New Roman"/>
        </w:rPr>
        <w:t xml:space="preserve">Turner, </w:t>
      </w:r>
      <w:r w:rsidRPr="007653D3">
        <w:rPr>
          <w:rFonts w:cs="Times New Roman"/>
          <w:i/>
        </w:rPr>
        <w:t>The Cowslip</w:t>
      </w:r>
      <w:r w:rsidRPr="007653D3">
        <w:rPr>
          <w:rFonts w:cs="Times New Roman"/>
        </w:rPr>
        <w:t xml:space="preserve">, </w:t>
      </w:r>
      <w:r w:rsidRPr="007653D3">
        <w:rPr>
          <w:rFonts w:cs="Times New Roman"/>
          <w:lang w:val="en-US"/>
        </w:rPr>
        <w:t>42, 26.</w:t>
      </w:r>
      <w:proofErr w:type="gramEnd"/>
    </w:p>
  </w:footnote>
  <w:footnote w:id="13">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See </w:t>
      </w:r>
      <w:proofErr w:type="spellStart"/>
      <w:r w:rsidRPr="007653D3">
        <w:rPr>
          <w:rFonts w:cs="Times New Roman"/>
        </w:rPr>
        <w:t>Lecercle</w:t>
      </w:r>
      <w:proofErr w:type="spellEnd"/>
      <w:r w:rsidRPr="007653D3">
        <w:rPr>
          <w:rFonts w:cs="Times New Roman"/>
        </w:rPr>
        <w:t xml:space="preserve">, </w:t>
      </w:r>
      <w:r w:rsidRPr="007653D3">
        <w:rPr>
          <w:rFonts w:cs="Times New Roman"/>
          <w:i/>
        </w:rPr>
        <w:t>Philosophy of Nonsense</w:t>
      </w:r>
      <w:r w:rsidRPr="007653D3">
        <w:rPr>
          <w:rFonts w:cs="Times New Roman"/>
        </w:rPr>
        <w:t xml:space="preserve">, 204, and Brown, </w:t>
      </w:r>
      <w:r w:rsidRPr="007653D3">
        <w:rPr>
          <w:rFonts w:cs="Times New Roman"/>
          <w:i/>
          <w:lang w:val="en-US"/>
        </w:rPr>
        <w:t>Poetry of Victorian Scientists</w:t>
      </w:r>
      <w:r w:rsidRPr="007653D3">
        <w:rPr>
          <w:rFonts w:cs="Times New Roman"/>
          <w:lang w:val="en-US"/>
        </w:rPr>
        <w:t>, 24-25.</w:t>
      </w:r>
    </w:p>
  </w:footnote>
  <w:footnote w:id="14">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r w:rsidRPr="007653D3">
        <w:rPr>
          <w:rFonts w:cs="Times New Roman"/>
          <w:lang w:val="en-US"/>
        </w:rPr>
        <w:t xml:space="preserve">Brown, </w:t>
      </w:r>
      <w:r w:rsidRPr="007653D3">
        <w:rPr>
          <w:rFonts w:cs="Times New Roman"/>
          <w:i/>
          <w:lang w:val="en-US"/>
        </w:rPr>
        <w:t>Poetry by Victorian Scientists</w:t>
      </w:r>
      <w:r w:rsidRPr="007653D3">
        <w:rPr>
          <w:rFonts w:cs="Times New Roman"/>
          <w:lang w:val="en-US"/>
        </w:rPr>
        <w:t>, 17-18.</w:t>
      </w:r>
    </w:p>
    <w:p w:rsidR="000B4225" w:rsidRPr="007653D3" w:rsidRDefault="000B4225" w:rsidP="000B4225">
      <w:pPr>
        <w:pStyle w:val="FootnoteText"/>
        <w:contextualSpacing/>
        <w:rPr>
          <w:rFonts w:cs="Times New Roman"/>
          <w:lang w:val="en-US"/>
        </w:rPr>
      </w:pPr>
    </w:p>
  </w:footnote>
  <w:footnote w:id="15">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Edwin Morgan</w:t>
      </w:r>
      <w:r w:rsidRPr="007653D3">
        <w:rPr>
          <w:rFonts w:cs="Times New Roman"/>
          <w:i/>
        </w:rPr>
        <w:t>, Collected Poems</w:t>
      </w:r>
      <w:r w:rsidRPr="007653D3">
        <w:rPr>
          <w:rFonts w:cs="Times New Roman"/>
        </w:rPr>
        <w:t xml:space="preserve"> (Manchester: </w:t>
      </w:r>
      <w:proofErr w:type="spellStart"/>
      <w:r w:rsidRPr="007653D3">
        <w:rPr>
          <w:rFonts w:cs="Times New Roman"/>
        </w:rPr>
        <w:t>Carcanet</w:t>
      </w:r>
      <w:proofErr w:type="spellEnd"/>
      <w:r w:rsidRPr="007653D3">
        <w:rPr>
          <w:rFonts w:cs="Times New Roman"/>
        </w:rPr>
        <w:t>, 1990), 210.</w:t>
      </w:r>
    </w:p>
  </w:footnote>
  <w:footnote w:id="16">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i/>
        </w:rPr>
        <w:t xml:space="preserve"> </w:t>
      </w:r>
      <w:r w:rsidRPr="007653D3">
        <w:rPr>
          <w:rFonts w:cs="Times New Roman"/>
        </w:rPr>
        <w:t xml:space="preserve">Lewis Carroll, </w:t>
      </w:r>
      <w:r w:rsidRPr="007653D3">
        <w:rPr>
          <w:rFonts w:cs="Times New Roman"/>
          <w:i/>
        </w:rPr>
        <w:t>The Magic of Lewis Carroll</w:t>
      </w:r>
      <w:r w:rsidRPr="007653D3">
        <w:rPr>
          <w:rFonts w:cs="Times New Roman"/>
        </w:rPr>
        <w:t>, ed. John Fisher (New York: Simon and Schuster, 1973), 134, 136, 213.</w:t>
      </w:r>
    </w:p>
  </w:footnote>
  <w:footnote w:id="17">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Cited in </w:t>
      </w:r>
      <w:proofErr w:type="spellStart"/>
      <w:r w:rsidRPr="007653D3">
        <w:rPr>
          <w:rFonts w:cs="Times New Roman"/>
        </w:rPr>
        <w:t>Wim</w:t>
      </w:r>
      <w:proofErr w:type="spellEnd"/>
      <w:r w:rsidRPr="007653D3">
        <w:rPr>
          <w:rFonts w:cs="Times New Roman"/>
        </w:rPr>
        <w:t xml:space="preserve"> </w:t>
      </w:r>
      <w:proofErr w:type="spellStart"/>
      <w:r w:rsidRPr="007653D3">
        <w:rPr>
          <w:rFonts w:cs="Times New Roman"/>
        </w:rPr>
        <w:t>Tigges</w:t>
      </w:r>
      <w:proofErr w:type="spellEnd"/>
      <w:r w:rsidRPr="007653D3">
        <w:rPr>
          <w:rFonts w:cs="Times New Roman"/>
        </w:rPr>
        <w:t xml:space="preserve">, </w:t>
      </w:r>
      <w:r w:rsidRPr="007653D3">
        <w:rPr>
          <w:rFonts w:cs="Times New Roman"/>
          <w:i/>
        </w:rPr>
        <w:t>An Anatomy of Literary Nonsense</w:t>
      </w:r>
      <w:r w:rsidRPr="007653D3">
        <w:rPr>
          <w:rFonts w:cs="Times New Roman"/>
        </w:rPr>
        <w:t xml:space="preserve"> (Amsterdam: </w:t>
      </w:r>
      <w:proofErr w:type="spellStart"/>
      <w:r w:rsidRPr="007653D3">
        <w:rPr>
          <w:rFonts w:cs="Times New Roman"/>
        </w:rPr>
        <w:t>Rodopi</w:t>
      </w:r>
      <w:proofErr w:type="spellEnd"/>
      <w:r w:rsidRPr="007653D3">
        <w:rPr>
          <w:rFonts w:cs="Times New Roman"/>
        </w:rPr>
        <w:t>, 1988), 32.</w:t>
      </w:r>
    </w:p>
  </w:footnote>
  <w:footnote w:id="18">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iCs/>
          <w:lang w:val="en-US"/>
        </w:rPr>
        <w:t xml:space="preserve"> </w:t>
      </w:r>
      <w:proofErr w:type="gramStart"/>
      <w:r w:rsidRPr="007653D3">
        <w:rPr>
          <w:rFonts w:cs="Times New Roman"/>
          <w:iCs/>
          <w:lang w:val="en-US"/>
        </w:rPr>
        <w:t xml:space="preserve">Gerard Manley Hopkins, </w:t>
      </w:r>
      <w:r w:rsidRPr="007653D3">
        <w:rPr>
          <w:rFonts w:cs="Times New Roman"/>
          <w:i/>
          <w:iCs/>
          <w:lang w:val="en-US"/>
        </w:rPr>
        <w:t>The Journals and Papers of Gerard Manley Hopkins</w:t>
      </w:r>
      <w:r w:rsidRPr="007653D3">
        <w:rPr>
          <w:rFonts w:cs="Times New Roman"/>
          <w:lang w:val="en-US"/>
        </w:rPr>
        <w:t xml:space="preserve">, ed. </w:t>
      </w:r>
      <w:proofErr w:type="spellStart"/>
      <w:r w:rsidRPr="007653D3">
        <w:rPr>
          <w:rFonts w:cs="Times New Roman"/>
          <w:lang w:val="en-US"/>
        </w:rPr>
        <w:t>Humphry</w:t>
      </w:r>
      <w:proofErr w:type="spellEnd"/>
      <w:r w:rsidRPr="007653D3">
        <w:rPr>
          <w:rFonts w:cs="Times New Roman"/>
          <w:lang w:val="en-US"/>
        </w:rPr>
        <w:t xml:space="preserve"> House and Graham </w:t>
      </w:r>
      <w:proofErr w:type="spellStart"/>
      <w:r w:rsidRPr="007653D3">
        <w:rPr>
          <w:rFonts w:cs="Times New Roman"/>
          <w:lang w:val="en-US"/>
        </w:rPr>
        <w:t>Storey</w:t>
      </w:r>
      <w:proofErr w:type="spellEnd"/>
      <w:r w:rsidRPr="007653D3">
        <w:rPr>
          <w:rFonts w:cs="Times New Roman"/>
          <w:lang w:val="en-US"/>
        </w:rPr>
        <w:t>, (London: Oxford University Press, 1959)</w:t>
      </w:r>
      <w:r w:rsidRPr="007653D3">
        <w:rPr>
          <w:rFonts w:cs="Times New Roman"/>
        </w:rPr>
        <w:t>, 11.</w:t>
      </w:r>
      <w:proofErr w:type="gramEnd"/>
    </w:p>
  </w:footnote>
  <w:footnote w:id="19">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AF7944">
        <w:rPr>
          <w:rFonts w:cs="Times New Roman"/>
          <w:iCs/>
          <w:lang w:val="en-US"/>
        </w:rPr>
        <w:t xml:space="preserve"> </w:t>
      </w:r>
      <w:r w:rsidRPr="007653D3">
        <w:rPr>
          <w:rFonts w:cs="Times New Roman"/>
          <w:iCs/>
          <w:lang w:val="en-US"/>
        </w:rPr>
        <w:t xml:space="preserve">Gerard Manley Hopkins, </w:t>
      </w:r>
      <w:r w:rsidRPr="007653D3">
        <w:rPr>
          <w:rFonts w:cs="Times New Roman"/>
          <w:i/>
          <w:iCs/>
          <w:lang w:val="en-US"/>
        </w:rPr>
        <w:t>Further Letters of Gerard Manley Hopkins</w:t>
      </w:r>
      <w:r w:rsidRPr="007653D3">
        <w:rPr>
          <w:rFonts w:cs="Times New Roman"/>
          <w:lang w:val="en-US"/>
        </w:rPr>
        <w:t xml:space="preserve">, ed. Claude </w:t>
      </w:r>
      <w:proofErr w:type="spellStart"/>
      <w:r w:rsidRPr="007653D3">
        <w:rPr>
          <w:rFonts w:cs="Times New Roman"/>
          <w:lang w:val="en-US"/>
        </w:rPr>
        <w:t>Colleer</w:t>
      </w:r>
      <w:proofErr w:type="spellEnd"/>
      <w:r w:rsidRPr="007653D3">
        <w:rPr>
          <w:rFonts w:cs="Times New Roman"/>
          <w:lang w:val="en-US"/>
        </w:rPr>
        <w:t xml:space="preserve"> Abbott, 2</w:t>
      </w:r>
      <w:r w:rsidRPr="007653D3">
        <w:rPr>
          <w:rFonts w:cs="Times New Roman"/>
          <w:vertAlign w:val="superscript"/>
          <w:lang w:val="en-US"/>
        </w:rPr>
        <w:t>nd</w:t>
      </w:r>
      <w:r w:rsidRPr="007653D3">
        <w:rPr>
          <w:rFonts w:cs="Times New Roman"/>
          <w:lang w:val="en-US"/>
        </w:rPr>
        <w:t xml:space="preserve"> </w:t>
      </w:r>
      <w:proofErr w:type="spellStart"/>
      <w:r w:rsidRPr="007653D3">
        <w:rPr>
          <w:rFonts w:cs="Times New Roman"/>
          <w:lang w:val="en-US"/>
        </w:rPr>
        <w:t>edn</w:t>
      </w:r>
      <w:proofErr w:type="spellEnd"/>
      <w:r w:rsidRPr="007653D3">
        <w:rPr>
          <w:rFonts w:cs="Times New Roman"/>
          <w:lang w:val="en-US"/>
        </w:rPr>
        <w:t>. (London: Oxford University Press, 1956)</w:t>
      </w:r>
      <w:proofErr w:type="gramStart"/>
      <w:r w:rsidRPr="007653D3">
        <w:rPr>
          <w:rFonts w:cs="Times New Roman"/>
          <w:lang w:val="en-US"/>
        </w:rPr>
        <w:t xml:space="preserve">, </w:t>
      </w:r>
      <w:r w:rsidRPr="007653D3">
        <w:rPr>
          <w:rFonts w:cs="Times New Roman"/>
        </w:rPr>
        <w:t>121.</w:t>
      </w:r>
      <w:proofErr w:type="gramEnd"/>
    </w:p>
  </w:footnote>
  <w:footnote w:id="20">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Gerard Manley Hopkins, ‘Author’s Preface’, in </w:t>
      </w:r>
      <w:r w:rsidRPr="007653D3">
        <w:rPr>
          <w:rFonts w:cs="Times New Roman"/>
          <w:i/>
          <w:iCs/>
          <w:lang w:val="en-US"/>
        </w:rPr>
        <w:t>The Poems of Gerard Manley Hopkins</w:t>
      </w:r>
      <w:r w:rsidRPr="007653D3">
        <w:rPr>
          <w:rFonts w:cs="Times New Roman"/>
          <w:lang w:val="en-US"/>
        </w:rPr>
        <w:t xml:space="preserve">, </w:t>
      </w:r>
      <w:r w:rsidRPr="007653D3">
        <w:rPr>
          <w:rFonts w:cs="Times New Roman"/>
        </w:rPr>
        <w:t>2</w:t>
      </w:r>
      <w:r w:rsidRPr="007653D3">
        <w:rPr>
          <w:rFonts w:cs="Times New Roman"/>
          <w:vertAlign w:val="superscript"/>
        </w:rPr>
        <w:t>nd</w:t>
      </w:r>
      <w:r w:rsidRPr="007653D3">
        <w:rPr>
          <w:rFonts w:cs="Times New Roman"/>
        </w:rPr>
        <w:t xml:space="preserve"> </w:t>
      </w:r>
      <w:proofErr w:type="spellStart"/>
      <w:r w:rsidRPr="007653D3">
        <w:rPr>
          <w:rFonts w:cs="Times New Roman"/>
        </w:rPr>
        <w:t>edn</w:t>
      </w:r>
      <w:proofErr w:type="spellEnd"/>
      <w:r w:rsidRPr="007653D3">
        <w:rPr>
          <w:rFonts w:cs="Times New Roman"/>
        </w:rPr>
        <w:t>. (Oxford: Oxford University Press, 1930)</w:t>
      </w:r>
      <w:proofErr w:type="gramStart"/>
      <w:r w:rsidRPr="007653D3">
        <w:rPr>
          <w:rFonts w:cs="Times New Roman"/>
        </w:rPr>
        <w:t>, 5.</w:t>
      </w:r>
      <w:proofErr w:type="gramEnd"/>
      <w:r w:rsidRPr="007653D3">
        <w:rPr>
          <w:rFonts w:cs="Times New Roman"/>
        </w:rPr>
        <w:t xml:space="preserve"> </w:t>
      </w:r>
    </w:p>
    <w:p w:rsidR="000B4225" w:rsidRPr="007653D3" w:rsidRDefault="000B4225" w:rsidP="000B4225">
      <w:pPr>
        <w:pStyle w:val="FootnoteText"/>
        <w:contextualSpacing/>
        <w:rPr>
          <w:rFonts w:cs="Times New Roman"/>
        </w:rPr>
      </w:pPr>
    </w:p>
  </w:footnote>
  <w:footnote w:id="21">
    <w:p w:rsidR="000B4225" w:rsidRPr="00AF7944"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Art</w:t>
      </w:r>
      <w:r>
        <w:rPr>
          <w:rFonts w:cs="Times New Roman"/>
        </w:rPr>
        <w:t>h</w:t>
      </w:r>
      <w:r w:rsidRPr="007653D3">
        <w:rPr>
          <w:rFonts w:cs="Times New Roman"/>
        </w:rPr>
        <w:t xml:space="preserve">ur Schopenhauer, </w:t>
      </w:r>
      <w:r w:rsidRPr="007653D3">
        <w:rPr>
          <w:rFonts w:cs="Times New Roman"/>
          <w:i/>
        </w:rPr>
        <w:t>The World as Will and Representation</w:t>
      </w:r>
      <w:r w:rsidRPr="007653D3">
        <w:rPr>
          <w:rFonts w:cs="Times New Roman"/>
        </w:rPr>
        <w:t>, trans. E. F. J. Payne</w:t>
      </w:r>
      <w:r>
        <w:rPr>
          <w:rFonts w:cs="Times New Roman"/>
        </w:rPr>
        <w:t xml:space="preserve">, 2 </w:t>
      </w:r>
      <w:proofErr w:type="spellStart"/>
      <w:r>
        <w:rPr>
          <w:rFonts w:cs="Times New Roman"/>
        </w:rPr>
        <w:t>vols</w:t>
      </w:r>
      <w:proofErr w:type="spellEnd"/>
      <w:r w:rsidRPr="007653D3">
        <w:rPr>
          <w:rFonts w:cs="Times New Roman"/>
        </w:rPr>
        <w:t xml:space="preserve"> (Indian Hills, Colorado: Falcon’s Wing Press, 1958), </w:t>
      </w:r>
      <w:proofErr w:type="spellStart"/>
      <w:r>
        <w:rPr>
          <w:rFonts w:cs="Times New Roman"/>
        </w:rPr>
        <w:t>i</w:t>
      </w:r>
      <w:proofErr w:type="spellEnd"/>
      <w:r>
        <w:rPr>
          <w:rFonts w:cs="Times New Roman"/>
        </w:rPr>
        <w:t>,</w:t>
      </w:r>
      <w:r w:rsidRPr="007653D3">
        <w:rPr>
          <w:rFonts w:cs="Times New Roman"/>
        </w:rPr>
        <w:t xml:space="preserve"> 100.</w:t>
      </w:r>
    </w:p>
  </w:footnote>
  <w:footnote w:id="22">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r w:rsidRPr="007653D3">
        <w:rPr>
          <w:rFonts w:cs="Times New Roman"/>
          <w:lang w:val="en-US"/>
        </w:rPr>
        <w:t xml:space="preserve">See Daniel Brown, </w:t>
      </w:r>
      <w:r w:rsidRPr="007653D3">
        <w:rPr>
          <w:rFonts w:cs="Times New Roman"/>
          <w:i/>
          <w:lang w:val="en-US"/>
        </w:rPr>
        <w:t>Hopkins’ Idealism: Philosophy, Physics, Poetry</w:t>
      </w:r>
      <w:r w:rsidRPr="007653D3">
        <w:rPr>
          <w:rFonts w:cs="Times New Roman"/>
          <w:lang w:val="en-US"/>
        </w:rPr>
        <w:t xml:space="preserve"> (Oxford: Clarendon Press, 1987), </w:t>
      </w:r>
      <w:proofErr w:type="gramStart"/>
      <w:r w:rsidRPr="007653D3">
        <w:rPr>
          <w:rFonts w:cs="Times New Roman"/>
          <w:lang w:val="en-US"/>
        </w:rPr>
        <w:t>esp</w:t>
      </w:r>
      <w:proofErr w:type="gramEnd"/>
      <w:r w:rsidRPr="007653D3">
        <w:rPr>
          <w:rFonts w:cs="Times New Roman"/>
          <w:lang w:val="en-US"/>
        </w:rPr>
        <w:t>. 238-241.</w:t>
      </w:r>
    </w:p>
    <w:p w:rsidR="000B4225" w:rsidRPr="007653D3" w:rsidRDefault="000B4225" w:rsidP="000B4225">
      <w:pPr>
        <w:pStyle w:val="FootnoteText"/>
        <w:contextualSpacing/>
        <w:rPr>
          <w:rFonts w:cs="Times New Roman"/>
          <w:lang w:val="en-US"/>
        </w:rPr>
      </w:pPr>
    </w:p>
  </w:footnote>
  <w:footnote w:id="23">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G. S. Kirk and J. E. Raven, </w:t>
      </w:r>
      <w:r w:rsidRPr="007653D3">
        <w:rPr>
          <w:rFonts w:cs="Times New Roman"/>
          <w:i/>
        </w:rPr>
        <w:t xml:space="preserve">The </w:t>
      </w:r>
      <w:proofErr w:type="spellStart"/>
      <w:r w:rsidRPr="007653D3">
        <w:rPr>
          <w:rFonts w:cs="Times New Roman"/>
          <w:i/>
        </w:rPr>
        <w:t>Presocratic</w:t>
      </w:r>
      <w:proofErr w:type="spellEnd"/>
      <w:r w:rsidRPr="007653D3">
        <w:rPr>
          <w:rFonts w:cs="Times New Roman"/>
          <w:i/>
        </w:rPr>
        <w:t xml:space="preserve"> Philosophers</w:t>
      </w:r>
      <w:r w:rsidRPr="007653D3">
        <w:rPr>
          <w:rFonts w:cs="Times New Roman"/>
        </w:rPr>
        <w:t xml:space="preserve"> (Cambridge: Cambridge University Press, 1960), 276, fr</w:t>
      </w:r>
      <w:r>
        <w:rPr>
          <w:rFonts w:cs="Times New Roman"/>
        </w:rPr>
        <w:t>ag</w:t>
      </w:r>
      <w:r w:rsidRPr="007653D3">
        <w:rPr>
          <w:rFonts w:cs="Times New Roman"/>
        </w:rPr>
        <w:t>. 351. See also 273, fr</w:t>
      </w:r>
      <w:r>
        <w:rPr>
          <w:rFonts w:cs="Times New Roman"/>
        </w:rPr>
        <w:t>ag</w:t>
      </w:r>
      <w:r w:rsidRPr="007653D3">
        <w:rPr>
          <w:rFonts w:cs="Times New Roman"/>
        </w:rPr>
        <w:t>. 347.</w:t>
      </w:r>
    </w:p>
    <w:p w:rsidR="000B4225" w:rsidRPr="007653D3" w:rsidRDefault="000B4225" w:rsidP="000B4225">
      <w:pPr>
        <w:pStyle w:val="FootnoteText"/>
        <w:contextualSpacing/>
        <w:rPr>
          <w:rFonts w:cs="Times New Roman"/>
        </w:rPr>
      </w:pPr>
    </w:p>
  </w:footnote>
  <w:footnote w:id="24">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Kirk and Raven, </w:t>
      </w:r>
      <w:proofErr w:type="spellStart"/>
      <w:r w:rsidRPr="00AF7944">
        <w:rPr>
          <w:rFonts w:cs="Times New Roman"/>
          <w:i/>
        </w:rPr>
        <w:t>Presocratic</w:t>
      </w:r>
      <w:proofErr w:type="spellEnd"/>
      <w:r w:rsidRPr="00AF7944">
        <w:rPr>
          <w:rFonts w:cs="Times New Roman"/>
          <w:i/>
        </w:rPr>
        <w:t xml:space="preserve"> Philosophers</w:t>
      </w:r>
      <w:r w:rsidRPr="007653D3">
        <w:rPr>
          <w:rFonts w:cs="Times New Roman"/>
        </w:rPr>
        <w:t>, 269, fr</w:t>
      </w:r>
      <w:r>
        <w:rPr>
          <w:rFonts w:cs="Times New Roman"/>
        </w:rPr>
        <w:t>ag</w:t>
      </w:r>
      <w:r w:rsidRPr="007653D3">
        <w:rPr>
          <w:rFonts w:cs="Times New Roman"/>
        </w:rPr>
        <w:t>. 344.</w:t>
      </w:r>
    </w:p>
  </w:footnote>
  <w:footnote w:id="25">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Hopkins, </w:t>
      </w:r>
      <w:r w:rsidRPr="007653D3">
        <w:rPr>
          <w:rFonts w:cs="Times New Roman"/>
          <w:i/>
          <w:iCs/>
          <w:lang w:val="en-US"/>
        </w:rPr>
        <w:t>Journals and Papers</w:t>
      </w:r>
      <w:r w:rsidRPr="007653D3">
        <w:rPr>
          <w:rFonts w:cs="Times New Roman"/>
          <w:iCs/>
          <w:lang w:val="en-US"/>
        </w:rPr>
        <w:t>,</w:t>
      </w:r>
      <w:r w:rsidRPr="007653D3">
        <w:rPr>
          <w:rFonts w:cs="Times New Roman"/>
        </w:rPr>
        <w:t xml:space="preserve"> 127.</w:t>
      </w:r>
    </w:p>
  </w:footnote>
  <w:footnote w:id="26">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Kirk and Raven, </w:t>
      </w:r>
      <w:proofErr w:type="spellStart"/>
      <w:r w:rsidRPr="007653D3">
        <w:rPr>
          <w:rFonts w:cs="Times New Roman"/>
          <w:i/>
        </w:rPr>
        <w:t>Presocratic</w:t>
      </w:r>
      <w:proofErr w:type="spellEnd"/>
      <w:r w:rsidRPr="007653D3">
        <w:rPr>
          <w:rFonts w:cs="Times New Roman"/>
          <w:i/>
        </w:rPr>
        <w:t xml:space="preserve"> Philosophers</w:t>
      </w:r>
      <w:r w:rsidRPr="007653D3">
        <w:rPr>
          <w:rFonts w:cs="Times New Roman"/>
        </w:rPr>
        <w:t>, 273, fr</w:t>
      </w:r>
      <w:r>
        <w:rPr>
          <w:rFonts w:cs="Times New Roman"/>
        </w:rPr>
        <w:t>ag</w:t>
      </w:r>
      <w:r w:rsidRPr="007653D3">
        <w:rPr>
          <w:rFonts w:cs="Times New Roman"/>
        </w:rPr>
        <w:t>. 347.</w:t>
      </w:r>
    </w:p>
  </w:footnote>
  <w:footnote w:id="27">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Kirk and Raven, </w:t>
      </w:r>
      <w:proofErr w:type="spellStart"/>
      <w:r w:rsidRPr="007653D3">
        <w:rPr>
          <w:rFonts w:cs="Times New Roman"/>
          <w:i/>
        </w:rPr>
        <w:t>Presocratic</w:t>
      </w:r>
      <w:proofErr w:type="spellEnd"/>
      <w:r w:rsidRPr="007653D3">
        <w:rPr>
          <w:rFonts w:cs="Times New Roman"/>
          <w:i/>
        </w:rPr>
        <w:t xml:space="preserve"> Philosophers</w:t>
      </w:r>
      <w:r w:rsidRPr="007653D3">
        <w:rPr>
          <w:rFonts w:cs="Times New Roman"/>
        </w:rPr>
        <w:t>, 277, fr</w:t>
      </w:r>
      <w:r>
        <w:rPr>
          <w:rFonts w:cs="Times New Roman"/>
        </w:rPr>
        <w:t>ag</w:t>
      </w:r>
      <w:r w:rsidRPr="007653D3">
        <w:rPr>
          <w:rFonts w:cs="Times New Roman"/>
        </w:rPr>
        <w:t xml:space="preserve">. 352. </w:t>
      </w:r>
    </w:p>
    <w:p w:rsidR="000B4225" w:rsidRPr="007653D3" w:rsidRDefault="000B4225" w:rsidP="000B4225">
      <w:pPr>
        <w:pStyle w:val="FootnoteText"/>
        <w:contextualSpacing/>
        <w:rPr>
          <w:rFonts w:cs="Times New Roman"/>
        </w:rPr>
      </w:pPr>
    </w:p>
  </w:footnote>
  <w:footnote w:id="28">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Kirk and Raven, </w:t>
      </w:r>
      <w:proofErr w:type="spellStart"/>
      <w:r w:rsidRPr="007653D3">
        <w:rPr>
          <w:rFonts w:cs="Times New Roman"/>
          <w:i/>
        </w:rPr>
        <w:t>Presocratic</w:t>
      </w:r>
      <w:proofErr w:type="spellEnd"/>
      <w:r w:rsidRPr="007653D3">
        <w:rPr>
          <w:rFonts w:cs="Times New Roman"/>
          <w:i/>
        </w:rPr>
        <w:t xml:space="preserve"> Philosophers</w:t>
      </w:r>
      <w:r w:rsidRPr="007653D3">
        <w:rPr>
          <w:rFonts w:cs="Times New Roman"/>
        </w:rPr>
        <w:t>, 292-4, fr</w:t>
      </w:r>
      <w:r>
        <w:rPr>
          <w:rFonts w:cs="Times New Roman"/>
        </w:rPr>
        <w:t>ag</w:t>
      </w:r>
      <w:r w:rsidRPr="007653D3">
        <w:rPr>
          <w:rFonts w:cs="Times New Roman"/>
        </w:rPr>
        <w:t>. 370-4.</w:t>
      </w:r>
    </w:p>
  </w:footnote>
  <w:footnote w:id="29">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See Kirk and Raven, </w:t>
      </w:r>
      <w:proofErr w:type="spellStart"/>
      <w:r w:rsidRPr="007653D3">
        <w:rPr>
          <w:rFonts w:cs="Times New Roman"/>
          <w:i/>
        </w:rPr>
        <w:t>Presocratic</w:t>
      </w:r>
      <w:proofErr w:type="spellEnd"/>
      <w:r w:rsidRPr="007653D3">
        <w:rPr>
          <w:rFonts w:cs="Times New Roman"/>
          <w:i/>
        </w:rPr>
        <w:t xml:space="preserve"> Philosophers</w:t>
      </w:r>
      <w:r w:rsidRPr="007653D3">
        <w:rPr>
          <w:rFonts w:cs="Times New Roman"/>
        </w:rPr>
        <w:t>, 288-90, fr</w:t>
      </w:r>
      <w:r>
        <w:rPr>
          <w:rFonts w:cs="Times New Roman"/>
        </w:rPr>
        <w:t>ag</w:t>
      </w:r>
      <w:r w:rsidRPr="007653D3">
        <w:rPr>
          <w:rFonts w:cs="Times New Roman"/>
        </w:rPr>
        <w:t>. 365-68.</w:t>
      </w:r>
    </w:p>
  </w:footnote>
  <w:footnote w:id="30">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proofErr w:type="gramStart"/>
      <w:r w:rsidRPr="007653D3">
        <w:rPr>
          <w:rFonts w:cs="Times New Roman"/>
        </w:rPr>
        <w:t xml:space="preserve">Lear, </w:t>
      </w:r>
      <w:r w:rsidRPr="007653D3">
        <w:rPr>
          <w:rFonts w:cs="Times New Roman"/>
          <w:i/>
        </w:rPr>
        <w:t>Nonsense Botany</w:t>
      </w:r>
      <w:r w:rsidRPr="007653D3">
        <w:rPr>
          <w:rFonts w:cs="Times New Roman"/>
        </w:rPr>
        <w:t xml:space="preserve">, </w:t>
      </w:r>
      <w:r w:rsidRPr="007653D3">
        <w:rPr>
          <w:rFonts w:cs="Times New Roman"/>
          <w:lang w:val="en-US"/>
        </w:rPr>
        <w:t>108.</w:t>
      </w:r>
      <w:proofErr w:type="gramEnd"/>
    </w:p>
    <w:p w:rsidR="000B4225" w:rsidRPr="007653D3" w:rsidRDefault="000B4225" w:rsidP="000B4225">
      <w:pPr>
        <w:pStyle w:val="FootnoteText"/>
        <w:contextualSpacing/>
        <w:rPr>
          <w:rFonts w:cs="Times New Roman"/>
          <w:lang w:val="en-US"/>
        </w:rPr>
      </w:pPr>
    </w:p>
  </w:footnote>
  <w:footnote w:id="31">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i/>
        </w:rPr>
        <w:t xml:space="preserve"> </w:t>
      </w:r>
      <w:proofErr w:type="gramStart"/>
      <w:r w:rsidRPr="007653D3">
        <w:rPr>
          <w:rFonts w:cs="Times New Roman"/>
        </w:rPr>
        <w:t xml:space="preserve">Lear, </w:t>
      </w:r>
      <w:r w:rsidRPr="007653D3">
        <w:rPr>
          <w:rFonts w:cs="Times New Roman"/>
          <w:i/>
        </w:rPr>
        <w:t xml:space="preserve">Nonsense Botany, </w:t>
      </w:r>
      <w:r w:rsidRPr="007653D3">
        <w:rPr>
          <w:rFonts w:cs="Times New Roman"/>
        </w:rPr>
        <w:t>95.</w:t>
      </w:r>
      <w:proofErr w:type="gramEnd"/>
    </w:p>
  </w:footnote>
  <w:footnote w:id="32">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Anon., </w:t>
      </w:r>
      <w:r w:rsidRPr="007653D3">
        <w:rPr>
          <w:rFonts w:cs="Times New Roman"/>
          <w:i/>
        </w:rPr>
        <w:t xml:space="preserve">Mrs Lovechild’s Golden Present for All Good Little Boys and Girls </w:t>
      </w:r>
      <w:r w:rsidRPr="007653D3">
        <w:rPr>
          <w:rFonts w:cs="Times New Roman"/>
        </w:rPr>
        <w:t>(York: J. Kendrew, c. 1815), 11.</w:t>
      </w:r>
    </w:p>
  </w:footnote>
  <w:footnote w:id="33">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w:t>
      </w:r>
      <w:proofErr w:type="gramStart"/>
      <w:r w:rsidRPr="007653D3">
        <w:rPr>
          <w:rFonts w:cs="Times New Roman"/>
        </w:rPr>
        <w:t xml:space="preserve">Anon., </w:t>
      </w:r>
      <w:r w:rsidRPr="007653D3">
        <w:rPr>
          <w:rFonts w:cs="Times New Roman"/>
          <w:i/>
        </w:rPr>
        <w:t>The Home Alphabet Book</w:t>
      </w:r>
      <w:r w:rsidRPr="007653D3">
        <w:rPr>
          <w:rFonts w:cs="Times New Roman"/>
        </w:rPr>
        <w:t xml:space="preserve"> (London: Dean, </w:t>
      </w:r>
      <w:r>
        <w:rPr>
          <w:rFonts w:cs="Times New Roman"/>
        </w:rPr>
        <w:t>[</w:t>
      </w:r>
      <w:r w:rsidRPr="007653D3">
        <w:rPr>
          <w:rFonts w:cs="Times New Roman"/>
        </w:rPr>
        <w:t>c. 1847</w:t>
      </w:r>
      <w:r>
        <w:rPr>
          <w:rFonts w:cs="Times New Roman"/>
        </w:rPr>
        <w:t>]</w:t>
      </w:r>
      <w:r w:rsidRPr="007653D3">
        <w:rPr>
          <w:rFonts w:cs="Times New Roman"/>
        </w:rPr>
        <w:t>), 10.</w:t>
      </w:r>
      <w:proofErr w:type="gramEnd"/>
    </w:p>
  </w:footnote>
  <w:footnote w:id="34">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Anon, </w:t>
      </w:r>
      <w:r w:rsidRPr="00A80ACD">
        <w:rPr>
          <w:rFonts w:cs="Times New Roman"/>
          <w:i/>
        </w:rPr>
        <w:t>Home Alphabet Book</w:t>
      </w:r>
      <w:r w:rsidRPr="007653D3">
        <w:rPr>
          <w:rFonts w:cs="Times New Roman"/>
        </w:rPr>
        <w:t>, 10</w:t>
      </w:r>
      <w:r>
        <w:rPr>
          <w:rFonts w:cs="Times New Roman"/>
        </w:rPr>
        <w:t>,</w:t>
      </w:r>
      <w:r w:rsidRPr="007653D3">
        <w:rPr>
          <w:rFonts w:cs="Times New Roman"/>
        </w:rPr>
        <w:t xml:space="preserve"> 11.</w:t>
      </w:r>
    </w:p>
  </w:footnote>
  <w:footnote w:id="35">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A80ACD">
        <w:rPr>
          <w:rFonts w:cs="Times New Roman"/>
        </w:rPr>
        <w:t xml:space="preserve"> </w:t>
      </w:r>
      <w:proofErr w:type="gramStart"/>
      <w:r w:rsidRPr="00A80ACD">
        <w:rPr>
          <w:rFonts w:cs="Times New Roman"/>
        </w:rPr>
        <w:t xml:space="preserve">Anon., </w:t>
      </w:r>
      <w:r w:rsidRPr="007653D3">
        <w:rPr>
          <w:rFonts w:cs="Times New Roman"/>
          <w:i/>
        </w:rPr>
        <w:t>Child’s New Alphabet</w:t>
      </w:r>
      <w:r w:rsidRPr="007653D3">
        <w:rPr>
          <w:rFonts w:cs="Times New Roman"/>
        </w:rPr>
        <w:t xml:space="preserve"> (Edinburgh: James Clarke, c. 1824), 2, 11.</w:t>
      </w:r>
      <w:proofErr w:type="gramEnd"/>
    </w:p>
  </w:footnote>
  <w:footnote w:id="36">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proofErr w:type="gramStart"/>
      <w:r w:rsidRPr="007653D3">
        <w:rPr>
          <w:rFonts w:cs="Times New Roman"/>
        </w:rPr>
        <w:t xml:space="preserve">Anon., </w:t>
      </w:r>
      <w:r w:rsidRPr="007653D3">
        <w:rPr>
          <w:rFonts w:cs="Times New Roman"/>
          <w:i/>
          <w:lang w:val="en-US"/>
        </w:rPr>
        <w:t>The Royal Alphabet</w:t>
      </w:r>
      <w:r w:rsidRPr="007653D3">
        <w:rPr>
          <w:rFonts w:cs="Times New Roman"/>
          <w:lang w:val="en-US"/>
        </w:rPr>
        <w:t xml:space="preserve"> (London: Joseph </w:t>
      </w:r>
      <w:proofErr w:type="spellStart"/>
      <w:r w:rsidRPr="007653D3">
        <w:rPr>
          <w:rFonts w:cs="Times New Roman"/>
          <w:lang w:val="en-US"/>
        </w:rPr>
        <w:t>Cundell</w:t>
      </w:r>
      <w:proofErr w:type="spellEnd"/>
      <w:r w:rsidRPr="007653D3">
        <w:rPr>
          <w:rFonts w:cs="Times New Roman"/>
          <w:lang w:val="en-US"/>
        </w:rPr>
        <w:t>, c. 1844).</w:t>
      </w:r>
      <w:proofErr w:type="gramEnd"/>
    </w:p>
  </w:footnote>
  <w:footnote w:id="37">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w:t>
      </w:r>
      <w:proofErr w:type="gramStart"/>
      <w:r w:rsidRPr="007653D3">
        <w:rPr>
          <w:rFonts w:cs="Times New Roman"/>
          <w:i/>
        </w:rPr>
        <w:t>Home Alphabet Book</w:t>
      </w:r>
      <w:r w:rsidRPr="007653D3">
        <w:rPr>
          <w:rFonts w:cs="Times New Roman"/>
        </w:rPr>
        <w:t>, 12.</w:t>
      </w:r>
      <w:proofErr w:type="gramEnd"/>
    </w:p>
  </w:footnote>
  <w:footnote w:id="38">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Schopenhauer, </w:t>
      </w:r>
      <w:r w:rsidRPr="00A80ACD">
        <w:rPr>
          <w:rFonts w:cs="Times New Roman"/>
          <w:i/>
        </w:rPr>
        <w:t>World as Will</w:t>
      </w:r>
      <w:r w:rsidRPr="007653D3">
        <w:rPr>
          <w:rFonts w:cs="Times New Roman"/>
        </w:rPr>
        <w:t xml:space="preserve">, </w:t>
      </w:r>
      <w:proofErr w:type="spellStart"/>
      <w:r w:rsidRPr="007653D3">
        <w:rPr>
          <w:rFonts w:cs="Times New Roman"/>
        </w:rPr>
        <w:t>i</w:t>
      </w:r>
      <w:proofErr w:type="spellEnd"/>
      <w:r w:rsidRPr="007653D3">
        <w:rPr>
          <w:rFonts w:cs="Times New Roman"/>
        </w:rPr>
        <w:t xml:space="preserve">. </w:t>
      </w:r>
      <w:r w:rsidRPr="007653D3">
        <w:rPr>
          <w:rFonts w:cs="Times New Roman"/>
          <w:lang w:val="en-US"/>
        </w:rPr>
        <w:t>39, 40.</w:t>
      </w:r>
    </w:p>
  </w:footnote>
  <w:footnote w:id="39">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Like the Aristotelian syllogism and the Hegelian dialectic, which it also resembles in its original three-line format, Lear’s limerick returns to the original terms of its premise with an enhanced understanding.</w:t>
      </w:r>
    </w:p>
  </w:footnote>
  <w:footnote w:id="40">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Hopkins, </w:t>
      </w:r>
      <w:r w:rsidRPr="007653D3">
        <w:rPr>
          <w:rFonts w:cs="Times New Roman"/>
          <w:i/>
          <w:iCs/>
          <w:lang w:val="en-US"/>
        </w:rPr>
        <w:t>Journals and Papers</w:t>
      </w:r>
      <w:r w:rsidRPr="007653D3">
        <w:rPr>
          <w:rFonts w:cs="Times New Roman"/>
          <w:iCs/>
          <w:lang w:val="en-US"/>
        </w:rPr>
        <w:t>,</w:t>
      </w:r>
      <w:r w:rsidRPr="007653D3">
        <w:rPr>
          <w:rFonts w:cs="Times New Roman"/>
        </w:rPr>
        <w:t xml:space="preserve"> 5.</w:t>
      </w:r>
    </w:p>
  </w:footnote>
  <w:footnote w:id="41">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7653D3">
        <w:rPr>
          <w:rFonts w:cs="Times New Roman"/>
        </w:rPr>
        <w:t xml:space="preserve"> While their content is determined formally by the rhyme scheme, the humour of limericks such as this harks back to the fashionable </w:t>
      </w:r>
      <w:proofErr w:type="spellStart"/>
      <w:r w:rsidRPr="007653D3">
        <w:rPr>
          <w:rFonts w:cs="Times New Roman"/>
          <w:i/>
        </w:rPr>
        <w:t>schadenfreude</w:t>
      </w:r>
      <w:proofErr w:type="spellEnd"/>
      <w:r w:rsidRPr="007653D3">
        <w:rPr>
          <w:rFonts w:cs="Times New Roman"/>
        </w:rPr>
        <w:t xml:space="preserve"> of the early part of the century, a verse counterpart to the much reprinted and imitated comic catalogue of trivial woes, </w:t>
      </w:r>
      <w:r w:rsidRPr="007653D3">
        <w:rPr>
          <w:rFonts w:cs="Times New Roman"/>
          <w:i/>
        </w:rPr>
        <w:t>More Miseries</w:t>
      </w:r>
      <w:proofErr w:type="gramStart"/>
      <w:r w:rsidRPr="007653D3">
        <w:rPr>
          <w:rFonts w:cs="Times New Roman"/>
          <w:i/>
        </w:rPr>
        <w:t>!!,</w:t>
      </w:r>
      <w:proofErr w:type="gramEnd"/>
      <w:r w:rsidRPr="007653D3">
        <w:rPr>
          <w:rFonts w:cs="Times New Roman"/>
          <w:i/>
        </w:rPr>
        <w:t xml:space="preserve"> by Sir Fretful Murmur</w:t>
      </w:r>
      <w:r w:rsidRPr="007653D3">
        <w:rPr>
          <w:rFonts w:cs="Times New Roman"/>
        </w:rPr>
        <w:t xml:space="preserve"> (London: H. D. Symonds, and Mathews and Leigh, 1806).</w:t>
      </w:r>
    </w:p>
    <w:p w:rsidR="000B4225" w:rsidRPr="007653D3" w:rsidRDefault="000B4225" w:rsidP="000B4225">
      <w:pPr>
        <w:pStyle w:val="FootnoteText"/>
        <w:contextualSpacing/>
        <w:rPr>
          <w:rFonts w:cs="Times New Roman"/>
        </w:rPr>
      </w:pPr>
    </w:p>
  </w:footnote>
  <w:footnote w:id="42">
    <w:p w:rsidR="000B4225" w:rsidRPr="007653D3" w:rsidRDefault="000B4225" w:rsidP="000B4225">
      <w:pPr>
        <w:pStyle w:val="FootnoteText"/>
        <w:contextualSpacing/>
        <w:rPr>
          <w:rFonts w:cs="Times New Roman"/>
        </w:rPr>
      </w:pPr>
      <w:r w:rsidRPr="007653D3">
        <w:rPr>
          <w:rStyle w:val="FootnoteReference"/>
          <w:rFonts w:cs="Times New Roman"/>
        </w:rPr>
        <w:footnoteRef/>
      </w:r>
      <w:r w:rsidRPr="00A80ACD">
        <w:rPr>
          <w:rFonts w:cs="Times New Roman"/>
        </w:rPr>
        <w:t xml:space="preserve">Anon., </w:t>
      </w:r>
      <w:r w:rsidRPr="007653D3">
        <w:rPr>
          <w:rFonts w:cs="Times New Roman"/>
          <w:i/>
        </w:rPr>
        <w:t>The Child’s Instructor, or Picture Alphabet</w:t>
      </w:r>
      <w:r w:rsidRPr="007653D3">
        <w:rPr>
          <w:rFonts w:cs="Times New Roman"/>
        </w:rPr>
        <w:t xml:space="preserve"> (Glasgow: </w:t>
      </w:r>
      <w:proofErr w:type="spellStart"/>
      <w:r w:rsidRPr="007653D3">
        <w:rPr>
          <w:rFonts w:cs="Times New Roman"/>
        </w:rPr>
        <w:t>Lumsden</w:t>
      </w:r>
      <w:proofErr w:type="spellEnd"/>
      <w:r w:rsidRPr="007653D3">
        <w:rPr>
          <w:rFonts w:cs="Times New Roman"/>
        </w:rPr>
        <w:t xml:space="preserve"> and Son, c. 1815); ‘The Common Whale,’ in Anon., </w:t>
      </w:r>
      <w:r w:rsidRPr="007653D3">
        <w:rPr>
          <w:rFonts w:cs="Times New Roman"/>
          <w:i/>
        </w:rPr>
        <w:t>The Ocean and its Inhabitants, with their Uses to Man</w:t>
      </w:r>
      <w:r w:rsidRPr="007653D3">
        <w:rPr>
          <w:rFonts w:cs="Times New Roman"/>
        </w:rPr>
        <w:t xml:space="preserve"> (London: </w:t>
      </w:r>
      <w:proofErr w:type="spellStart"/>
      <w:r w:rsidRPr="007653D3">
        <w:rPr>
          <w:rFonts w:cs="Times New Roman"/>
        </w:rPr>
        <w:t>Darton</w:t>
      </w:r>
      <w:proofErr w:type="spellEnd"/>
      <w:r w:rsidRPr="007653D3">
        <w:rPr>
          <w:rFonts w:cs="Times New Roman"/>
        </w:rPr>
        <w:t xml:space="preserve"> and Clark, [1845]), </w:t>
      </w:r>
      <w:proofErr w:type="spellStart"/>
      <w:r w:rsidRPr="007653D3">
        <w:rPr>
          <w:rFonts w:cs="Times New Roman"/>
        </w:rPr>
        <w:t>n.p</w:t>
      </w:r>
      <w:proofErr w:type="spellEnd"/>
      <w:r w:rsidRPr="007653D3">
        <w:rPr>
          <w:rFonts w:cs="Times New Roman"/>
        </w:rPr>
        <w:t>.</w:t>
      </w:r>
    </w:p>
  </w:footnote>
  <w:footnote w:id="43">
    <w:p w:rsidR="000B4225" w:rsidRPr="00AF7944" w:rsidRDefault="000B4225" w:rsidP="000B4225">
      <w:pPr>
        <w:contextualSpacing/>
        <w:jc w:val="both"/>
        <w:rPr>
          <w:rFonts w:cs="Times New Roman"/>
        </w:rPr>
      </w:pPr>
      <w:r w:rsidRPr="007653D3">
        <w:rPr>
          <w:rStyle w:val="FootnoteReference"/>
          <w:rFonts w:cs="Times New Roman"/>
        </w:rPr>
        <w:footnoteRef/>
      </w:r>
      <w:r w:rsidRPr="007653D3">
        <w:rPr>
          <w:rFonts w:cs="Times New Roman"/>
        </w:rPr>
        <w:t xml:space="preserve"> Samuel </w:t>
      </w:r>
      <w:r w:rsidRPr="007653D3">
        <w:rPr>
          <w:rFonts w:cs="Times New Roman"/>
          <w:lang w:val="en-US"/>
        </w:rPr>
        <w:t xml:space="preserve">Beckett, </w:t>
      </w:r>
      <w:r w:rsidRPr="007653D3">
        <w:rPr>
          <w:rFonts w:cs="Times New Roman"/>
          <w:i/>
          <w:lang w:val="en-US"/>
        </w:rPr>
        <w:t xml:space="preserve">The Unnamable </w:t>
      </w:r>
      <w:r w:rsidRPr="007653D3">
        <w:rPr>
          <w:rFonts w:cs="Times New Roman"/>
          <w:lang w:val="en-US"/>
        </w:rPr>
        <w:t xml:space="preserve">(London: Calder and </w:t>
      </w:r>
      <w:proofErr w:type="spellStart"/>
      <w:r w:rsidRPr="007653D3">
        <w:rPr>
          <w:rFonts w:cs="Times New Roman"/>
          <w:lang w:val="en-US"/>
        </w:rPr>
        <w:t>Boyers</w:t>
      </w:r>
      <w:proofErr w:type="spellEnd"/>
      <w:r w:rsidRPr="007653D3">
        <w:rPr>
          <w:rFonts w:cs="Times New Roman"/>
          <w:lang w:val="en-US"/>
        </w:rPr>
        <w:t>, 1975), 5</w:t>
      </w:r>
      <w:r w:rsidRPr="007653D3">
        <w:rPr>
          <w:rFonts w:cs="Times New Roman"/>
        </w:rPr>
        <w:t>2.</w:t>
      </w:r>
    </w:p>
  </w:footnote>
  <w:footnote w:id="44">
    <w:p w:rsidR="000B4225" w:rsidRPr="007653D3" w:rsidRDefault="000B4225" w:rsidP="000B4225">
      <w:pPr>
        <w:pStyle w:val="FootnoteText"/>
        <w:contextualSpacing/>
        <w:rPr>
          <w:rFonts w:cs="Times New Roman"/>
          <w:lang w:val="en-US"/>
        </w:rPr>
      </w:pPr>
      <w:r w:rsidRPr="007653D3">
        <w:rPr>
          <w:rStyle w:val="FootnoteReference"/>
          <w:rFonts w:cs="Times New Roman"/>
        </w:rPr>
        <w:footnoteRef/>
      </w:r>
      <w:r w:rsidRPr="007653D3">
        <w:rPr>
          <w:rFonts w:cs="Times New Roman"/>
        </w:rPr>
        <w:t xml:space="preserve"> </w:t>
      </w:r>
      <w:r w:rsidRPr="007653D3">
        <w:rPr>
          <w:rFonts w:cs="Times New Roman"/>
          <w:lang w:val="en-US"/>
        </w:rPr>
        <w:t xml:space="preserve">A subtle and engaging consideration of relations between form and nothing can be found threaded through Angela Leighton’s </w:t>
      </w:r>
      <w:r w:rsidRPr="007653D3">
        <w:rPr>
          <w:rFonts w:cs="Times New Roman"/>
          <w:i/>
          <w:lang w:val="en-US"/>
        </w:rPr>
        <w:t>On Form: Poetry, Aestheticism, and the Legacy of a Word</w:t>
      </w:r>
      <w:r w:rsidRPr="007653D3">
        <w:rPr>
          <w:rFonts w:cs="Times New Roman"/>
          <w:lang w:val="en-US"/>
        </w:rPr>
        <w:t xml:space="preserve"> (Oxford: Oxford University Press, 2007).</w:t>
      </w:r>
    </w:p>
    <w:p w:rsidR="000B4225" w:rsidRPr="007653D3" w:rsidRDefault="000B4225" w:rsidP="000B4225">
      <w:pPr>
        <w:pStyle w:val="FootnoteText"/>
        <w:contextualSpacing/>
        <w:rPr>
          <w:rFonts w:cs="Times New Roman"/>
          <w:lang w:val="en-US"/>
        </w:rPr>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094653"/>
      <w:docPartObj>
        <w:docPartGallery w:val="Page Numbers (Top of Page)"/>
        <w:docPartUnique/>
      </w:docPartObj>
    </w:sdtPr>
    <w:sdtEndPr>
      <w:rPr>
        <w:noProof/>
      </w:rPr>
    </w:sdtEndPr>
    <w:sdtContent>
      <w:p w:rsidR="00E72680" w:rsidRDefault="000B422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E72680" w:rsidRDefault="000B42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24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225"/>
    <w:rsid w:val="000B4225"/>
    <w:rsid w:val="008A35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B13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25"/>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4225"/>
  </w:style>
  <w:style w:type="character" w:customStyle="1" w:styleId="FootnoteTextChar">
    <w:name w:val="Footnote Text Char"/>
    <w:basedOn w:val="DefaultParagraphFont"/>
    <w:link w:val="FootnoteText"/>
    <w:uiPriority w:val="99"/>
    <w:rsid w:val="000B4225"/>
    <w:rPr>
      <w:rFonts w:ascii="Times New Roman" w:hAnsi="Times New Roman"/>
    </w:rPr>
  </w:style>
  <w:style w:type="character" w:styleId="FootnoteReference">
    <w:name w:val="footnote reference"/>
    <w:basedOn w:val="DefaultParagraphFont"/>
    <w:uiPriority w:val="99"/>
    <w:unhideWhenUsed/>
    <w:rsid w:val="000B4225"/>
    <w:rPr>
      <w:vertAlign w:val="superscript"/>
    </w:rPr>
  </w:style>
  <w:style w:type="character" w:styleId="CommentReference">
    <w:name w:val="annotation reference"/>
    <w:basedOn w:val="DefaultParagraphFont"/>
    <w:uiPriority w:val="99"/>
    <w:semiHidden/>
    <w:unhideWhenUsed/>
    <w:rsid w:val="000B4225"/>
    <w:rPr>
      <w:sz w:val="16"/>
      <w:szCs w:val="16"/>
    </w:rPr>
  </w:style>
  <w:style w:type="paragraph" w:styleId="Header">
    <w:name w:val="header"/>
    <w:basedOn w:val="Normal"/>
    <w:link w:val="HeaderChar"/>
    <w:uiPriority w:val="99"/>
    <w:unhideWhenUsed/>
    <w:rsid w:val="000B4225"/>
    <w:pPr>
      <w:tabs>
        <w:tab w:val="center" w:pos="4513"/>
        <w:tab w:val="right" w:pos="9026"/>
      </w:tabs>
    </w:pPr>
  </w:style>
  <w:style w:type="character" w:customStyle="1" w:styleId="HeaderChar">
    <w:name w:val="Header Char"/>
    <w:basedOn w:val="DefaultParagraphFont"/>
    <w:link w:val="Header"/>
    <w:uiPriority w:val="99"/>
    <w:rsid w:val="000B4225"/>
    <w:rPr>
      <w:rFonts w:ascii="Times New Roman" w:hAnsi="Times New Roman"/>
    </w:rPr>
  </w:style>
  <w:style w:type="paragraph" w:styleId="Footer">
    <w:name w:val="footer"/>
    <w:basedOn w:val="Normal"/>
    <w:link w:val="FooterChar"/>
    <w:uiPriority w:val="99"/>
    <w:unhideWhenUsed/>
    <w:rsid w:val="000B4225"/>
    <w:pPr>
      <w:tabs>
        <w:tab w:val="center" w:pos="4513"/>
        <w:tab w:val="right" w:pos="9026"/>
      </w:tabs>
    </w:pPr>
  </w:style>
  <w:style w:type="character" w:customStyle="1" w:styleId="FooterChar">
    <w:name w:val="Footer Char"/>
    <w:basedOn w:val="DefaultParagraphFont"/>
    <w:link w:val="Footer"/>
    <w:uiPriority w:val="99"/>
    <w:rsid w:val="000B4225"/>
    <w:rPr>
      <w:rFonts w:ascii="Times New Roman" w:hAnsi="Times New Roman"/>
    </w:rPr>
  </w:style>
  <w:style w:type="paragraph" w:styleId="PlainText">
    <w:name w:val="Plain Text"/>
    <w:basedOn w:val="Normal"/>
    <w:link w:val="PlainTextChar"/>
    <w:uiPriority w:val="99"/>
    <w:rsid w:val="000B4225"/>
    <w:pPr>
      <w:spacing w:line="240" w:lineRule="auto"/>
    </w:pPr>
    <w:rPr>
      <w:rFonts w:ascii="Courier" w:eastAsia="Times" w:hAnsi="Courier" w:cs="Times New Roman"/>
      <w:noProof/>
      <w:szCs w:val="20"/>
    </w:rPr>
  </w:style>
  <w:style w:type="character" w:customStyle="1" w:styleId="PlainTextChar">
    <w:name w:val="Plain Text Char"/>
    <w:basedOn w:val="DefaultParagraphFont"/>
    <w:link w:val="PlainText"/>
    <w:uiPriority w:val="99"/>
    <w:rsid w:val="000B4225"/>
    <w:rPr>
      <w:rFonts w:ascii="Courier" w:eastAsia="Times" w:hAnsi="Courier" w:cs="Times New Roman"/>
      <w:noProof/>
      <w:szCs w:val="20"/>
    </w:rPr>
  </w:style>
  <w:style w:type="character" w:styleId="PageNumber">
    <w:name w:val="page number"/>
    <w:basedOn w:val="DefaultParagraphFont"/>
    <w:uiPriority w:val="99"/>
    <w:semiHidden/>
    <w:unhideWhenUsed/>
    <w:rsid w:val="000B422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225"/>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B4225"/>
  </w:style>
  <w:style w:type="character" w:customStyle="1" w:styleId="FootnoteTextChar">
    <w:name w:val="Footnote Text Char"/>
    <w:basedOn w:val="DefaultParagraphFont"/>
    <w:link w:val="FootnoteText"/>
    <w:uiPriority w:val="99"/>
    <w:rsid w:val="000B4225"/>
    <w:rPr>
      <w:rFonts w:ascii="Times New Roman" w:hAnsi="Times New Roman"/>
    </w:rPr>
  </w:style>
  <w:style w:type="character" w:styleId="FootnoteReference">
    <w:name w:val="footnote reference"/>
    <w:basedOn w:val="DefaultParagraphFont"/>
    <w:uiPriority w:val="99"/>
    <w:unhideWhenUsed/>
    <w:rsid w:val="000B4225"/>
    <w:rPr>
      <w:vertAlign w:val="superscript"/>
    </w:rPr>
  </w:style>
  <w:style w:type="character" w:styleId="CommentReference">
    <w:name w:val="annotation reference"/>
    <w:basedOn w:val="DefaultParagraphFont"/>
    <w:uiPriority w:val="99"/>
    <w:semiHidden/>
    <w:unhideWhenUsed/>
    <w:rsid w:val="000B4225"/>
    <w:rPr>
      <w:sz w:val="16"/>
      <w:szCs w:val="16"/>
    </w:rPr>
  </w:style>
  <w:style w:type="paragraph" w:styleId="Header">
    <w:name w:val="header"/>
    <w:basedOn w:val="Normal"/>
    <w:link w:val="HeaderChar"/>
    <w:uiPriority w:val="99"/>
    <w:unhideWhenUsed/>
    <w:rsid w:val="000B4225"/>
    <w:pPr>
      <w:tabs>
        <w:tab w:val="center" w:pos="4513"/>
        <w:tab w:val="right" w:pos="9026"/>
      </w:tabs>
    </w:pPr>
  </w:style>
  <w:style w:type="character" w:customStyle="1" w:styleId="HeaderChar">
    <w:name w:val="Header Char"/>
    <w:basedOn w:val="DefaultParagraphFont"/>
    <w:link w:val="Header"/>
    <w:uiPriority w:val="99"/>
    <w:rsid w:val="000B4225"/>
    <w:rPr>
      <w:rFonts w:ascii="Times New Roman" w:hAnsi="Times New Roman"/>
    </w:rPr>
  </w:style>
  <w:style w:type="paragraph" w:styleId="Footer">
    <w:name w:val="footer"/>
    <w:basedOn w:val="Normal"/>
    <w:link w:val="FooterChar"/>
    <w:uiPriority w:val="99"/>
    <w:unhideWhenUsed/>
    <w:rsid w:val="000B4225"/>
    <w:pPr>
      <w:tabs>
        <w:tab w:val="center" w:pos="4513"/>
        <w:tab w:val="right" w:pos="9026"/>
      </w:tabs>
    </w:pPr>
  </w:style>
  <w:style w:type="character" w:customStyle="1" w:styleId="FooterChar">
    <w:name w:val="Footer Char"/>
    <w:basedOn w:val="DefaultParagraphFont"/>
    <w:link w:val="Footer"/>
    <w:uiPriority w:val="99"/>
    <w:rsid w:val="000B4225"/>
    <w:rPr>
      <w:rFonts w:ascii="Times New Roman" w:hAnsi="Times New Roman"/>
    </w:rPr>
  </w:style>
  <w:style w:type="paragraph" w:styleId="PlainText">
    <w:name w:val="Plain Text"/>
    <w:basedOn w:val="Normal"/>
    <w:link w:val="PlainTextChar"/>
    <w:uiPriority w:val="99"/>
    <w:rsid w:val="000B4225"/>
    <w:pPr>
      <w:spacing w:line="240" w:lineRule="auto"/>
    </w:pPr>
    <w:rPr>
      <w:rFonts w:ascii="Courier" w:eastAsia="Times" w:hAnsi="Courier" w:cs="Times New Roman"/>
      <w:noProof/>
      <w:szCs w:val="20"/>
    </w:rPr>
  </w:style>
  <w:style w:type="character" w:customStyle="1" w:styleId="PlainTextChar">
    <w:name w:val="Plain Text Char"/>
    <w:basedOn w:val="DefaultParagraphFont"/>
    <w:link w:val="PlainText"/>
    <w:uiPriority w:val="99"/>
    <w:rsid w:val="000B4225"/>
    <w:rPr>
      <w:rFonts w:ascii="Courier" w:eastAsia="Times" w:hAnsi="Courier" w:cs="Times New Roman"/>
      <w:noProof/>
      <w:szCs w:val="20"/>
    </w:rPr>
  </w:style>
  <w:style w:type="character" w:styleId="PageNumber">
    <w:name w:val="page number"/>
    <w:basedOn w:val="DefaultParagraphFont"/>
    <w:uiPriority w:val="99"/>
    <w:semiHidden/>
    <w:unhideWhenUsed/>
    <w:rsid w:val="000B4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gif"/><Relationship Id="rId10"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7701</Words>
  <Characters>43902</Characters>
  <Application>Microsoft Macintosh Word</Application>
  <DocSecurity>0</DocSecurity>
  <Lines>365</Lines>
  <Paragraphs>102</Paragraphs>
  <ScaleCrop>false</ScaleCrop>
  <Company>University of Southampton</Company>
  <LinksUpToDate>false</LinksUpToDate>
  <CharactersWithSpaces>51501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D</dc:creator>
  <cp:keywords/>
  <dc:description/>
  <cp:lastModifiedBy>Brown D</cp:lastModifiedBy>
  <cp:revision>1</cp:revision>
  <dcterms:created xsi:type="dcterms:W3CDTF">2016-06-22T20:23:00Z</dcterms:created>
  <dcterms:modified xsi:type="dcterms:W3CDTF">2016-06-22T20:25:00Z</dcterms:modified>
</cp:coreProperties>
</file>