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84C" w:rsidRPr="00297A95" w:rsidRDefault="00BD084C" w:rsidP="0085034D">
      <w:pPr>
        <w:pStyle w:val="NoSpacing"/>
        <w:spacing w:line="276" w:lineRule="auto"/>
        <w:jc w:val="center"/>
        <w:rPr>
          <w:rFonts w:ascii="Arial" w:hAnsi="Arial" w:cs="Arial"/>
          <w:b/>
          <w:sz w:val="24"/>
          <w:szCs w:val="24"/>
        </w:rPr>
      </w:pPr>
      <w:bookmarkStart w:id="0" w:name="_GoBack"/>
      <w:bookmarkEnd w:id="0"/>
      <w:r>
        <w:rPr>
          <w:rFonts w:ascii="Arial" w:hAnsi="Arial" w:cs="Arial"/>
          <w:b/>
          <w:sz w:val="24"/>
          <w:szCs w:val="24"/>
        </w:rPr>
        <w:t xml:space="preserve">UK </w:t>
      </w:r>
      <w:r w:rsidRPr="00297A95">
        <w:rPr>
          <w:rFonts w:ascii="Arial" w:hAnsi="Arial" w:cs="Arial"/>
          <w:b/>
          <w:sz w:val="24"/>
          <w:szCs w:val="24"/>
        </w:rPr>
        <w:t>guidelines for the management of Stevens-Johnson syndrome/toxic epidermal necrolysis</w:t>
      </w:r>
      <w:r>
        <w:rPr>
          <w:rFonts w:ascii="Arial" w:hAnsi="Arial" w:cs="Arial"/>
          <w:b/>
          <w:sz w:val="24"/>
          <w:szCs w:val="24"/>
        </w:rPr>
        <w:t xml:space="preserve"> in adults</w:t>
      </w:r>
      <w:r w:rsidRPr="00297A95">
        <w:rPr>
          <w:rFonts w:ascii="Arial" w:hAnsi="Arial" w:cs="Arial"/>
          <w:b/>
          <w:sz w:val="24"/>
          <w:szCs w:val="24"/>
        </w:rPr>
        <w:t xml:space="preserve"> 201</w:t>
      </w:r>
      <w:r w:rsidR="007A6547">
        <w:rPr>
          <w:rFonts w:ascii="Arial" w:hAnsi="Arial" w:cs="Arial"/>
          <w:b/>
          <w:sz w:val="24"/>
          <w:szCs w:val="24"/>
        </w:rPr>
        <w:t>6</w:t>
      </w:r>
    </w:p>
    <w:p w:rsidR="00BD084C" w:rsidRPr="00471835" w:rsidRDefault="00BD084C" w:rsidP="0085034D">
      <w:pPr>
        <w:pStyle w:val="NoSpacing"/>
        <w:spacing w:line="276" w:lineRule="auto"/>
        <w:jc w:val="both"/>
        <w:rPr>
          <w:rFonts w:ascii="Arial" w:hAnsi="Arial" w:cs="Arial"/>
          <w:b/>
          <w:sz w:val="16"/>
          <w:szCs w:val="16"/>
        </w:rPr>
      </w:pPr>
    </w:p>
    <w:p w:rsidR="00BD084C" w:rsidRPr="00297A95" w:rsidRDefault="00BD084C" w:rsidP="0085034D">
      <w:pPr>
        <w:pStyle w:val="NoSpacing"/>
        <w:spacing w:line="276" w:lineRule="auto"/>
        <w:jc w:val="center"/>
        <w:rPr>
          <w:rFonts w:ascii="Arial" w:hAnsi="Arial" w:cs="Arial"/>
          <w:vertAlign w:val="superscript"/>
        </w:rPr>
      </w:pPr>
      <w:r w:rsidRPr="00297A95">
        <w:rPr>
          <w:rFonts w:ascii="Arial" w:hAnsi="Arial" w:cs="Arial"/>
        </w:rPr>
        <w:t>D Creamer, S</w:t>
      </w:r>
      <w:r>
        <w:rPr>
          <w:rFonts w:ascii="Arial" w:hAnsi="Arial" w:cs="Arial"/>
        </w:rPr>
        <w:t>A</w:t>
      </w:r>
      <w:r w:rsidRPr="00297A95">
        <w:rPr>
          <w:rFonts w:ascii="Arial" w:hAnsi="Arial" w:cs="Arial"/>
        </w:rPr>
        <w:t xml:space="preserve"> Walsh, </w:t>
      </w:r>
      <w:r>
        <w:rPr>
          <w:rFonts w:ascii="Arial" w:hAnsi="Arial" w:cs="Arial"/>
        </w:rPr>
        <w:t xml:space="preserve">P </w:t>
      </w:r>
      <w:proofErr w:type="spellStart"/>
      <w:r>
        <w:rPr>
          <w:rFonts w:ascii="Arial" w:hAnsi="Arial" w:cs="Arial"/>
        </w:rPr>
        <w:t>Dziewulski</w:t>
      </w:r>
      <w:proofErr w:type="spellEnd"/>
      <w:r>
        <w:rPr>
          <w:rFonts w:ascii="Arial" w:hAnsi="Arial" w:cs="Arial"/>
        </w:rPr>
        <w:t>,</w:t>
      </w:r>
      <w:r w:rsidRPr="00297A95">
        <w:rPr>
          <w:rFonts w:ascii="Arial" w:hAnsi="Arial" w:cs="Arial"/>
          <w:vertAlign w:val="superscript"/>
        </w:rPr>
        <w:t>*</w:t>
      </w:r>
      <w:r>
        <w:rPr>
          <w:rFonts w:ascii="Arial" w:hAnsi="Arial" w:cs="Arial"/>
        </w:rPr>
        <w:t xml:space="preserve"> LS Exton,</w:t>
      </w:r>
      <w:r w:rsidRPr="00561437">
        <w:rPr>
          <w:rFonts w:ascii="Arial" w:hAnsi="Arial" w:cs="Arial"/>
          <w:vertAlign w:val="superscript"/>
        </w:rPr>
        <w:t>†</w:t>
      </w:r>
      <w:r>
        <w:rPr>
          <w:rFonts w:ascii="Arial" w:hAnsi="Arial" w:cs="Arial"/>
        </w:rPr>
        <w:t xml:space="preserve"> </w:t>
      </w:r>
      <w:r w:rsidRPr="00297A95">
        <w:rPr>
          <w:rFonts w:ascii="Arial" w:hAnsi="Arial" w:cs="Arial"/>
        </w:rPr>
        <w:t>HY Lee,</w:t>
      </w:r>
      <w:r w:rsidRPr="00297A95">
        <w:rPr>
          <w:rFonts w:ascii="Arial" w:hAnsi="Arial" w:cs="Arial"/>
          <w:vertAlign w:val="superscript"/>
        </w:rPr>
        <w:t>‡</w:t>
      </w:r>
      <w:r w:rsidRPr="00297A95">
        <w:rPr>
          <w:rFonts w:ascii="Arial" w:hAnsi="Arial" w:cs="Arial"/>
        </w:rPr>
        <w:t xml:space="preserve"> J</w:t>
      </w:r>
      <w:r>
        <w:rPr>
          <w:rFonts w:ascii="Arial" w:hAnsi="Arial" w:cs="Arial"/>
        </w:rPr>
        <w:t>KG</w:t>
      </w:r>
      <w:r w:rsidRPr="00297A95">
        <w:rPr>
          <w:rFonts w:ascii="Arial" w:hAnsi="Arial" w:cs="Arial"/>
        </w:rPr>
        <w:t xml:space="preserve"> Dart,</w:t>
      </w:r>
      <w:r w:rsidRPr="00561437">
        <w:rPr>
          <w:rFonts w:ascii="Arial" w:hAnsi="Arial" w:cs="Arial"/>
          <w:vertAlign w:val="superscript"/>
        </w:rPr>
        <w:t>§</w:t>
      </w:r>
      <w:r w:rsidRPr="00297A95">
        <w:rPr>
          <w:rFonts w:ascii="Arial" w:hAnsi="Arial" w:cs="Arial"/>
        </w:rPr>
        <w:t xml:space="preserve"> J Setterfield,</w:t>
      </w:r>
      <w:r w:rsidRPr="00297A95">
        <w:rPr>
          <w:rFonts w:ascii="Arial" w:hAnsi="Arial" w:cs="Arial"/>
          <w:vertAlign w:val="superscript"/>
        </w:rPr>
        <w:t>¶</w:t>
      </w:r>
      <w:r w:rsidRPr="00561437">
        <w:rPr>
          <w:rFonts w:ascii="Arial" w:hAnsi="Arial" w:cs="Arial"/>
          <w:vertAlign w:val="superscript"/>
        </w:rPr>
        <w:t xml:space="preserve"> </w:t>
      </w:r>
      <w:r>
        <w:rPr>
          <w:rFonts w:ascii="Arial" w:hAnsi="Arial" w:cs="Arial"/>
          <w:vertAlign w:val="superscript"/>
        </w:rPr>
        <w:t xml:space="preserve"> </w:t>
      </w:r>
      <w:r w:rsidRPr="00297A95">
        <w:rPr>
          <w:rFonts w:ascii="Arial" w:hAnsi="Arial" w:cs="Arial"/>
        </w:rPr>
        <w:t>C</w:t>
      </w:r>
      <w:r>
        <w:rPr>
          <w:rFonts w:ascii="Arial" w:hAnsi="Arial" w:cs="Arial"/>
        </w:rPr>
        <w:t>B</w:t>
      </w:r>
      <w:r w:rsidRPr="00297A95">
        <w:rPr>
          <w:rFonts w:ascii="Arial" w:hAnsi="Arial" w:cs="Arial"/>
        </w:rPr>
        <w:t xml:space="preserve"> Bunker</w:t>
      </w:r>
      <w:r>
        <w:rPr>
          <w:rFonts w:ascii="Arial" w:hAnsi="Arial" w:cs="Arial"/>
        </w:rPr>
        <w:t>,</w:t>
      </w:r>
      <w:r w:rsidRPr="003C6717">
        <w:rPr>
          <w:rFonts w:ascii="Arial" w:hAnsi="Arial" w:cs="Arial"/>
          <w:b/>
          <w:vertAlign w:val="superscript"/>
        </w:rPr>
        <w:t>∏</w:t>
      </w:r>
      <w:r w:rsidRPr="00297A95">
        <w:rPr>
          <w:rFonts w:ascii="Arial" w:hAnsi="Arial" w:cs="Arial"/>
          <w:vertAlign w:val="superscript"/>
        </w:rPr>
        <w:t xml:space="preserve"> </w:t>
      </w:r>
      <w:r w:rsidRPr="00297A95">
        <w:rPr>
          <w:rFonts w:ascii="Arial" w:hAnsi="Arial" w:cs="Arial"/>
        </w:rPr>
        <w:t>M</w:t>
      </w:r>
      <w:r>
        <w:rPr>
          <w:rFonts w:ascii="Arial" w:hAnsi="Arial" w:cs="Arial"/>
        </w:rPr>
        <w:t>R</w:t>
      </w:r>
      <w:r w:rsidRPr="00297A95">
        <w:rPr>
          <w:rFonts w:ascii="Arial" w:hAnsi="Arial" w:cs="Arial"/>
        </w:rPr>
        <w:t xml:space="preserve"> Arde</w:t>
      </w:r>
      <w:r>
        <w:rPr>
          <w:rFonts w:ascii="Arial" w:hAnsi="Arial" w:cs="Arial"/>
        </w:rPr>
        <w:t>r</w:t>
      </w:r>
      <w:r w:rsidRPr="00297A95">
        <w:rPr>
          <w:rFonts w:ascii="Arial" w:hAnsi="Arial" w:cs="Arial"/>
        </w:rPr>
        <w:t>n-Jones</w:t>
      </w:r>
      <w:r>
        <w:rPr>
          <w:rFonts w:ascii="Arial" w:hAnsi="Arial" w:cs="Arial"/>
        </w:rPr>
        <w:t>,</w:t>
      </w:r>
      <w:r w:rsidRPr="00297A95">
        <w:rPr>
          <w:rFonts w:ascii="Arial" w:hAnsi="Arial" w:cs="Arial"/>
          <w:vertAlign w:val="superscript"/>
        </w:rPr>
        <w:t>**</w:t>
      </w:r>
      <w:r w:rsidRPr="00297A95">
        <w:rPr>
          <w:rFonts w:ascii="Arial" w:hAnsi="Arial" w:cs="Arial"/>
        </w:rPr>
        <w:t xml:space="preserve"> K</w:t>
      </w:r>
      <w:r>
        <w:rPr>
          <w:rFonts w:ascii="Arial" w:hAnsi="Arial" w:cs="Arial"/>
        </w:rPr>
        <w:t>MT</w:t>
      </w:r>
      <w:r w:rsidRPr="00297A95">
        <w:rPr>
          <w:rFonts w:ascii="Arial" w:hAnsi="Arial" w:cs="Arial"/>
        </w:rPr>
        <w:t xml:space="preserve"> Watson,</w:t>
      </w:r>
      <w:r w:rsidRPr="00297A95">
        <w:rPr>
          <w:rFonts w:ascii="Arial" w:hAnsi="Arial" w:cs="Arial"/>
          <w:vertAlign w:val="superscript"/>
        </w:rPr>
        <w:t>††</w:t>
      </w:r>
      <w:r w:rsidRPr="00297A95">
        <w:rPr>
          <w:rFonts w:ascii="Arial" w:hAnsi="Arial" w:cs="Arial"/>
        </w:rPr>
        <w:t xml:space="preserve"> G</w:t>
      </w:r>
      <w:r>
        <w:rPr>
          <w:rFonts w:ascii="Arial" w:hAnsi="Arial" w:cs="Arial"/>
        </w:rPr>
        <w:t>AE</w:t>
      </w:r>
      <w:r w:rsidRPr="00297A95">
        <w:rPr>
          <w:rFonts w:ascii="Arial" w:hAnsi="Arial" w:cs="Arial"/>
        </w:rPr>
        <w:t xml:space="preserve"> Wong</w:t>
      </w:r>
      <w:r>
        <w:rPr>
          <w:rFonts w:ascii="Arial" w:hAnsi="Arial" w:cs="Arial"/>
        </w:rPr>
        <w:t>,</w:t>
      </w:r>
      <w:r w:rsidRPr="00297A95">
        <w:rPr>
          <w:rFonts w:ascii="Arial" w:hAnsi="Arial" w:cs="Arial"/>
          <w:vertAlign w:val="superscript"/>
        </w:rPr>
        <w:t>‡‡</w:t>
      </w:r>
      <w:r w:rsidRPr="00297A95">
        <w:rPr>
          <w:rFonts w:ascii="Arial" w:hAnsi="Arial" w:cs="Arial"/>
        </w:rPr>
        <w:t xml:space="preserve"> M </w:t>
      </w:r>
      <w:proofErr w:type="spellStart"/>
      <w:r w:rsidRPr="00297A95">
        <w:rPr>
          <w:rFonts w:ascii="Arial" w:hAnsi="Arial" w:cs="Arial"/>
        </w:rPr>
        <w:t>Philippidou</w:t>
      </w:r>
      <w:proofErr w:type="spellEnd"/>
      <w:r w:rsidRPr="00297A95">
        <w:rPr>
          <w:rFonts w:ascii="Arial" w:hAnsi="Arial" w:cs="Arial"/>
        </w:rPr>
        <w:t>,</w:t>
      </w:r>
      <w:r w:rsidRPr="00297A95">
        <w:rPr>
          <w:rFonts w:ascii="Arial" w:hAnsi="Arial" w:cs="Arial"/>
          <w:vertAlign w:val="superscript"/>
        </w:rPr>
        <w:t>§§</w:t>
      </w:r>
      <w:r w:rsidRPr="00297A95">
        <w:rPr>
          <w:rFonts w:ascii="Arial" w:hAnsi="Arial" w:cs="Arial"/>
        </w:rPr>
        <w:t xml:space="preserve"> A </w:t>
      </w:r>
      <w:proofErr w:type="spellStart"/>
      <w:r w:rsidRPr="00297A95">
        <w:rPr>
          <w:rFonts w:ascii="Arial" w:hAnsi="Arial" w:cs="Arial"/>
        </w:rPr>
        <w:t>Vercueil</w:t>
      </w:r>
      <w:proofErr w:type="spellEnd"/>
      <w:r w:rsidRPr="00297A95">
        <w:rPr>
          <w:rFonts w:ascii="Arial" w:hAnsi="Arial" w:cs="Arial"/>
        </w:rPr>
        <w:t>,</w:t>
      </w:r>
      <w:r w:rsidRPr="00297A95">
        <w:rPr>
          <w:rFonts w:ascii="Arial" w:hAnsi="Arial" w:cs="Arial"/>
          <w:vertAlign w:val="superscript"/>
        </w:rPr>
        <w:t xml:space="preserve">¶¶ </w:t>
      </w:r>
      <w:r w:rsidRPr="00297A95">
        <w:rPr>
          <w:rFonts w:ascii="Arial" w:hAnsi="Arial" w:cs="Arial"/>
        </w:rPr>
        <w:t xml:space="preserve"> </w:t>
      </w:r>
      <w:r>
        <w:rPr>
          <w:rFonts w:ascii="Arial" w:hAnsi="Arial" w:cs="Arial"/>
        </w:rPr>
        <w:t>RV Martin,</w:t>
      </w:r>
      <w:r w:rsidRPr="00297A95">
        <w:rPr>
          <w:rFonts w:ascii="Arial" w:hAnsi="Arial" w:cs="Arial"/>
          <w:vertAlign w:val="superscript"/>
        </w:rPr>
        <w:t>*</w:t>
      </w:r>
      <w:r>
        <w:rPr>
          <w:rFonts w:ascii="Arial" w:hAnsi="Arial" w:cs="Arial"/>
        </w:rPr>
        <w:t xml:space="preserve"> </w:t>
      </w:r>
      <w:r w:rsidRPr="00297A95">
        <w:rPr>
          <w:rFonts w:ascii="Arial" w:hAnsi="Arial" w:cs="Arial"/>
        </w:rPr>
        <w:t>G Williams,</w:t>
      </w:r>
      <w:r w:rsidRPr="003C6717">
        <w:rPr>
          <w:rFonts w:ascii="Arial" w:hAnsi="Arial" w:cs="Arial"/>
          <w:b/>
          <w:vertAlign w:val="superscript"/>
        </w:rPr>
        <w:t>∏∏</w:t>
      </w:r>
      <w:r w:rsidRPr="00297A95">
        <w:rPr>
          <w:rFonts w:ascii="Arial" w:hAnsi="Arial" w:cs="Arial"/>
        </w:rPr>
        <w:t xml:space="preserve"> </w:t>
      </w:r>
      <w:r>
        <w:rPr>
          <w:rFonts w:ascii="Arial" w:hAnsi="Arial" w:cs="Arial"/>
        </w:rPr>
        <w:t>M Shah,</w:t>
      </w:r>
      <w:r w:rsidRPr="007220C5">
        <w:rPr>
          <w:rFonts w:ascii="Arial" w:hAnsi="Arial" w:cs="Arial"/>
          <w:vertAlign w:val="superscript"/>
        </w:rPr>
        <w:t xml:space="preserve"> </w:t>
      </w:r>
      <w:r w:rsidRPr="00297A95">
        <w:rPr>
          <w:rFonts w:ascii="Arial" w:hAnsi="Arial" w:cs="Arial"/>
          <w:vertAlign w:val="superscript"/>
        </w:rPr>
        <w:t>**</w:t>
      </w:r>
      <w:r>
        <w:rPr>
          <w:rFonts w:ascii="Arial" w:hAnsi="Arial" w:cs="Arial"/>
          <w:vertAlign w:val="superscript"/>
        </w:rPr>
        <w:t>*</w:t>
      </w:r>
      <w:r>
        <w:rPr>
          <w:rFonts w:ascii="Arial" w:hAnsi="Arial" w:cs="Arial"/>
        </w:rPr>
        <w:t xml:space="preserve"> </w:t>
      </w:r>
      <w:r w:rsidRPr="00297A95">
        <w:rPr>
          <w:rFonts w:ascii="Arial" w:hAnsi="Arial" w:cs="Arial"/>
        </w:rPr>
        <w:t>D Brown</w:t>
      </w:r>
      <w:r>
        <w:rPr>
          <w:rFonts w:ascii="Arial" w:hAnsi="Arial" w:cs="Arial"/>
        </w:rPr>
        <w:t>,</w:t>
      </w:r>
      <w:r w:rsidRPr="00297A95">
        <w:rPr>
          <w:rFonts w:ascii="Arial" w:hAnsi="Arial" w:cs="Arial"/>
          <w:vertAlign w:val="superscript"/>
        </w:rPr>
        <w:t>††</w:t>
      </w:r>
      <w:r>
        <w:rPr>
          <w:rFonts w:ascii="Arial" w:hAnsi="Arial" w:cs="Arial"/>
          <w:vertAlign w:val="superscript"/>
        </w:rPr>
        <w:t>†</w:t>
      </w:r>
      <w:r w:rsidRPr="00297A95">
        <w:rPr>
          <w:rFonts w:ascii="Arial" w:hAnsi="Arial" w:cs="Arial"/>
          <w:vertAlign w:val="superscript"/>
        </w:rPr>
        <w:t xml:space="preserve"> </w:t>
      </w:r>
      <w:r w:rsidRPr="00297A95">
        <w:rPr>
          <w:rFonts w:ascii="Arial" w:hAnsi="Arial" w:cs="Arial"/>
        </w:rPr>
        <w:t xml:space="preserve"> P Williams</w:t>
      </w:r>
      <w:r>
        <w:rPr>
          <w:rFonts w:ascii="Arial" w:hAnsi="Arial" w:cs="Arial"/>
        </w:rPr>
        <w:t>,</w:t>
      </w:r>
      <w:r w:rsidRPr="00297A95">
        <w:rPr>
          <w:rFonts w:ascii="Arial" w:hAnsi="Arial" w:cs="Arial"/>
        </w:rPr>
        <w:t xml:space="preserve"> MF Mohd Mustapa,</w:t>
      </w:r>
      <w:r w:rsidRPr="00297A95">
        <w:rPr>
          <w:rFonts w:ascii="Arial" w:hAnsi="Arial" w:cs="Arial"/>
          <w:vertAlign w:val="superscript"/>
        </w:rPr>
        <w:t>†</w:t>
      </w:r>
      <w:r w:rsidRPr="002D1A04">
        <w:rPr>
          <w:rFonts w:ascii="Arial" w:hAnsi="Arial" w:cs="Arial"/>
          <w:vertAlign w:val="superscript"/>
        </w:rPr>
        <w:t xml:space="preserve"> </w:t>
      </w:r>
      <w:r w:rsidRPr="00297A95">
        <w:rPr>
          <w:rFonts w:ascii="Arial" w:hAnsi="Arial" w:cs="Arial"/>
        </w:rPr>
        <w:t xml:space="preserve"> CH Smith</w:t>
      </w:r>
      <w:r w:rsidRPr="00297A95">
        <w:rPr>
          <w:rFonts w:ascii="Arial" w:hAnsi="Arial" w:cs="Arial"/>
          <w:vertAlign w:val="superscript"/>
        </w:rPr>
        <w:t>††</w:t>
      </w:r>
      <w:r>
        <w:rPr>
          <w:rFonts w:ascii="Arial" w:hAnsi="Arial" w:cs="Arial"/>
          <w:vertAlign w:val="superscript"/>
        </w:rPr>
        <w:t xml:space="preserve">† </w:t>
      </w:r>
    </w:p>
    <w:p w:rsidR="00BD084C" w:rsidRPr="00DB2211" w:rsidRDefault="00BD084C" w:rsidP="0085034D">
      <w:pPr>
        <w:pStyle w:val="NoSpacing"/>
        <w:spacing w:line="276" w:lineRule="auto"/>
        <w:jc w:val="both"/>
        <w:rPr>
          <w:rFonts w:ascii="Arial" w:hAnsi="Arial" w:cs="Arial"/>
          <w:b/>
          <w:color w:val="00B0F0"/>
          <w:sz w:val="32"/>
          <w:szCs w:val="32"/>
        </w:rPr>
      </w:pPr>
      <w:r w:rsidRPr="00DB2211">
        <w:rPr>
          <w:rFonts w:ascii="Arial" w:hAnsi="Arial" w:cs="Arial"/>
          <w:b/>
          <w:color w:val="00B0F0"/>
          <w:sz w:val="32"/>
          <w:szCs w:val="32"/>
        </w:rPr>
        <w:t>_______________________</w:t>
      </w:r>
      <w:r>
        <w:rPr>
          <w:rFonts w:ascii="Arial" w:hAnsi="Arial" w:cs="Arial"/>
          <w:b/>
          <w:color w:val="00B0F0"/>
          <w:sz w:val="32"/>
          <w:szCs w:val="32"/>
        </w:rPr>
        <w:t>___________</w:t>
      </w:r>
      <w:r w:rsidRPr="00DB2211">
        <w:rPr>
          <w:rFonts w:ascii="Arial" w:hAnsi="Arial" w:cs="Arial"/>
          <w:b/>
          <w:color w:val="00B0F0"/>
          <w:sz w:val="32"/>
          <w:szCs w:val="32"/>
        </w:rPr>
        <w:t>________________</w:t>
      </w:r>
    </w:p>
    <w:p w:rsidR="00BD084C" w:rsidRDefault="00BD084C" w:rsidP="0085034D">
      <w:pPr>
        <w:pStyle w:val="NoSpacing"/>
        <w:jc w:val="both"/>
        <w:rPr>
          <w:rFonts w:ascii="Arial" w:hAnsi="Arial" w:cs="Arial"/>
        </w:rPr>
      </w:pPr>
      <w:r>
        <w:rPr>
          <w:rFonts w:ascii="Arial" w:hAnsi="Arial" w:cs="Arial"/>
        </w:rPr>
        <w:t xml:space="preserve">Department of Dermatology, </w:t>
      </w:r>
      <w:r w:rsidRPr="00297A95">
        <w:rPr>
          <w:rFonts w:ascii="Arial" w:hAnsi="Arial" w:cs="Arial"/>
        </w:rPr>
        <w:t xml:space="preserve">King’s College Hospital NHS Foundation Trust, London, SE5 9RS; </w:t>
      </w:r>
      <w:r w:rsidRPr="00297A95">
        <w:rPr>
          <w:rFonts w:ascii="Arial" w:hAnsi="Arial" w:cs="Arial"/>
          <w:vertAlign w:val="superscript"/>
        </w:rPr>
        <w:t>*</w:t>
      </w:r>
      <w:r w:rsidRPr="00DA62D1">
        <w:rPr>
          <w:rFonts w:ascii="Arial" w:hAnsi="Arial" w:cs="Arial"/>
        </w:rPr>
        <w:t>St Andrews Centre for Plastic Surgery and Burns</w:t>
      </w:r>
      <w:r>
        <w:rPr>
          <w:rFonts w:ascii="Arial" w:hAnsi="Arial" w:cs="Arial"/>
        </w:rPr>
        <w:t xml:space="preserve">, </w:t>
      </w:r>
      <w:r w:rsidRPr="00AD0A7A">
        <w:rPr>
          <w:rFonts w:ascii="Arial" w:hAnsi="Arial" w:cs="Arial"/>
        </w:rPr>
        <w:t>Mid Essex Hospital Services NHS Trust</w:t>
      </w:r>
      <w:r>
        <w:rPr>
          <w:rFonts w:ascii="Arial" w:hAnsi="Arial" w:cs="Arial"/>
        </w:rPr>
        <w:t xml:space="preserve">, </w:t>
      </w:r>
      <w:r w:rsidRPr="00AD0A7A">
        <w:rPr>
          <w:rFonts w:ascii="Arial" w:hAnsi="Arial" w:cs="Arial"/>
        </w:rPr>
        <w:t>Chelmsford</w:t>
      </w:r>
      <w:r>
        <w:rPr>
          <w:rFonts w:ascii="Arial" w:hAnsi="Arial" w:cs="Arial"/>
        </w:rPr>
        <w:t xml:space="preserve">, </w:t>
      </w:r>
      <w:r w:rsidRPr="00DA62D1">
        <w:rPr>
          <w:rFonts w:ascii="Arial" w:hAnsi="Arial" w:cs="Arial"/>
        </w:rPr>
        <w:t>CM1 7ET</w:t>
      </w:r>
      <w:r>
        <w:rPr>
          <w:rFonts w:ascii="Arial" w:hAnsi="Arial" w:cs="Arial"/>
        </w:rPr>
        <w:t xml:space="preserve">; </w:t>
      </w:r>
      <w:r w:rsidRPr="00DA62D1">
        <w:t xml:space="preserve"> </w:t>
      </w:r>
      <w:r w:rsidRPr="00297A95">
        <w:rPr>
          <w:rFonts w:ascii="Arial" w:hAnsi="Arial" w:cs="Arial"/>
          <w:vertAlign w:val="superscript"/>
        </w:rPr>
        <w:t>†</w:t>
      </w:r>
      <w:r w:rsidRPr="00297A95">
        <w:rPr>
          <w:rFonts w:ascii="Arial" w:hAnsi="Arial" w:cs="Arial"/>
        </w:rPr>
        <w:t xml:space="preserve">British Association of Dermatologists, </w:t>
      </w:r>
      <w:proofErr w:type="spellStart"/>
      <w:r w:rsidRPr="00297A95">
        <w:rPr>
          <w:rFonts w:ascii="Arial" w:hAnsi="Arial" w:cs="Arial"/>
        </w:rPr>
        <w:t>Willan</w:t>
      </w:r>
      <w:proofErr w:type="spellEnd"/>
      <w:r w:rsidRPr="00297A95">
        <w:rPr>
          <w:rFonts w:ascii="Arial" w:hAnsi="Arial" w:cs="Arial"/>
        </w:rPr>
        <w:t xml:space="preserve"> House, 4 Fitzroy Square, London, W1T 5HQ</w:t>
      </w:r>
      <w:r>
        <w:rPr>
          <w:rFonts w:ascii="Arial" w:hAnsi="Arial" w:cs="Arial"/>
        </w:rPr>
        <w:t xml:space="preserve">; </w:t>
      </w:r>
      <w:r w:rsidRPr="00297A95">
        <w:rPr>
          <w:rFonts w:ascii="Arial" w:hAnsi="Arial" w:cs="Arial"/>
          <w:vertAlign w:val="superscript"/>
        </w:rPr>
        <w:t>‡</w:t>
      </w:r>
      <w:r w:rsidRPr="00561437">
        <w:rPr>
          <w:rFonts w:ascii="Arial" w:hAnsi="Arial" w:cs="Arial"/>
        </w:rPr>
        <w:t>Dermatology Unit, Singapore General Hospital, Singapore;</w:t>
      </w:r>
      <w:r>
        <w:rPr>
          <w:rFonts w:ascii="Arial" w:hAnsi="Arial" w:cs="Arial"/>
          <w:vertAlign w:val="superscript"/>
        </w:rPr>
        <w:t xml:space="preserve"> </w:t>
      </w:r>
      <w:r w:rsidRPr="00561437">
        <w:rPr>
          <w:rFonts w:ascii="Arial" w:hAnsi="Arial" w:cs="Arial"/>
          <w:vertAlign w:val="superscript"/>
        </w:rPr>
        <w:t>§</w:t>
      </w:r>
      <w:r w:rsidRPr="00297A95">
        <w:rPr>
          <w:rFonts w:ascii="Arial" w:hAnsi="Arial" w:cs="Arial"/>
        </w:rPr>
        <w:t xml:space="preserve">Moorfields Eye Hospital, 162 City Road, London, EC1V 2PD; </w:t>
      </w:r>
      <w:r w:rsidRPr="00297A95">
        <w:rPr>
          <w:rFonts w:ascii="Arial" w:hAnsi="Arial" w:cs="Arial"/>
          <w:vertAlign w:val="superscript"/>
        </w:rPr>
        <w:t>¶</w:t>
      </w:r>
      <w:r w:rsidRPr="003E3387">
        <w:rPr>
          <w:rFonts w:ascii="Arial" w:hAnsi="Arial" w:cs="Arial"/>
        </w:rPr>
        <w:t>Mucosa and Salivary Biology, Dental Institute, King’s College London, Guy’s Campus, Great Maze Pond, London, SE1 9RT</w:t>
      </w:r>
      <w:r w:rsidRPr="00297A95">
        <w:rPr>
          <w:rStyle w:val="apple-style-span"/>
          <w:rFonts w:ascii="Arial" w:hAnsi="Arial" w:cs="Arial"/>
        </w:rPr>
        <w:t xml:space="preserve">; </w:t>
      </w:r>
      <w:r w:rsidRPr="003C6717">
        <w:rPr>
          <w:rFonts w:ascii="Arial" w:hAnsi="Arial" w:cs="Arial"/>
          <w:b/>
          <w:vertAlign w:val="superscript"/>
        </w:rPr>
        <w:t>∏</w:t>
      </w:r>
      <w:r w:rsidRPr="00297A95">
        <w:rPr>
          <w:rFonts w:ascii="Arial" w:hAnsi="Arial" w:cs="Arial"/>
        </w:rPr>
        <w:t xml:space="preserve">University College Hospital, London, NW1 2BU; </w:t>
      </w:r>
      <w:r w:rsidRPr="00297A95">
        <w:rPr>
          <w:rFonts w:ascii="Arial" w:hAnsi="Arial" w:cs="Arial"/>
          <w:vertAlign w:val="superscript"/>
        </w:rPr>
        <w:t>**</w:t>
      </w:r>
      <w:r>
        <w:rPr>
          <w:rFonts w:ascii="Arial" w:hAnsi="Arial" w:cs="Arial"/>
        </w:rPr>
        <w:t xml:space="preserve">Clinical Experimental Sciences, Faculty of Medicine, </w:t>
      </w:r>
      <w:r w:rsidRPr="00297A95">
        <w:rPr>
          <w:rFonts w:ascii="Arial" w:hAnsi="Arial" w:cs="Arial"/>
        </w:rPr>
        <w:t>University of Southampton, Southampton</w:t>
      </w:r>
      <w:r>
        <w:rPr>
          <w:rFonts w:ascii="Arial" w:hAnsi="Arial" w:cs="Arial"/>
        </w:rPr>
        <w:t xml:space="preserve"> General Hospital, Southampton, </w:t>
      </w:r>
      <w:r w:rsidRPr="00297A95">
        <w:rPr>
          <w:rFonts w:ascii="Arial" w:hAnsi="Arial" w:cs="Arial"/>
        </w:rPr>
        <w:t>SO16 6YD;</w:t>
      </w:r>
      <w:r>
        <w:rPr>
          <w:rFonts w:ascii="Arial" w:hAnsi="Arial" w:cs="Arial"/>
        </w:rPr>
        <w:t xml:space="preserve"> </w:t>
      </w:r>
      <w:r w:rsidRPr="00297A95">
        <w:rPr>
          <w:rFonts w:ascii="Arial" w:hAnsi="Arial" w:cs="Arial"/>
          <w:vertAlign w:val="superscript"/>
        </w:rPr>
        <w:t>††</w:t>
      </w:r>
      <w:r>
        <w:rPr>
          <w:rFonts w:ascii="Arial" w:hAnsi="Arial" w:cs="Arial"/>
        </w:rPr>
        <w:t xml:space="preserve">Department of Dermatology, </w:t>
      </w:r>
      <w:r w:rsidRPr="00297A95">
        <w:rPr>
          <w:rFonts w:ascii="Arial" w:hAnsi="Arial" w:cs="Arial"/>
        </w:rPr>
        <w:t xml:space="preserve">Orpington Hospital,  Orpington, Kent, BR6 9JU; </w:t>
      </w:r>
      <w:r w:rsidRPr="00297A95">
        <w:rPr>
          <w:rFonts w:ascii="Arial" w:hAnsi="Arial" w:cs="Arial"/>
          <w:vertAlign w:val="superscript"/>
        </w:rPr>
        <w:t>‡‡</w:t>
      </w:r>
      <w:r>
        <w:rPr>
          <w:rFonts w:ascii="Arial" w:hAnsi="Arial" w:cs="Arial"/>
        </w:rPr>
        <w:t>Department of Dermatology, University Hospital of South Manchester NHS Foundation Trust,</w:t>
      </w:r>
      <w:r w:rsidRPr="00297A95">
        <w:rPr>
          <w:rFonts w:ascii="Arial" w:hAnsi="Arial" w:cs="Arial"/>
        </w:rPr>
        <w:t xml:space="preserve"> Manchester, M23 9LT;</w:t>
      </w:r>
      <w:r>
        <w:rPr>
          <w:rFonts w:ascii="Arial" w:hAnsi="Arial" w:cs="Arial"/>
        </w:rPr>
        <w:t xml:space="preserve"> </w:t>
      </w:r>
      <w:r w:rsidRPr="00297A95">
        <w:rPr>
          <w:rFonts w:ascii="Arial" w:hAnsi="Arial" w:cs="Arial"/>
          <w:vertAlign w:val="superscript"/>
        </w:rPr>
        <w:t>§§</w:t>
      </w:r>
      <w:r>
        <w:rPr>
          <w:rFonts w:ascii="Arial" w:hAnsi="Arial" w:cs="Arial"/>
        </w:rPr>
        <w:t xml:space="preserve">Department of Histopathology, King’s College Hospital NHS Foundation Trust, London, SE5 9RS; </w:t>
      </w:r>
      <w:r w:rsidRPr="00297A95">
        <w:rPr>
          <w:rFonts w:ascii="Arial" w:hAnsi="Arial" w:cs="Arial"/>
          <w:vertAlign w:val="superscript"/>
        </w:rPr>
        <w:t>¶¶</w:t>
      </w:r>
      <w:r>
        <w:rPr>
          <w:rFonts w:ascii="Arial" w:hAnsi="Arial" w:cs="Arial"/>
        </w:rPr>
        <w:t>Intensive Care Medicine, King’s College Hospital NHS Foundation Trust, London, SE5 9RS</w:t>
      </w:r>
      <w:r w:rsidRPr="00297A95">
        <w:rPr>
          <w:rFonts w:ascii="Arial" w:hAnsi="Arial" w:cs="Arial"/>
        </w:rPr>
        <w:t>;</w:t>
      </w:r>
      <w:r>
        <w:rPr>
          <w:rFonts w:ascii="Arial" w:hAnsi="Arial" w:cs="Arial"/>
        </w:rPr>
        <w:t xml:space="preserve"> </w:t>
      </w:r>
      <w:r w:rsidRPr="003C6717">
        <w:rPr>
          <w:rFonts w:ascii="Arial" w:hAnsi="Arial" w:cs="Arial"/>
          <w:b/>
          <w:vertAlign w:val="superscript"/>
        </w:rPr>
        <w:t>∏∏</w:t>
      </w:r>
      <w:r w:rsidRPr="00FC3C23">
        <w:rPr>
          <w:rFonts w:ascii="Arial" w:hAnsi="Arial" w:cs="Arial"/>
        </w:rPr>
        <w:t>late of</w:t>
      </w:r>
      <w:r>
        <w:rPr>
          <w:rFonts w:ascii="Arial" w:hAnsi="Arial" w:cs="Arial"/>
        </w:rPr>
        <w:t xml:space="preserve"> the</w:t>
      </w:r>
      <w:r>
        <w:rPr>
          <w:rFonts w:ascii="Arial" w:hAnsi="Arial" w:cs="Arial"/>
          <w:vertAlign w:val="superscript"/>
        </w:rPr>
        <w:t xml:space="preserve"> </w:t>
      </w:r>
      <w:r>
        <w:rPr>
          <w:rFonts w:ascii="Arial" w:hAnsi="Arial" w:cs="Arial"/>
        </w:rPr>
        <w:t xml:space="preserve">Burns Centre, Chelsea and Westminster NHS Foundation Trust, London, SW10 9NH; </w:t>
      </w:r>
      <w:r w:rsidRPr="00297A95">
        <w:rPr>
          <w:rFonts w:ascii="Arial" w:hAnsi="Arial" w:cs="Arial"/>
          <w:vertAlign w:val="superscript"/>
        </w:rPr>
        <w:t>**</w:t>
      </w:r>
      <w:r>
        <w:rPr>
          <w:rFonts w:ascii="Arial" w:hAnsi="Arial" w:cs="Arial"/>
          <w:vertAlign w:val="superscript"/>
        </w:rPr>
        <w:t>*</w:t>
      </w:r>
      <w:r w:rsidRPr="004E2C8C">
        <w:rPr>
          <w:rFonts w:ascii="Arial" w:hAnsi="Arial" w:cs="Arial"/>
        </w:rPr>
        <w:t>Department of Burns</w:t>
      </w:r>
      <w:r>
        <w:rPr>
          <w:rFonts w:ascii="Arial" w:hAnsi="Arial" w:cs="Arial"/>
        </w:rPr>
        <w:t xml:space="preserve"> and Plastic Surgery,</w:t>
      </w:r>
      <w:r w:rsidRPr="00DA62D1">
        <w:rPr>
          <w:rFonts w:ascii="Arial" w:hAnsi="Arial" w:cs="Arial"/>
        </w:rPr>
        <w:t xml:space="preserve"> University </w:t>
      </w:r>
      <w:r>
        <w:rPr>
          <w:rFonts w:ascii="Arial" w:hAnsi="Arial" w:cs="Arial"/>
        </w:rPr>
        <w:t xml:space="preserve">Hospitals </w:t>
      </w:r>
      <w:r w:rsidRPr="00DA62D1">
        <w:rPr>
          <w:rFonts w:ascii="Arial" w:hAnsi="Arial" w:cs="Arial"/>
        </w:rPr>
        <w:t xml:space="preserve">of </w:t>
      </w:r>
      <w:r>
        <w:rPr>
          <w:rFonts w:ascii="Arial" w:hAnsi="Arial" w:cs="Arial"/>
        </w:rPr>
        <w:t xml:space="preserve">South </w:t>
      </w:r>
      <w:r w:rsidRPr="00DA62D1">
        <w:rPr>
          <w:rFonts w:ascii="Arial" w:hAnsi="Arial" w:cs="Arial"/>
        </w:rPr>
        <w:t>Manchester</w:t>
      </w:r>
      <w:r>
        <w:rPr>
          <w:rFonts w:ascii="Arial" w:hAnsi="Arial" w:cs="Arial"/>
        </w:rPr>
        <w:t xml:space="preserve">, </w:t>
      </w:r>
      <w:proofErr w:type="spellStart"/>
      <w:r>
        <w:rPr>
          <w:rFonts w:ascii="Arial" w:hAnsi="Arial" w:cs="Arial"/>
        </w:rPr>
        <w:t>Southmoor</w:t>
      </w:r>
      <w:proofErr w:type="spellEnd"/>
      <w:r w:rsidRPr="00DA62D1">
        <w:rPr>
          <w:rFonts w:ascii="Arial" w:hAnsi="Arial" w:cs="Arial"/>
        </w:rPr>
        <w:t xml:space="preserve"> Road, </w:t>
      </w:r>
      <w:r>
        <w:rPr>
          <w:rFonts w:ascii="Arial" w:hAnsi="Arial" w:cs="Arial"/>
        </w:rPr>
        <w:t xml:space="preserve">Wythenshawe, </w:t>
      </w:r>
      <w:r w:rsidRPr="00DA62D1">
        <w:rPr>
          <w:rFonts w:ascii="Arial" w:hAnsi="Arial" w:cs="Arial"/>
        </w:rPr>
        <w:t>Manchester</w:t>
      </w:r>
      <w:r>
        <w:rPr>
          <w:rFonts w:ascii="Arial" w:hAnsi="Arial" w:cs="Arial"/>
        </w:rPr>
        <w:t>,</w:t>
      </w:r>
      <w:r w:rsidRPr="00DA62D1">
        <w:rPr>
          <w:rFonts w:ascii="Arial" w:hAnsi="Arial" w:cs="Arial"/>
        </w:rPr>
        <w:t xml:space="preserve"> M</w:t>
      </w:r>
      <w:r>
        <w:rPr>
          <w:rFonts w:ascii="Arial" w:hAnsi="Arial" w:cs="Arial"/>
        </w:rPr>
        <w:t>2</w:t>
      </w:r>
      <w:r w:rsidRPr="00DA62D1">
        <w:rPr>
          <w:rFonts w:ascii="Arial" w:hAnsi="Arial" w:cs="Arial"/>
        </w:rPr>
        <w:t>3 9</w:t>
      </w:r>
      <w:r>
        <w:rPr>
          <w:rFonts w:ascii="Arial" w:hAnsi="Arial" w:cs="Arial"/>
        </w:rPr>
        <w:t xml:space="preserve">LT; </w:t>
      </w:r>
      <w:r w:rsidRPr="00297A95">
        <w:rPr>
          <w:rFonts w:ascii="Arial" w:hAnsi="Arial" w:cs="Arial"/>
          <w:vertAlign w:val="superscript"/>
        </w:rPr>
        <w:t>††</w:t>
      </w:r>
      <w:r>
        <w:rPr>
          <w:rFonts w:ascii="Arial" w:hAnsi="Arial" w:cs="Arial"/>
          <w:vertAlign w:val="superscript"/>
        </w:rPr>
        <w:t>†</w:t>
      </w:r>
      <w:r>
        <w:rPr>
          <w:rFonts w:ascii="Arial" w:hAnsi="Arial" w:cs="Arial"/>
        </w:rPr>
        <w:t xml:space="preserve">St John’s Institute of Dermatology, </w:t>
      </w:r>
      <w:r w:rsidRPr="00297A95">
        <w:rPr>
          <w:rFonts w:ascii="Arial" w:hAnsi="Arial" w:cs="Arial"/>
        </w:rPr>
        <w:t xml:space="preserve">Guy’s and St Thomas NHS Foundation Trust, London, SE1 9RT; </w:t>
      </w:r>
    </w:p>
    <w:p w:rsidR="00BD084C" w:rsidRPr="00471835" w:rsidRDefault="00BD084C" w:rsidP="0085034D">
      <w:pPr>
        <w:pStyle w:val="NoSpacing"/>
        <w:spacing w:line="276" w:lineRule="auto"/>
        <w:jc w:val="both"/>
        <w:rPr>
          <w:rFonts w:ascii="Arial" w:hAnsi="Arial" w:cs="Arial"/>
          <w:sz w:val="16"/>
          <w:szCs w:val="16"/>
        </w:rPr>
      </w:pPr>
    </w:p>
    <w:p w:rsidR="00BD084C" w:rsidRDefault="00BD084C" w:rsidP="0085034D">
      <w:pPr>
        <w:pStyle w:val="NoSpacing"/>
        <w:spacing w:line="276" w:lineRule="auto"/>
        <w:jc w:val="center"/>
        <w:rPr>
          <w:rFonts w:ascii="Arial" w:hAnsi="Arial" w:cs="Arial"/>
          <w:b/>
        </w:rPr>
      </w:pPr>
      <w:r w:rsidRPr="00297A95">
        <w:rPr>
          <w:rFonts w:ascii="Arial" w:hAnsi="Arial" w:cs="Arial"/>
          <w:b/>
        </w:rPr>
        <w:t>Corresponding author:</w:t>
      </w:r>
      <w:r>
        <w:rPr>
          <w:rFonts w:ascii="Arial" w:hAnsi="Arial" w:cs="Arial"/>
          <w:b/>
        </w:rPr>
        <w:t xml:space="preserve"> </w:t>
      </w:r>
      <w:r w:rsidRPr="0094220F">
        <w:rPr>
          <w:rFonts w:ascii="Arial" w:hAnsi="Arial" w:cs="Arial"/>
        </w:rPr>
        <w:t>Daniel Creamer,</w:t>
      </w:r>
      <w:r>
        <w:rPr>
          <w:rFonts w:ascii="Arial" w:hAnsi="Arial" w:cs="Arial"/>
          <w:b/>
        </w:rPr>
        <w:t xml:space="preserve"> </w:t>
      </w:r>
      <w:hyperlink r:id="rId8" w:history="1">
        <w:r w:rsidRPr="004D4A1D">
          <w:rPr>
            <w:rStyle w:val="Hyperlink"/>
            <w:rFonts w:ascii="Arial" w:hAnsi="Arial" w:cs="Arial"/>
          </w:rPr>
          <w:t>daniel.creamer@nhs.net</w:t>
        </w:r>
      </w:hyperlink>
      <w:r w:rsidRPr="00E57FC8">
        <w:rPr>
          <w:rFonts w:ascii="Arial" w:hAnsi="Arial" w:cs="Arial"/>
        </w:rPr>
        <w:t xml:space="preserve">; </w:t>
      </w:r>
      <w:hyperlink r:id="rId9" w:history="1">
        <w:r w:rsidRPr="004D4A1D">
          <w:rPr>
            <w:rStyle w:val="Hyperlink"/>
            <w:rFonts w:ascii="Arial" w:hAnsi="Arial" w:cs="Arial"/>
          </w:rPr>
          <w:t>guidelines@bad.org.uk</w:t>
        </w:r>
      </w:hyperlink>
      <w:r>
        <w:rPr>
          <w:rFonts w:ascii="Arial" w:hAnsi="Arial" w:cs="Arial"/>
        </w:rPr>
        <w:t xml:space="preserve"> </w:t>
      </w:r>
    </w:p>
    <w:p w:rsidR="00BD084C" w:rsidRPr="00471835" w:rsidRDefault="00BD084C" w:rsidP="0085034D">
      <w:pPr>
        <w:pStyle w:val="NoSpacing"/>
        <w:spacing w:line="276" w:lineRule="auto"/>
        <w:jc w:val="both"/>
        <w:rPr>
          <w:rFonts w:ascii="Arial" w:hAnsi="Arial" w:cs="Arial"/>
          <w:sz w:val="16"/>
          <w:szCs w:val="16"/>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DC, S</w:t>
      </w:r>
      <w:r>
        <w:rPr>
          <w:rFonts w:ascii="Arial" w:hAnsi="Arial" w:cs="Arial"/>
        </w:rPr>
        <w:t>A</w:t>
      </w:r>
      <w:r w:rsidRPr="00297A95">
        <w:rPr>
          <w:rFonts w:ascii="Arial" w:hAnsi="Arial" w:cs="Arial"/>
        </w:rPr>
        <w:t xml:space="preserve">W, </w:t>
      </w:r>
      <w:r>
        <w:rPr>
          <w:rFonts w:ascii="Arial" w:hAnsi="Arial" w:cs="Arial"/>
        </w:rPr>
        <w:t xml:space="preserve">PD, </w:t>
      </w:r>
      <w:r w:rsidRPr="00297A95">
        <w:rPr>
          <w:rFonts w:ascii="Arial" w:hAnsi="Arial" w:cs="Arial"/>
        </w:rPr>
        <w:t>HYL, J</w:t>
      </w:r>
      <w:r>
        <w:rPr>
          <w:rFonts w:ascii="Arial" w:hAnsi="Arial" w:cs="Arial"/>
        </w:rPr>
        <w:t>KG</w:t>
      </w:r>
      <w:r w:rsidRPr="00297A95">
        <w:rPr>
          <w:rFonts w:ascii="Arial" w:hAnsi="Arial" w:cs="Arial"/>
        </w:rPr>
        <w:t>D, JS, C</w:t>
      </w:r>
      <w:r>
        <w:rPr>
          <w:rFonts w:ascii="Arial" w:hAnsi="Arial" w:cs="Arial"/>
        </w:rPr>
        <w:t>B</w:t>
      </w:r>
      <w:r w:rsidRPr="00297A95">
        <w:rPr>
          <w:rFonts w:ascii="Arial" w:hAnsi="Arial" w:cs="Arial"/>
        </w:rPr>
        <w:t>B, MA-J, K</w:t>
      </w:r>
      <w:r>
        <w:rPr>
          <w:rFonts w:ascii="Arial" w:hAnsi="Arial" w:cs="Arial"/>
        </w:rPr>
        <w:t>MT</w:t>
      </w:r>
      <w:r w:rsidRPr="00297A95">
        <w:rPr>
          <w:rFonts w:ascii="Arial" w:hAnsi="Arial" w:cs="Arial"/>
        </w:rPr>
        <w:t>W, G</w:t>
      </w:r>
      <w:r>
        <w:rPr>
          <w:rFonts w:ascii="Arial" w:hAnsi="Arial" w:cs="Arial"/>
        </w:rPr>
        <w:t>AE</w:t>
      </w:r>
      <w:r w:rsidRPr="00297A95">
        <w:rPr>
          <w:rFonts w:ascii="Arial" w:hAnsi="Arial" w:cs="Arial"/>
        </w:rPr>
        <w:t xml:space="preserve">W, </w:t>
      </w:r>
      <w:r>
        <w:rPr>
          <w:rFonts w:ascii="Arial" w:hAnsi="Arial" w:cs="Arial"/>
        </w:rPr>
        <w:t xml:space="preserve">MP, </w:t>
      </w:r>
      <w:r w:rsidRPr="00297A95">
        <w:rPr>
          <w:rFonts w:ascii="Arial" w:hAnsi="Arial" w:cs="Arial"/>
        </w:rPr>
        <w:t xml:space="preserve">AV, </w:t>
      </w:r>
      <w:r>
        <w:rPr>
          <w:rFonts w:ascii="Arial" w:hAnsi="Arial" w:cs="Arial"/>
        </w:rPr>
        <w:t xml:space="preserve">RVM, </w:t>
      </w:r>
      <w:r w:rsidRPr="00297A95">
        <w:rPr>
          <w:rFonts w:ascii="Arial" w:hAnsi="Arial" w:cs="Arial"/>
        </w:rPr>
        <w:t xml:space="preserve">GW, </w:t>
      </w:r>
      <w:r>
        <w:rPr>
          <w:rFonts w:ascii="Arial" w:hAnsi="Arial" w:cs="Arial"/>
        </w:rPr>
        <w:t xml:space="preserve">MS, </w:t>
      </w:r>
      <w:r w:rsidRPr="00297A95">
        <w:rPr>
          <w:rFonts w:ascii="Arial" w:hAnsi="Arial" w:cs="Arial"/>
        </w:rPr>
        <w:t xml:space="preserve">DB, PW, CHS are members of the guideline development group with technical support provided by </w:t>
      </w:r>
      <w:r>
        <w:rPr>
          <w:rFonts w:ascii="Arial" w:hAnsi="Arial" w:cs="Arial"/>
        </w:rPr>
        <w:t xml:space="preserve">LSE and </w:t>
      </w:r>
      <w:r w:rsidRPr="00297A95">
        <w:rPr>
          <w:rFonts w:ascii="Arial" w:hAnsi="Arial" w:cs="Arial"/>
        </w:rPr>
        <w:t>MFMM.</w:t>
      </w:r>
    </w:p>
    <w:p w:rsidR="00BD084C" w:rsidRPr="00471835" w:rsidRDefault="00BD084C" w:rsidP="0085034D">
      <w:pPr>
        <w:pStyle w:val="NoSpacing"/>
        <w:spacing w:line="276" w:lineRule="auto"/>
        <w:jc w:val="both"/>
        <w:rPr>
          <w:rFonts w:ascii="Arial" w:hAnsi="Arial" w:cs="Arial"/>
          <w:sz w:val="16"/>
          <w:szCs w:val="16"/>
        </w:rPr>
      </w:pPr>
    </w:p>
    <w:p w:rsidR="00BD084C" w:rsidRPr="00297A95" w:rsidRDefault="00BD084C" w:rsidP="0085034D">
      <w:pPr>
        <w:pStyle w:val="NoSpacing"/>
        <w:spacing w:line="276" w:lineRule="auto"/>
        <w:jc w:val="center"/>
        <w:rPr>
          <w:rFonts w:ascii="Arial" w:hAnsi="Arial" w:cs="Arial"/>
        </w:rPr>
      </w:pPr>
      <w:r w:rsidRPr="00297A95">
        <w:rPr>
          <w:rFonts w:ascii="Arial" w:hAnsi="Arial" w:cs="Arial"/>
          <w:b/>
        </w:rPr>
        <w:t>Footnote</w:t>
      </w:r>
      <w:r w:rsidRPr="00297A95">
        <w:rPr>
          <w:rFonts w:ascii="Arial" w:hAnsi="Arial" w:cs="Arial"/>
        </w:rPr>
        <w:t>:</w:t>
      </w:r>
    </w:p>
    <w:p w:rsidR="00BD084C" w:rsidRPr="00471835" w:rsidRDefault="00BD084C" w:rsidP="0085034D">
      <w:pPr>
        <w:pStyle w:val="NoSpacing"/>
        <w:spacing w:line="276" w:lineRule="auto"/>
        <w:jc w:val="both"/>
        <w:rPr>
          <w:rFonts w:ascii="Arial" w:hAnsi="Arial" w:cs="Arial"/>
          <w:i/>
        </w:rPr>
      </w:pPr>
      <w:r w:rsidRPr="00471835">
        <w:rPr>
          <w:rFonts w:ascii="Arial" w:hAnsi="Arial" w:cs="Arial"/>
          <w:i/>
        </w:rPr>
        <w:t xml:space="preserve">This is a new set of guidelines prepared for the British Association of Dermatologists (BAD) Clinical Standards Unit, </w:t>
      </w:r>
      <w:r>
        <w:rPr>
          <w:rFonts w:ascii="Arial" w:hAnsi="Arial" w:cs="Arial"/>
          <w:i/>
        </w:rPr>
        <w:t>which includes</w:t>
      </w:r>
      <w:r w:rsidRPr="00471835">
        <w:rPr>
          <w:rFonts w:ascii="Arial" w:hAnsi="Arial" w:cs="Arial"/>
          <w:i/>
        </w:rPr>
        <w:t xml:space="preserve"> the Therapy &amp; Guidelines Sub-committee. Members of the Clinical Standards Unit </w:t>
      </w:r>
      <w:r>
        <w:rPr>
          <w:rFonts w:ascii="Arial" w:hAnsi="Arial" w:cs="Arial"/>
          <w:i/>
        </w:rPr>
        <w:t xml:space="preserve">that have been involved </w:t>
      </w:r>
      <w:r w:rsidRPr="00471835">
        <w:rPr>
          <w:rFonts w:ascii="Arial" w:hAnsi="Arial" w:cs="Arial"/>
          <w:i/>
        </w:rPr>
        <w:t>are: PM McHenry</w:t>
      </w:r>
      <w:r>
        <w:rPr>
          <w:rFonts w:ascii="Arial" w:hAnsi="Arial" w:cs="Arial"/>
          <w:i/>
        </w:rPr>
        <w:t xml:space="preserve"> </w:t>
      </w:r>
      <w:r w:rsidRPr="00471835">
        <w:rPr>
          <w:rFonts w:ascii="Arial" w:hAnsi="Arial" w:cs="Arial"/>
          <w:i/>
        </w:rPr>
        <w:t>[Chairman T&amp;G],  JR Hughes</w:t>
      </w:r>
      <w:r>
        <w:rPr>
          <w:rFonts w:ascii="Arial" w:hAnsi="Arial" w:cs="Arial"/>
          <w:i/>
        </w:rPr>
        <w:t>,</w:t>
      </w:r>
      <w:r w:rsidRPr="00471835">
        <w:rPr>
          <w:rFonts w:ascii="Arial" w:hAnsi="Arial" w:cs="Arial"/>
          <w:i/>
        </w:rPr>
        <w:t xml:space="preserve"> M Griffiths, </w:t>
      </w:r>
      <w:r>
        <w:rPr>
          <w:rFonts w:ascii="Arial" w:hAnsi="Arial" w:cs="Arial"/>
          <w:i/>
        </w:rPr>
        <w:t xml:space="preserve">K Gibbon, </w:t>
      </w:r>
      <w:r w:rsidRPr="00471835">
        <w:rPr>
          <w:rFonts w:ascii="Arial" w:hAnsi="Arial" w:cs="Arial"/>
          <w:i/>
        </w:rPr>
        <w:t xml:space="preserve">AJ </w:t>
      </w:r>
      <w:proofErr w:type="spellStart"/>
      <w:r w:rsidRPr="00471835">
        <w:rPr>
          <w:rFonts w:ascii="Arial" w:hAnsi="Arial" w:cs="Arial"/>
          <w:i/>
        </w:rPr>
        <w:t>McDonagh</w:t>
      </w:r>
      <w:proofErr w:type="spellEnd"/>
      <w:r w:rsidRPr="00471835">
        <w:rPr>
          <w:rFonts w:ascii="Arial" w:hAnsi="Arial" w:cs="Arial"/>
          <w:i/>
        </w:rPr>
        <w:t xml:space="preserve">, DA Buckley, I Nasr, VJ Swale, CE Duarte Williamson, NJ </w:t>
      </w:r>
      <w:proofErr w:type="spellStart"/>
      <w:r w:rsidRPr="00471835">
        <w:rPr>
          <w:rFonts w:ascii="Arial" w:hAnsi="Arial" w:cs="Arial"/>
          <w:i/>
        </w:rPr>
        <w:t>Levell</w:t>
      </w:r>
      <w:proofErr w:type="spellEnd"/>
      <w:r w:rsidRPr="00471835">
        <w:rPr>
          <w:rFonts w:ascii="Arial" w:hAnsi="Arial" w:cs="Arial"/>
          <w:i/>
        </w:rPr>
        <w:t xml:space="preserve">, T Leslie, E Mallon, </w:t>
      </w:r>
      <w:r w:rsidRPr="00AA250F">
        <w:rPr>
          <w:rFonts w:ascii="Arial" w:hAnsi="Arial" w:cs="Arial"/>
          <w:i/>
        </w:rPr>
        <w:t xml:space="preserve">S Wakelin, S </w:t>
      </w:r>
      <w:proofErr w:type="spellStart"/>
      <w:r w:rsidRPr="00AA250F">
        <w:rPr>
          <w:rFonts w:ascii="Arial" w:hAnsi="Arial" w:cs="Arial"/>
          <w:i/>
        </w:rPr>
        <w:t>Ungureanu</w:t>
      </w:r>
      <w:proofErr w:type="spellEnd"/>
      <w:r w:rsidRPr="00AA250F">
        <w:rPr>
          <w:rFonts w:ascii="Arial" w:hAnsi="Arial" w:cs="Arial"/>
          <w:i/>
        </w:rPr>
        <w:t xml:space="preserve">, P </w:t>
      </w:r>
      <w:proofErr w:type="spellStart"/>
      <w:r w:rsidRPr="00AA250F">
        <w:rPr>
          <w:rFonts w:ascii="Arial" w:hAnsi="Arial" w:cs="Arial"/>
          <w:i/>
        </w:rPr>
        <w:t>Hunasehally</w:t>
      </w:r>
      <w:proofErr w:type="spellEnd"/>
      <w:r w:rsidRPr="00AA250F">
        <w:rPr>
          <w:rFonts w:ascii="Arial" w:hAnsi="Arial" w:cs="Arial"/>
          <w:i/>
        </w:rPr>
        <w:t xml:space="preserve">, M Cork, </w:t>
      </w:r>
      <w:r w:rsidRPr="00471835">
        <w:rPr>
          <w:rFonts w:ascii="Arial" w:hAnsi="Arial" w:cs="Arial"/>
          <w:i/>
        </w:rPr>
        <w:t xml:space="preserve">K Towers [British National Formulary], </w:t>
      </w:r>
      <w:r>
        <w:rPr>
          <w:rFonts w:ascii="Arial" w:hAnsi="Arial" w:cs="Arial"/>
          <w:i/>
        </w:rPr>
        <w:t xml:space="preserve">J Donnelly </w:t>
      </w:r>
      <w:r w:rsidRPr="00AA250F">
        <w:rPr>
          <w:rFonts w:ascii="Arial" w:hAnsi="Arial" w:cs="Arial"/>
          <w:i/>
        </w:rPr>
        <w:t xml:space="preserve">[British National Formulary], </w:t>
      </w:r>
      <w:r>
        <w:rPr>
          <w:rFonts w:ascii="Arial" w:hAnsi="Arial" w:cs="Arial"/>
          <w:i/>
        </w:rPr>
        <w:t>C Saunders</w:t>
      </w:r>
      <w:r w:rsidRPr="00471835">
        <w:rPr>
          <w:rFonts w:ascii="Arial" w:hAnsi="Arial" w:cs="Arial"/>
          <w:i/>
        </w:rPr>
        <w:t xml:space="preserve"> [British Dermatological Nursing Group], LS Exton [BAD Information Scientist], AG Bra</w:t>
      </w:r>
      <w:r>
        <w:rPr>
          <w:rFonts w:ascii="Arial" w:hAnsi="Arial" w:cs="Arial"/>
          <w:i/>
        </w:rPr>
        <w:t>i</w:t>
      </w:r>
      <w:r w:rsidRPr="00471835">
        <w:rPr>
          <w:rFonts w:ascii="Arial" w:hAnsi="Arial" w:cs="Arial"/>
          <w:i/>
        </w:rPr>
        <w:t xml:space="preserve">n [BAD </w:t>
      </w:r>
      <w:r>
        <w:rPr>
          <w:rFonts w:ascii="Arial" w:hAnsi="Arial" w:cs="Arial"/>
          <w:i/>
        </w:rPr>
        <w:t>Clinical Standards</w:t>
      </w:r>
      <w:r w:rsidRPr="00471835">
        <w:rPr>
          <w:rFonts w:ascii="Arial" w:hAnsi="Arial" w:cs="Arial"/>
          <w:i/>
        </w:rPr>
        <w:t xml:space="preserve"> Administrator], MF Mohd Mustapa [BAD Clinical Standards Manager].</w:t>
      </w:r>
    </w:p>
    <w:p w:rsidR="00BD084C" w:rsidRPr="00471835" w:rsidRDefault="00BD084C" w:rsidP="0085034D">
      <w:pPr>
        <w:pStyle w:val="NoSpacing"/>
        <w:spacing w:line="276" w:lineRule="auto"/>
        <w:jc w:val="both"/>
        <w:rPr>
          <w:rFonts w:ascii="Arial" w:hAnsi="Arial" w:cs="Arial"/>
          <w:sz w:val="16"/>
          <w:szCs w:val="16"/>
        </w:rPr>
      </w:pPr>
    </w:p>
    <w:p w:rsidR="00BD084C" w:rsidRPr="00297A95" w:rsidRDefault="00BD084C" w:rsidP="0085034D">
      <w:pPr>
        <w:pStyle w:val="NoSpacing"/>
        <w:spacing w:line="276" w:lineRule="auto"/>
        <w:jc w:val="center"/>
        <w:rPr>
          <w:rFonts w:ascii="Arial" w:hAnsi="Arial" w:cs="Arial"/>
          <w:b/>
        </w:rPr>
      </w:pPr>
      <w:r w:rsidRPr="00297A95">
        <w:rPr>
          <w:rFonts w:ascii="Arial" w:hAnsi="Arial" w:cs="Arial"/>
          <w:b/>
        </w:rPr>
        <w:t>Produced in 201</w:t>
      </w:r>
      <w:r w:rsidR="006F010A">
        <w:rPr>
          <w:rFonts w:ascii="Arial" w:hAnsi="Arial" w:cs="Arial"/>
          <w:b/>
        </w:rPr>
        <w:t>6</w:t>
      </w:r>
      <w:r w:rsidRPr="00297A95">
        <w:rPr>
          <w:rFonts w:ascii="Arial" w:hAnsi="Arial" w:cs="Arial"/>
          <w:b/>
        </w:rPr>
        <w:t xml:space="preserve"> by the British Association of Dermatologists</w:t>
      </w:r>
    </w:p>
    <w:p w:rsidR="00BD084C" w:rsidRPr="00DB2211" w:rsidRDefault="00BD084C" w:rsidP="0085034D">
      <w:pPr>
        <w:pStyle w:val="NoSpacing"/>
        <w:spacing w:line="276" w:lineRule="auto"/>
        <w:jc w:val="both"/>
        <w:rPr>
          <w:rFonts w:ascii="Arial" w:hAnsi="Arial" w:cs="Arial"/>
          <w:b/>
          <w:color w:val="00B0F0"/>
          <w:sz w:val="32"/>
          <w:szCs w:val="32"/>
        </w:rPr>
      </w:pPr>
      <w:r w:rsidRPr="00DB2211">
        <w:rPr>
          <w:rFonts w:ascii="Arial" w:hAnsi="Arial" w:cs="Arial"/>
          <w:b/>
          <w:color w:val="00B0F0"/>
          <w:sz w:val="32"/>
          <w:szCs w:val="32"/>
        </w:rPr>
        <w:t>________________________________</w:t>
      </w:r>
      <w:r>
        <w:rPr>
          <w:rFonts w:ascii="Arial" w:hAnsi="Arial" w:cs="Arial"/>
          <w:b/>
          <w:color w:val="00B0F0"/>
          <w:sz w:val="32"/>
          <w:szCs w:val="32"/>
        </w:rPr>
        <w:t>__________</w:t>
      </w:r>
      <w:r w:rsidRPr="00DB2211">
        <w:rPr>
          <w:rFonts w:ascii="Arial" w:hAnsi="Arial" w:cs="Arial"/>
          <w:b/>
          <w:color w:val="00B0F0"/>
          <w:sz w:val="32"/>
          <w:szCs w:val="32"/>
        </w:rPr>
        <w:t>________</w:t>
      </w:r>
    </w:p>
    <w:p w:rsidR="00BD084C" w:rsidRPr="006276EE" w:rsidRDefault="00BD084C" w:rsidP="0085034D">
      <w:pPr>
        <w:pStyle w:val="NoSpacing"/>
        <w:spacing w:line="276" w:lineRule="auto"/>
        <w:jc w:val="center"/>
        <w:rPr>
          <w:rFonts w:ascii="Arial" w:hAnsi="Arial" w:cs="Arial"/>
          <w:color w:val="00B0F0"/>
        </w:rPr>
      </w:pPr>
      <w:r w:rsidRPr="006276EE">
        <w:rPr>
          <w:rFonts w:ascii="Arial" w:hAnsi="Arial" w:cs="Arial"/>
          <w:b/>
          <w:color w:val="00B0F0"/>
        </w:rPr>
        <w:t>CONFLICTS OF INTEREST</w:t>
      </w:r>
      <w:r w:rsidRPr="006276EE">
        <w:rPr>
          <w:rFonts w:ascii="Arial" w:hAnsi="Arial" w:cs="Arial"/>
          <w:color w:val="00B0F0"/>
        </w:rPr>
        <w:t>:</w:t>
      </w:r>
    </w:p>
    <w:p w:rsidR="00BD084C" w:rsidRPr="00471835" w:rsidRDefault="00BD084C" w:rsidP="0085034D">
      <w:pPr>
        <w:pStyle w:val="NoSpacing"/>
        <w:spacing w:line="276" w:lineRule="auto"/>
        <w:jc w:val="both"/>
        <w:rPr>
          <w:rFonts w:ascii="Arial" w:hAnsi="Arial" w:cs="Arial"/>
          <w:color w:val="0070C0"/>
          <w:sz w:val="16"/>
          <w:szCs w:val="16"/>
        </w:rPr>
      </w:pPr>
    </w:p>
    <w:p w:rsidR="00BD084C" w:rsidRDefault="00BD084C" w:rsidP="0085034D">
      <w:pPr>
        <w:spacing w:after="0"/>
        <w:jc w:val="both"/>
        <w:rPr>
          <w:rFonts w:ascii="Arial" w:hAnsi="Arial" w:cs="Arial"/>
        </w:rPr>
      </w:pPr>
      <w:r w:rsidRPr="002164D7">
        <w:rPr>
          <w:rFonts w:ascii="Arial" w:hAnsi="Arial" w:cs="Arial"/>
        </w:rPr>
        <w:t xml:space="preserve">JKGD (1) grant/research support - </w:t>
      </w:r>
      <w:proofErr w:type="spellStart"/>
      <w:r w:rsidRPr="002164D7">
        <w:rPr>
          <w:rFonts w:ascii="Arial" w:hAnsi="Arial" w:cs="Arial"/>
        </w:rPr>
        <w:t>Dompe</w:t>
      </w:r>
      <w:proofErr w:type="spellEnd"/>
      <w:r w:rsidRPr="002164D7">
        <w:rPr>
          <w:rFonts w:ascii="Arial" w:hAnsi="Arial" w:cs="Arial"/>
        </w:rPr>
        <w:t xml:space="preserve"> pharmaceuticals, </w:t>
      </w:r>
      <w:proofErr w:type="spellStart"/>
      <w:r w:rsidRPr="002164D7">
        <w:rPr>
          <w:rFonts w:ascii="Arial" w:hAnsi="Arial" w:cs="Arial"/>
        </w:rPr>
        <w:t>SiFi</w:t>
      </w:r>
      <w:proofErr w:type="spellEnd"/>
      <w:r w:rsidRPr="002164D7">
        <w:rPr>
          <w:rFonts w:ascii="Arial" w:hAnsi="Arial" w:cs="Arial"/>
        </w:rPr>
        <w:t xml:space="preserve"> Pharmaceuticals (non-specific); MA-J (1) commissioned work – Genus Pharmaceuticals (non-specific); (2) sponsorship to conferences – </w:t>
      </w:r>
      <w:proofErr w:type="spellStart"/>
      <w:r w:rsidRPr="002164D7">
        <w:rPr>
          <w:rFonts w:ascii="Arial" w:hAnsi="Arial" w:cs="Arial"/>
        </w:rPr>
        <w:t>Abbvie</w:t>
      </w:r>
      <w:proofErr w:type="spellEnd"/>
      <w:r w:rsidRPr="002164D7">
        <w:rPr>
          <w:rFonts w:ascii="Arial" w:hAnsi="Arial" w:cs="Arial"/>
        </w:rPr>
        <w:t>, Janssen-</w:t>
      </w:r>
      <w:proofErr w:type="spellStart"/>
      <w:r w:rsidRPr="002164D7">
        <w:rPr>
          <w:rFonts w:ascii="Arial" w:hAnsi="Arial" w:cs="Arial"/>
        </w:rPr>
        <w:t>Cilag</w:t>
      </w:r>
      <w:proofErr w:type="spellEnd"/>
      <w:r w:rsidRPr="002164D7">
        <w:rPr>
          <w:rFonts w:ascii="Arial" w:hAnsi="Arial" w:cs="Arial"/>
        </w:rPr>
        <w:t xml:space="preserve">, Pfizer, </w:t>
      </w:r>
      <w:proofErr w:type="spellStart"/>
      <w:r w:rsidRPr="002164D7">
        <w:rPr>
          <w:rFonts w:ascii="Arial" w:hAnsi="Arial" w:cs="Arial"/>
        </w:rPr>
        <w:t>Galderma</w:t>
      </w:r>
      <w:proofErr w:type="spellEnd"/>
      <w:r w:rsidRPr="002164D7">
        <w:rPr>
          <w:rFonts w:ascii="Arial" w:hAnsi="Arial" w:cs="Arial"/>
        </w:rPr>
        <w:t xml:space="preserve">, </w:t>
      </w:r>
      <w:proofErr w:type="spellStart"/>
      <w:r w:rsidRPr="002164D7">
        <w:rPr>
          <w:rFonts w:ascii="Arial" w:hAnsi="Arial" w:cs="Arial"/>
        </w:rPr>
        <w:t>Steifel</w:t>
      </w:r>
      <w:proofErr w:type="spellEnd"/>
      <w:r w:rsidRPr="002164D7">
        <w:rPr>
          <w:rFonts w:ascii="Arial" w:hAnsi="Arial" w:cs="Arial"/>
        </w:rPr>
        <w:t xml:space="preserve"> (non-</w:t>
      </w:r>
      <w:r w:rsidRPr="002164D7">
        <w:rPr>
          <w:rFonts w:ascii="Arial" w:hAnsi="Arial" w:cs="Arial"/>
        </w:rPr>
        <w:lastRenderedPageBreak/>
        <w:t xml:space="preserve">specific); (3) clinical trials -  </w:t>
      </w:r>
      <w:proofErr w:type="spellStart"/>
      <w:r w:rsidRPr="002164D7">
        <w:rPr>
          <w:rFonts w:ascii="Arial" w:hAnsi="Arial" w:cs="Arial"/>
        </w:rPr>
        <w:t>Zymogenetics</w:t>
      </w:r>
      <w:proofErr w:type="spellEnd"/>
      <w:r w:rsidRPr="002164D7">
        <w:rPr>
          <w:rFonts w:ascii="Arial" w:hAnsi="Arial" w:cs="Arial"/>
        </w:rPr>
        <w:t xml:space="preserve">, Pfizer, Genentech, Johnson &amp; Johnson, </w:t>
      </w:r>
      <w:proofErr w:type="spellStart"/>
      <w:r w:rsidRPr="002164D7">
        <w:rPr>
          <w:rFonts w:ascii="Arial" w:hAnsi="Arial" w:cs="Arial"/>
        </w:rPr>
        <w:t>Centocor</w:t>
      </w:r>
      <w:proofErr w:type="spellEnd"/>
      <w:r w:rsidRPr="002164D7">
        <w:rPr>
          <w:rFonts w:ascii="Arial" w:hAnsi="Arial" w:cs="Arial"/>
        </w:rPr>
        <w:t xml:space="preserve">, Novartis (non-specific);  (4) grant/research support – </w:t>
      </w:r>
      <w:proofErr w:type="spellStart"/>
      <w:r w:rsidRPr="002164D7">
        <w:rPr>
          <w:rFonts w:ascii="Arial" w:hAnsi="Arial" w:cs="Arial"/>
        </w:rPr>
        <w:t>Emblation</w:t>
      </w:r>
      <w:proofErr w:type="spellEnd"/>
      <w:r w:rsidRPr="002164D7">
        <w:rPr>
          <w:rFonts w:ascii="Arial" w:hAnsi="Arial" w:cs="Arial"/>
        </w:rPr>
        <w:t xml:space="preserve"> (non-specific); (5) developed non-profit website </w:t>
      </w:r>
      <w:hyperlink r:id="rId10" w:history="1">
        <w:r w:rsidRPr="002164D7">
          <w:rPr>
            <w:rFonts w:ascii="Arial" w:hAnsi="Arial" w:cs="Arial"/>
            <w:color w:val="0000FF"/>
            <w:u w:val="single"/>
          </w:rPr>
          <w:t>www.drugrash.co.uk</w:t>
        </w:r>
      </w:hyperlink>
      <w:r w:rsidRPr="002164D7">
        <w:rPr>
          <w:rFonts w:ascii="Arial" w:hAnsi="Arial" w:cs="Arial"/>
        </w:rPr>
        <w:t xml:space="preserve">  to assist clinicians in management of drug allergy (specific)</w:t>
      </w:r>
      <w:r w:rsidR="0085034D">
        <w:rPr>
          <w:rFonts w:ascii="Arial" w:hAnsi="Arial" w:cs="Arial"/>
        </w:rPr>
        <w:t xml:space="preserve">. </w:t>
      </w:r>
      <w:r w:rsidR="0085034D" w:rsidRPr="0085034D">
        <w:rPr>
          <w:rFonts w:ascii="Arial" w:hAnsi="Arial" w:cs="Arial"/>
          <w:u w:val="single"/>
        </w:rPr>
        <w:t>None of the authors have received commercial support from the manufacturers of any medication used in the management of SJS/TEN.</w:t>
      </w:r>
    </w:p>
    <w:p w:rsidR="00BD084C" w:rsidRPr="002164D7" w:rsidRDefault="00BD084C" w:rsidP="0085034D">
      <w:pPr>
        <w:spacing w:after="0"/>
        <w:jc w:val="both"/>
        <w:rPr>
          <w:rFonts w:ascii="Arial" w:hAnsi="Arial" w:cs="Arial"/>
        </w:rPr>
      </w:pPr>
    </w:p>
    <w:p w:rsidR="00BD084C" w:rsidRPr="00297A95" w:rsidRDefault="00BD084C" w:rsidP="0085034D">
      <w:pPr>
        <w:pStyle w:val="NoSpacing"/>
        <w:spacing w:line="276" w:lineRule="auto"/>
        <w:jc w:val="both"/>
        <w:rPr>
          <w:rFonts w:ascii="Arial" w:hAnsi="Arial" w:cs="Arial"/>
        </w:rPr>
      </w:pPr>
    </w:p>
    <w:p w:rsidR="00BD084C" w:rsidRDefault="00BD084C" w:rsidP="0085034D">
      <w:pPr>
        <w:pStyle w:val="NoSpacing"/>
        <w:spacing w:line="276" w:lineRule="auto"/>
        <w:jc w:val="both"/>
        <w:rPr>
          <w:rFonts w:ascii="Arial" w:hAnsi="Arial" w:cs="Arial"/>
          <w:b/>
        </w:rPr>
      </w:pPr>
      <w:r>
        <w:rPr>
          <w:noProof/>
          <w:lang w:eastAsia="zh-CN"/>
        </w:rPr>
        <mc:AlternateContent>
          <mc:Choice Requires="wps">
            <w:drawing>
              <wp:anchor distT="0" distB="0" distL="114300" distR="114300" simplePos="0" relativeHeight="251659264" behindDoc="0" locked="0" layoutInCell="1" allowOverlap="1" wp14:anchorId="59558143" wp14:editId="404CD3E9">
                <wp:simplePos x="0" y="0"/>
                <wp:positionH relativeFrom="column">
                  <wp:align>center</wp:align>
                </wp:positionH>
                <wp:positionV relativeFrom="paragraph">
                  <wp:posOffset>-259080</wp:posOffset>
                </wp:positionV>
                <wp:extent cx="5791835" cy="483235"/>
                <wp:effectExtent l="0" t="0" r="12700" b="1714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835" cy="483235"/>
                        </a:xfrm>
                        <a:prstGeom prst="rect">
                          <a:avLst/>
                        </a:prstGeom>
                        <a:solidFill>
                          <a:srgbClr val="E5F4F7"/>
                        </a:solidFill>
                        <a:ln w="12700">
                          <a:solidFill>
                            <a:srgbClr val="00B0F0"/>
                          </a:solidFill>
                          <a:miter lim="800000"/>
                          <a:headEnd/>
                          <a:tailEnd/>
                        </a:ln>
                      </wps:spPr>
                      <wps:txbx>
                        <w:txbxContent>
                          <w:p w:rsidR="0085034D" w:rsidRPr="00297A95" w:rsidRDefault="0085034D" w:rsidP="0085034D">
                            <w:pPr>
                              <w:pStyle w:val="NoSpacing"/>
                              <w:spacing w:line="276" w:lineRule="auto"/>
                              <w:jc w:val="both"/>
                              <w:rPr>
                                <w:rFonts w:ascii="Arial" w:hAnsi="Arial" w:cs="Arial"/>
                              </w:rPr>
                            </w:pPr>
                            <w:r w:rsidRPr="00297A95">
                              <w:rPr>
                                <w:rFonts w:ascii="Arial" w:hAnsi="Arial" w:cs="Arial"/>
                                <w:b/>
                              </w:rPr>
                              <w:t>Key words</w:t>
                            </w:r>
                            <w:r w:rsidRPr="00297A95">
                              <w:rPr>
                                <w:rFonts w:ascii="Arial" w:hAnsi="Arial" w:cs="Arial"/>
                              </w:rPr>
                              <w:t xml:space="preserve">: Stevens-Johnson syndrome, toxic epidermal necrolysis, </w:t>
                            </w:r>
                            <w:r>
                              <w:rPr>
                                <w:rFonts w:ascii="Arial" w:hAnsi="Arial" w:cs="Arial"/>
                              </w:rPr>
                              <w:t xml:space="preserve">drug hypersensitivity, </w:t>
                            </w:r>
                            <w:r w:rsidRPr="00297A95">
                              <w:rPr>
                                <w:rFonts w:ascii="Arial" w:hAnsi="Arial" w:cs="Arial"/>
                              </w:rPr>
                              <w:t>management, guidelines</w:t>
                            </w:r>
                          </w:p>
                          <w:p w:rsidR="0085034D" w:rsidRDefault="008503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2" o:spid="_x0000_s1026" type="#_x0000_t202" style="position:absolute;left:0;text-align:left;margin-left:0;margin-top:-20.4pt;width:456.05pt;height:38.0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" fillcolor="#e5f4f7" strokecolor="#00b0f0" strokeweight="1pt">
                <v:textbox>
                  <w:txbxContent>
                    <w:p w:rsidR="0085034D" w:rsidRPr="00297A95" w:rsidRDefault="0085034D" w:rsidP="0085034D">
                      <w:pPr>
                        <w:pStyle w:val="NoSpacing"/>
                        <w:spacing w:line="276" w:lineRule="auto"/>
                        <w:jc w:val="both"/>
                        <w:rPr>
                          <w:rFonts w:ascii="Arial" w:hAnsi="Arial" w:cs="Arial"/>
                        </w:rPr>
                      </w:pPr>
                      <w:r w:rsidRPr="00297A95">
                        <w:rPr>
                          <w:rFonts w:ascii="Arial" w:hAnsi="Arial" w:cs="Arial"/>
                          <w:b/>
                        </w:rPr>
                        <w:t>Key words</w:t>
                      </w:r>
                      <w:r w:rsidRPr="00297A95">
                        <w:rPr>
                          <w:rFonts w:ascii="Arial" w:hAnsi="Arial" w:cs="Arial"/>
                        </w:rPr>
                        <w:t xml:space="preserve">: Stevens-Johnson syndrome, toxic epidermal necrolysis, </w:t>
                      </w:r>
                      <w:r>
                        <w:rPr>
                          <w:rFonts w:ascii="Arial" w:hAnsi="Arial" w:cs="Arial"/>
                        </w:rPr>
                        <w:t xml:space="preserve">drug hypersensitivity, </w:t>
                      </w:r>
                      <w:r w:rsidRPr="00297A95">
                        <w:rPr>
                          <w:rFonts w:ascii="Arial" w:hAnsi="Arial" w:cs="Arial"/>
                        </w:rPr>
                        <w:t>management, guidelines</w:t>
                      </w:r>
                    </w:p>
                    <w:p w:rsidR="0085034D" w:rsidRDefault="0085034D"/>
                  </w:txbxContent>
                </v:textbox>
              </v:shape>
            </w:pict>
          </mc:Fallback>
        </mc:AlternateContent>
      </w:r>
    </w:p>
    <w:p w:rsidR="00BD084C" w:rsidRDefault="00BD084C" w:rsidP="0085034D">
      <w:pPr>
        <w:pStyle w:val="NoSpacing"/>
        <w:spacing w:line="276" w:lineRule="auto"/>
        <w:jc w:val="both"/>
        <w:rPr>
          <w:rFonts w:ascii="Arial" w:hAnsi="Arial" w:cs="Arial"/>
          <w:b/>
        </w:rPr>
      </w:pPr>
    </w:p>
    <w:p w:rsidR="00BD084C" w:rsidRPr="009E2078" w:rsidRDefault="00BD084C" w:rsidP="0085034D">
      <w:pPr>
        <w:pStyle w:val="NoSpacing"/>
        <w:spacing w:line="276" w:lineRule="auto"/>
        <w:jc w:val="both"/>
        <w:rPr>
          <w:rFonts w:ascii="Arial" w:hAnsi="Arial" w:cs="Arial"/>
          <w:sz w:val="18"/>
          <w:szCs w:val="18"/>
        </w:rPr>
      </w:pPr>
    </w:p>
    <w:tbl>
      <w:tblPr>
        <w:tblW w:w="9085" w:type="dxa"/>
        <w:tblLayout w:type="fixed"/>
        <w:tblLook w:val="00A0" w:firstRow="1" w:lastRow="0" w:firstColumn="1" w:lastColumn="0" w:noHBand="0" w:noVBand="0"/>
      </w:tblPr>
      <w:tblGrid>
        <w:gridCol w:w="3629"/>
        <w:gridCol w:w="5456"/>
      </w:tblGrid>
      <w:tr w:rsidR="00BD084C" w:rsidRPr="00297A95" w:rsidTr="0085034D">
        <w:tc>
          <w:tcPr>
            <w:tcW w:w="3629" w:type="dxa"/>
            <w:tcMar>
              <w:top w:w="85" w:type="dxa"/>
              <w:left w:w="85" w:type="dxa"/>
              <w:bottom w:w="85" w:type="dxa"/>
              <w:right w:w="85" w:type="dxa"/>
            </w:tcMar>
            <w:vAlign w:val="center"/>
          </w:tcPr>
          <w:p w:rsidR="00BD084C" w:rsidRPr="00297A95" w:rsidRDefault="00BD084C" w:rsidP="0085034D">
            <w:pPr>
              <w:pStyle w:val="NoSpacing"/>
              <w:spacing w:line="276" w:lineRule="auto"/>
              <w:jc w:val="both"/>
              <w:rPr>
                <w:rFonts w:ascii="Arial" w:hAnsi="Arial" w:cs="Arial"/>
              </w:rPr>
            </w:pPr>
            <w:r>
              <w:rPr>
                <w:rFonts w:ascii="Arial" w:hAnsi="Arial" w:cs="Arial"/>
                <w:noProof/>
                <w:lang w:eastAsia="zh-CN"/>
              </w:rPr>
              <w:drawing>
                <wp:inline distT="0" distB="0" distL="0" distR="0" wp14:anchorId="5E6A730D" wp14:editId="34CC98A8">
                  <wp:extent cx="2197100" cy="800100"/>
                  <wp:effectExtent l="0" t="0" r="12700" b="12700"/>
                  <wp:docPr id="1" name="Picture 1" descr="NICE_Accreditation_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_Accreditation_ma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7100" cy="800100"/>
                          </a:xfrm>
                          <a:prstGeom prst="rect">
                            <a:avLst/>
                          </a:prstGeom>
                          <a:noFill/>
                          <a:ln>
                            <a:noFill/>
                          </a:ln>
                        </pic:spPr>
                      </pic:pic>
                    </a:graphicData>
                  </a:graphic>
                </wp:inline>
              </w:drawing>
            </w:r>
          </w:p>
        </w:tc>
        <w:tc>
          <w:tcPr>
            <w:tcW w:w="5456" w:type="dxa"/>
            <w:tcMar>
              <w:top w:w="85" w:type="dxa"/>
              <w:left w:w="85" w:type="dxa"/>
              <w:bottom w:w="85" w:type="dxa"/>
              <w:right w:w="85" w:type="dxa"/>
            </w:tcMar>
            <w:vAlign w:val="center"/>
          </w:tcPr>
          <w:p w:rsidR="00BD084C" w:rsidRPr="00297A95" w:rsidRDefault="00BD084C" w:rsidP="0085034D">
            <w:pPr>
              <w:pStyle w:val="NoSpacing"/>
              <w:spacing w:line="276" w:lineRule="auto"/>
              <w:jc w:val="both"/>
              <w:rPr>
                <w:rFonts w:ascii="Arial" w:hAnsi="Arial" w:cs="Arial"/>
                <w:sz w:val="16"/>
                <w:szCs w:val="16"/>
              </w:rPr>
            </w:pPr>
            <w:r w:rsidRPr="00297A95">
              <w:rPr>
                <w:rFonts w:ascii="Arial" w:hAnsi="Arial" w:cs="Arial"/>
                <w:sz w:val="16"/>
                <w:szCs w:val="16"/>
              </w:rPr>
              <w:t>NICE has accredited the process used by the British Association of Dermatologists to produce guidelines. Accreditation is valid for 5 years from May 2010</w:t>
            </w:r>
            <w:r w:rsidR="006410B2">
              <w:rPr>
                <w:rFonts w:ascii="Arial" w:hAnsi="Arial" w:cs="Arial"/>
                <w:sz w:val="16"/>
                <w:szCs w:val="16"/>
              </w:rPr>
              <w:t xml:space="preserve"> </w:t>
            </w:r>
            <w:r w:rsidR="006410B2" w:rsidRPr="006410B2">
              <w:rPr>
                <w:rFonts w:ascii="Arial" w:hAnsi="Arial" w:cs="Arial"/>
                <w:sz w:val="16"/>
                <w:szCs w:val="16"/>
                <w:u w:val="single"/>
              </w:rPr>
              <w:t>and has been extended by agreement to May 2016</w:t>
            </w:r>
            <w:r w:rsidRPr="00297A95">
              <w:rPr>
                <w:rFonts w:ascii="Arial" w:hAnsi="Arial" w:cs="Arial"/>
                <w:sz w:val="16"/>
                <w:szCs w:val="16"/>
              </w:rPr>
              <w:t xml:space="preserve">. More information on accreditation can be viewed at </w:t>
            </w:r>
            <w:hyperlink r:id="rId12" w:history="1">
              <w:r w:rsidRPr="00297A95">
                <w:rPr>
                  <w:rStyle w:val="Hyperlink"/>
                  <w:rFonts w:ascii="Arial" w:hAnsi="Arial" w:cs="Arial"/>
                  <w:i/>
                  <w:sz w:val="16"/>
                  <w:szCs w:val="16"/>
                </w:rPr>
                <w:t>www.nice.org.uk/accreditation</w:t>
              </w:r>
            </w:hyperlink>
            <w:r w:rsidRPr="00297A95">
              <w:rPr>
                <w:rFonts w:ascii="Arial" w:hAnsi="Arial" w:cs="Arial"/>
                <w:sz w:val="16"/>
                <w:szCs w:val="16"/>
              </w:rPr>
              <w:t>.</w:t>
            </w:r>
          </w:p>
          <w:p w:rsidR="00BD084C" w:rsidRPr="00297A95" w:rsidRDefault="00BD084C" w:rsidP="0085034D">
            <w:pPr>
              <w:pStyle w:val="NoSpacing"/>
              <w:spacing w:line="276" w:lineRule="auto"/>
              <w:jc w:val="both"/>
              <w:rPr>
                <w:rFonts w:ascii="Arial" w:hAnsi="Arial" w:cs="Arial"/>
                <w:sz w:val="16"/>
                <w:szCs w:val="16"/>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sz w:val="16"/>
                <w:szCs w:val="16"/>
              </w:rPr>
              <w:t xml:space="preserve">For full details of our accreditation visit: </w:t>
            </w:r>
            <w:hyperlink r:id="rId13" w:history="1">
              <w:r w:rsidRPr="00297A95">
                <w:rPr>
                  <w:rStyle w:val="Hyperlink"/>
                  <w:rFonts w:ascii="Arial" w:hAnsi="Arial" w:cs="Arial"/>
                  <w:i/>
                  <w:sz w:val="16"/>
                  <w:szCs w:val="16"/>
                </w:rPr>
                <w:t>www.nice.org.uk/accreditation</w:t>
              </w:r>
            </w:hyperlink>
            <w:r w:rsidRPr="00297A95">
              <w:rPr>
                <w:rFonts w:ascii="Arial" w:hAnsi="Arial" w:cs="Arial"/>
                <w:i/>
                <w:sz w:val="16"/>
                <w:szCs w:val="16"/>
              </w:rPr>
              <w:t>.</w:t>
            </w:r>
            <w:r w:rsidRPr="00297A95">
              <w:rPr>
                <w:rFonts w:ascii="Arial" w:hAnsi="Arial" w:cs="Arial"/>
                <w:i/>
              </w:rPr>
              <w:t xml:space="preserve"> </w:t>
            </w:r>
          </w:p>
        </w:tc>
      </w:tr>
    </w:tbl>
    <w:p w:rsidR="00BD084C" w:rsidRPr="006276EE" w:rsidRDefault="00BD084C" w:rsidP="0085034D">
      <w:pPr>
        <w:pStyle w:val="NoSpacing"/>
        <w:spacing w:line="276" w:lineRule="auto"/>
        <w:jc w:val="both"/>
        <w:rPr>
          <w:rFonts w:ascii="Arial" w:hAnsi="Arial" w:cs="Arial"/>
          <w:b/>
          <w:caps/>
          <w:color w:val="00B0F0"/>
        </w:rPr>
      </w:pPr>
      <w:r w:rsidRPr="00297A95">
        <w:rPr>
          <w:rFonts w:ascii="Arial" w:hAnsi="Arial" w:cs="Arial"/>
          <w:caps/>
          <w:color w:val="0070C0"/>
        </w:rPr>
        <w:br w:type="page"/>
      </w:r>
      <w:r w:rsidRPr="006276EE">
        <w:rPr>
          <w:rFonts w:ascii="Arial" w:hAnsi="Arial" w:cs="Arial"/>
          <w:b/>
          <w:caps/>
          <w:color w:val="00B0F0"/>
        </w:rPr>
        <w:lastRenderedPageBreak/>
        <w:t>1.0 Purpose and scope</w:t>
      </w:r>
    </w:p>
    <w:p w:rsidR="00BD084C" w:rsidRPr="00297A95" w:rsidRDefault="00BD084C" w:rsidP="0085034D">
      <w:pPr>
        <w:pStyle w:val="NoSpacing"/>
        <w:spacing w:line="276" w:lineRule="auto"/>
        <w:jc w:val="both"/>
        <w:rPr>
          <w:rFonts w:ascii="Arial" w:hAnsi="Arial" w:cs="Arial"/>
          <w:caps/>
          <w:color w:val="0070C0"/>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The overall objective of the guideline is to provide up-to-date, evidence-based recommendations for the diagnosis and management of the full spectrum of Stevens-Johnson syndrome (SJS), toxic epidermal necrolysis (TEN) and SJS-TEN overlap in adults during the acute phase of the disease.</w:t>
      </w: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The document aims to: </w:t>
      </w:r>
    </w:p>
    <w:p w:rsidR="00BD084C" w:rsidRPr="00297A95" w:rsidRDefault="00BD084C" w:rsidP="00BD084C">
      <w:pPr>
        <w:pStyle w:val="NoSpacing"/>
        <w:numPr>
          <w:ilvl w:val="0"/>
          <w:numId w:val="32"/>
        </w:numPr>
        <w:spacing w:line="276" w:lineRule="auto"/>
        <w:jc w:val="both"/>
        <w:rPr>
          <w:rFonts w:ascii="Arial" w:hAnsi="Arial" w:cs="Arial"/>
        </w:rPr>
      </w:pPr>
      <w:r w:rsidRPr="00297A95">
        <w:rPr>
          <w:rFonts w:ascii="Arial" w:hAnsi="Arial" w:cs="Arial"/>
        </w:rPr>
        <w:t xml:space="preserve">offer an appraisal of all relevant literature up to </w:t>
      </w:r>
      <w:r>
        <w:rPr>
          <w:rFonts w:ascii="Arial" w:hAnsi="Arial" w:cs="Arial"/>
        </w:rPr>
        <w:t>June 2015</w:t>
      </w:r>
      <w:r w:rsidRPr="00297A95">
        <w:rPr>
          <w:rFonts w:ascii="Arial" w:hAnsi="Arial" w:cs="Arial"/>
        </w:rPr>
        <w:t>, focusing on any key developments</w:t>
      </w:r>
    </w:p>
    <w:p w:rsidR="00BD084C" w:rsidRDefault="00BD084C" w:rsidP="00BD084C">
      <w:pPr>
        <w:pStyle w:val="NoSpacing"/>
        <w:numPr>
          <w:ilvl w:val="0"/>
          <w:numId w:val="32"/>
        </w:numPr>
        <w:spacing w:line="276" w:lineRule="auto"/>
        <w:jc w:val="both"/>
        <w:rPr>
          <w:rFonts w:ascii="Arial" w:hAnsi="Arial" w:cs="Arial"/>
        </w:rPr>
      </w:pPr>
      <w:r w:rsidRPr="00297A95">
        <w:rPr>
          <w:rFonts w:ascii="Arial" w:hAnsi="Arial" w:cs="Arial"/>
        </w:rPr>
        <w:t xml:space="preserve">address important, practical clinical questions relating to the primary guideline objective,  </w:t>
      </w:r>
      <w:r w:rsidRPr="00297A95">
        <w:rPr>
          <w:rFonts w:ascii="Arial" w:hAnsi="Arial" w:cs="Arial"/>
          <w:bCs/>
        </w:rPr>
        <w:t xml:space="preserve">i.e. </w:t>
      </w:r>
      <w:r w:rsidRPr="00297A95">
        <w:rPr>
          <w:rFonts w:ascii="Arial" w:hAnsi="Arial" w:cs="Arial"/>
        </w:rPr>
        <w:t>accurate diagnosis and identification of cases and suitable treatment</w:t>
      </w:r>
    </w:p>
    <w:p w:rsidR="00BD084C" w:rsidRDefault="00BD084C" w:rsidP="00BD084C">
      <w:pPr>
        <w:pStyle w:val="NoSpacing"/>
        <w:numPr>
          <w:ilvl w:val="0"/>
          <w:numId w:val="32"/>
        </w:numPr>
        <w:spacing w:line="276" w:lineRule="auto"/>
        <w:jc w:val="both"/>
        <w:rPr>
          <w:rFonts w:ascii="Arial" w:hAnsi="Arial" w:cs="Arial"/>
        </w:rPr>
      </w:pPr>
      <w:r w:rsidRPr="00744C53">
        <w:rPr>
          <w:rFonts w:ascii="Arial" w:hAnsi="Arial" w:cs="Arial"/>
        </w:rPr>
        <w:t xml:space="preserve">provide guideline recommendations </w:t>
      </w:r>
    </w:p>
    <w:p w:rsidR="00BD084C" w:rsidRPr="00744C53" w:rsidRDefault="00BD084C" w:rsidP="00BD084C">
      <w:pPr>
        <w:pStyle w:val="NoSpacing"/>
        <w:numPr>
          <w:ilvl w:val="0"/>
          <w:numId w:val="32"/>
        </w:numPr>
        <w:spacing w:line="276" w:lineRule="auto"/>
        <w:jc w:val="both"/>
        <w:rPr>
          <w:rFonts w:ascii="Arial" w:hAnsi="Arial" w:cs="Arial"/>
        </w:rPr>
      </w:pPr>
      <w:r w:rsidRPr="00744C53">
        <w:rPr>
          <w:rFonts w:ascii="Arial" w:hAnsi="Arial" w:cs="Arial"/>
        </w:rPr>
        <w:t>discuss areas of uncertainty, potential developments and future directions</w:t>
      </w:r>
    </w:p>
    <w:p w:rsidR="00BD084C" w:rsidRPr="00297A95" w:rsidRDefault="00BD084C" w:rsidP="0085034D">
      <w:pPr>
        <w:pStyle w:val="NoSpacing"/>
        <w:spacing w:line="276" w:lineRule="auto"/>
        <w:jc w:val="both"/>
        <w:rPr>
          <w:rFonts w:ascii="Arial" w:hAnsi="Arial" w:cs="Arial"/>
          <w:highlight w:val="yellow"/>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SJS/TEN is rare and few health care professionals are confident in the recognition and management of the disorder. There is widely divergent practice amongst different specialities and healthcare settings, </w:t>
      </w:r>
      <w:r>
        <w:rPr>
          <w:rFonts w:ascii="Arial" w:hAnsi="Arial" w:cs="Arial"/>
        </w:rPr>
        <w:t>and</w:t>
      </w:r>
      <w:r w:rsidRPr="00297A95">
        <w:rPr>
          <w:rFonts w:ascii="Arial" w:hAnsi="Arial" w:cs="Arial"/>
        </w:rPr>
        <w:t xml:space="preserve"> limited information on outcomes. These guidelines, aim to provide recommendations on the diagnosis and management of SJS/TEN, to inform clinical decision-making and, when justified by evidence, to standardize practice. The breadth of this document should be sufficient to assist clinicians of all relevant specialities in the management of patients with SJS/TEN. The recommendations will also inform pathways of care to optimize healthcare delivery and highlight key areas of uncertainty for future research.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In this guideline, the term SJS/TEN encompasses the full spectrum of the disease, i.e. SJS, SJS-TEN overlap and TEN (see section 7.2 for clinical definition of the separate entities). The guideline is presented as a detailed review with highlighted recommendations for practical use (see section 18.0), in addition to the development of a new Patient Information Leaflet (PIL; available on the BAD website, </w:t>
      </w:r>
      <w:hyperlink r:id="rId14" w:history="1">
        <w:r w:rsidRPr="00297A95">
          <w:rPr>
            <w:rStyle w:val="Hyperlink"/>
            <w:rFonts w:ascii="Arial" w:hAnsi="Arial" w:cs="Arial"/>
          </w:rPr>
          <w:t>www.bad.org.uk</w:t>
        </w:r>
      </w:hyperlink>
      <w:r w:rsidRPr="00297A95">
        <w:rPr>
          <w:rFonts w:ascii="Arial" w:hAnsi="Arial" w:cs="Arial"/>
        </w:rPr>
        <w:t>). Unless otherwise specified, recommendations apply to all forms of the disease.</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rPr>
      </w:pPr>
      <w:r w:rsidRPr="00297A95">
        <w:rPr>
          <w:rFonts w:ascii="Arial" w:hAnsi="Arial" w:cs="Arial"/>
          <w:b/>
        </w:rPr>
        <w:t>1.1 Exclusions</w:t>
      </w:r>
    </w:p>
    <w:p w:rsidR="00BD084C" w:rsidRPr="00297A95" w:rsidRDefault="00BD084C" w:rsidP="0085034D">
      <w:pPr>
        <w:pStyle w:val="NoSpacing"/>
        <w:spacing w:line="276" w:lineRule="auto"/>
        <w:jc w:val="both"/>
        <w:rPr>
          <w:rFonts w:ascii="Arial" w:hAnsi="Arial" w:cs="Arial"/>
          <w:color w:val="0070C0"/>
        </w:rPr>
      </w:pPr>
    </w:p>
    <w:p w:rsidR="0085034D" w:rsidRDefault="00BD084C" w:rsidP="0085034D">
      <w:pPr>
        <w:pStyle w:val="NoSpacing"/>
        <w:spacing w:line="276" w:lineRule="auto"/>
        <w:jc w:val="both"/>
        <w:rPr>
          <w:rFonts w:ascii="Arial" w:hAnsi="Arial" w:cs="Arial"/>
        </w:rPr>
      </w:pPr>
      <w:r w:rsidRPr="00297A95">
        <w:rPr>
          <w:rFonts w:ascii="Arial" w:hAnsi="Arial" w:cs="Arial"/>
        </w:rPr>
        <w:t>This guideline does not cover paediatric patients</w:t>
      </w:r>
      <w:r w:rsidR="0085034D">
        <w:rPr>
          <w:rFonts w:ascii="Arial" w:hAnsi="Arial" w:cs="Arial"/>
        </w:rPr>
        <w:t xml:space="preserve">. </w:t>
      </w:r>
      <w:r w:rsidR="0085034D" w:rsidRPr="0085034D">
        <w:rPr>
          <w:rFonts w:ascii="Arial" w:hAnsi="Arial" w:cs="Arial"/>
          <w:u w:val="single"/>
        </w:rPr>
        <w:t>An addendum to this guideline addressing the needs of paediatric patients with SJS/TEN is planned. The evidence for treatment of children differs from that of adult patients, and will be considered separately.</w:t>
      </w:r>
      <w:r w:rsidR="0085034D">
        <w:rPr>
          <w:rFonts w:ascii="Arial" w:hAnsi="Arial" w:cs="Arial"/>
        </w:rPr>
        <w:t xml:space="preserve"> </w:t>
      </w:r>
    </w:p>
    <w:p w:rsidR="00BD084C" w:rsidRPr="00297A95" w:rsidRDefault="0085034D" w:rsidP="0085034D">
      <w:pPr>
        <w:pStyle w:val="NoSpacing"/>
        <w:spacing w:line="276" w:lineRule="auto"/>
        <w:jc w:val="both"/>
        <w:rPr>
          <w:rFonts w:ascii="Arial" w:hAnsi="Arial" w:cs="Arial"/>
        </w:rPr>
      </w:pPr>
      <w:r>
        <w:rPr>
          <w:rFonts w:ascii="Arial" w:hAnsi="Arial" w:cs="Arial"/>
        </w:rPr>
        <w:t>T</w:t>
      </w:r>
      <w:r w:rsidR="00BD084C" w:rsidRPr="00297A95">
        <w:rPr>
          <w:rFonts w:ascii="Arial" w:hAnsi="Arial" w:cs="Arial"/>
        </w:rPr>
        <w:t>he management of long-term sequelae</w:t>
      </w:r>
      <w:r>
        <w:rPr>
          <w:rFonts w:ascii="Arial" w:hAnsi="Arial" w:cs="Arial"/>
        </w:rPr>
        <w:t xml:space="preserve"> of SJS/TEN is not considered in this document.</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p>
    <w:p w:rsidR="00BD084C" w:rsidRPr="006276EE" w:rsidRDefault="00BD084C" w:rsidP="0085034D">
      <w:pPr>
        <w:pStyle w:val="NoSpacing"/>
        <w:spacing w:line="276" w:lineRule="auto"/>
        <w:jc w:val="both"/>
        <w:rPr>
          <w:rFonts w:ascii="Arial" w:hAnsi="Arial" w:cs="Arial"/>
          <w:b/>
          <w:caps/>
          <w:color w:val="00B0F0"/>
        </w:rPr>
      </w:pPr>
      <w:r w:rsidRPr="006276EE">
        <w:rPr>
          <w:rFonts w:ascii="Arial" w:hAnsi="Arial" w:cs="Arial"/>
          <w:b/>
          <w:caps/>
          <w:color w:val="00B0F0"/>
        </w:rPr>
        <w:t>2.0 Stakeholder involvement and peer review</w:t>
      </w:r>
    </w:p>
    <w:p w:rsidR="00BD084C" w:rsidRPr="00297A95" w:rsidRDefault="00BD084C" w:rsidP="0085034D">
      <w:pPr>
        <w:pStyle w:val="NoSpacing"/>
        <w:spacing w:line="276" w:lineRule="auto"/>
        <w:jc w:val="both"/>
        <w:rPr>
          <w:rFonts w:ascii="Arial" w:hAnsi="Arial" w:cs="Arial"/>
          <w:caps/>
          <w:color w:val="0070C0"/>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The guideline development group consisted of consultant dermatologists</w:t>
      </w:r>
      <w:r>
        <w:rPr>
          <w:rFonts w:ascii="Arial" w:hAnsi="Arial" w:cs="Arial"/>
        </w:rPr>
        <w:t xml:space="preserve"> (DC, SAW, HYL, JS, CBB, MAJ, KMTW, GAEW, CHS), </w:t>
      </w:r>
      <w:r w:rsidRPr="00297A95">
        <w:rPr>
          <w:rFonts w:ascii="Arial" w:hAnsi="Arial" w:cs="Arial"/>
        </w:rPr>
        <w:t>including oral</w:t>
      </w:r>
      <w:r>
        <w:rPr>
          <w:rFonts w:ascii="Arial" w:hAnsi="Arial" w:cs="Arial"/>
        </w:rPr>
        <w:t xml:space="preserve"> (JS)</w:t>
      </w:r>
      <w:r w:rsidRPr="00297A95">
        <w:rPr>
          <w:rFonts w:ascii="Arial" w:hAnsi="Arial" w:cs="Arial"/>
        </w:rPr>
        <w:t xml:space="preserve"> and urogenital specialist</w:t>
      </w:r>
      <w:r>
        <w:rPr>
          <w:rFonts w:ascii="Arial" w:hAnsi="Arial" w:cs="Arial"/>
        </w:rPr>
        <w:t>s (SAW, CBB)</w:t>
      </w:r>
      <w:r w:rsidRPr="00297A95">
        <w:rPr>
          <w:rFonts w:ascii="Arial" w:hAnsi="Arial" w:cs="Arial"/>
        </w:rPr>
        <w:t xml:space="preserve">, </w:t>
      </w:r>
      <w:r>
        <w:rPr>
          <w:rFonts w:ascii="Arial" w:hAnsi="Arial" w:cs="Arial"/>
        </w:rPr>
        <w:t xml:space="preserve">a </w:t>
      </w:r>
      <w:proofErr w:type="spellStart"/>
      <w:r>
        <w:rPr>
          <w:rFonts w:ascii="Arial" w:hAnsi="Arial" w:cs="Arial"/>
        </w:rPr>
        <w:t>histopathologist</w:t>
      </w:r>
      <w:proofErr w:type="spellEnd"/>
      <w:r>
        <w:rPr>
          <w:rFonts w:ascii="Arial" w:hAnsi="Arial" w:cs="Arial"/>
        </w:rPr>
        <w:t xml:space="preserve"> (MP), </w:t>
      </w:r>
      <w:r w:rsidRPr="00297A95">
        <w:rPr>
          <w:rFonts w:ascii="Arial" w:hAnsi="Arial" w:cs="Arial"/>
        </w:rPr>
        <w:t>burns/plastic surgeon specialist</w:t>
      </w:r>
      <w:r>
        <w:rPr>
          <w:rFonts w:ascii="Arial" w:hAnsi="Arial" w:cs="Arial"/>
        </w:rPr>
        <w:t>s (PD, GW, MS)</w:t>
      </w:r>
      <w:r w:rsidRPr="00297A95">
        <w:rPr>
          <w:rFonts w:ascii="Arial" w:hAnsi="Arial" w:cs="Arial"/>
        </w:rPr>
        <w:t xml:space="preserve">, </w:t>
      </w:r>
      <w:r>
        <w:rPr>
          <w:rFonts w:ascii="Arial" w:hAnsi="Arial" w:cs="Arial"/>
        </w:rPr>
        <w:t xml:space="preserve">a burns </w:t>
      </w:r>
      <w:proofErr w:type="spellStart"/>
      <w:r>
        <w:rPr>
          <w:rFonts w:ascii="Arial" w:hAnsi="Arial" w:cs="Arial"/>
        </w:rPr>
        <w:t>anaesthestist</w:t>
      </w:r>
      <w:proofErr w:type="spellEnd"/>
      <w:r>
        <w:rPr>
          <w:rFonts w:ascii="Arial" w:hAnsi="Arial" w:cs="Arial"/>
        </w:rPr>
        <w:t xml:space="preserve"> (RVM), intensive care specialists (AV, RVM), </w:t>
      </w:r>
      <w:r w:rsidRPr="00297A95">
        <w:rPr>
          <w:rFonts w:ascii="Arial" w:hAnsi="Arial" w:cs="Arial"/>
        </w:rPr>
        <w:t>an ophthalmologist</w:t>
      </w:r>
      <w:r>
        <w:rPr>
          <w:rFonts w:ascii="Arial" w:hAnsi="Arial" w:cs="Arial"/>
        </w:rPr>
        <w:t xml:space="preserve"> (JKGD)</w:t>
      </w:r>
      <w:r w:rsidRPr="00297A95">
        <w:rPr>
          <w:rFonts w:ascii="Arial" w:hAnsi="Arial" w:cs="Arial"/>
        </w:rPr>
        <w:t>, a dermatological clinical nurse specialist</w:t>
      </w:r>
      <w:r>
        <w:rPr>
          <w:rFonts w:ascii="Arial" w:hAnsi="Arial" w:cs="Arial"/>
        </w:rPr>
        <w:t xml:space="preserve"> (DB)</w:t>
      </w:r>
      <w:r w:rsidRPr="00297A95">
        <w:rPr>
          <w:rFonts w:ascii="Arial" w:hAnsi="Arial" w:cs="Arial"/>
        </w:rPr>
        <w:t>, and a patient</w:t>
      </w:r>
      <w:r>
        <w:rPr>
          <w:rFonts w:ascii="Arial" w:hAnsi="Arial" w:cs="Arial"/>
        </w:rPr>
        <w:t xml:space="preserve"> (PW)</w:t>
      </w:r>
      <w:r w:rsidRPr="00297A95">
        <w:rPr>
          <w:rFonts w:ascii="Arial" w:hAnsi="Arial" w:cs="Arial"/>
        </w:rPr>
        <w:t>. The draft document w</w:t>
      </w:r>
      <w:r>
        <w:rPr>
          <w:rFonts w:ascii="Arial" w:hAnsi="Arial" w:cs="Arial"/>
        </w:rPr>
        <w:t xml:space="preserve">ent </w:t>
      </w:r>
      <w:r>
        <w:rPr>
          <w:rFonts w:ascii="Arial" w:hAnsi="Arial" w:cs="Arial"/>
        </w:rPr>
        <w:lastRenderedPageBreak/>
        <w:t>out for consultation to</w:t>
      </w:r>
      <w:r w:rsidRPr="00297A95">
        <w:rPr>
          <w:rFonts w:ascii="Arial" w:hAnsi="Arial" w:cs="Arial"/>
        </w:rPr>
        <w:t xml:space="preserve"> the BAD membership, British Dermatological Nursing Group (BDNG), Primary Care Dermatological Society (PCDS), British Burn Association (BBA), </w:t>
      </w:r>
      <w:r w:rsidRPr="00297A95">
        <w:rPr>
          <w:rFonts w:ascii="Arial" w:hAnsi="Arial" w:cs="Arial"/>
          <w:color w:val="000000"/>
        </w:rPr>
        <w:t>British Association of Plastic, Reconstructive and Aesthetic Surgeons (BAPRAS)</w:t>
      </w:r>
      <w:r w:rsidRPr="00297A95">
        <w:rPr>
          <w:rFonts w:ascii="Arial" w:hAnsi="Arial" w:cs="Arial"/>
        </w:rPr>
        <w:t>, Royal College of Ophthalmologists (</w:t>
      </w:r>
      <w:proofErr w:type="spellStart"/>
      <w:r w:rsidRPr="00297A95">
        <w:rPr>
          <w:rFonts w:ascii="Arial" w:hAnsi="Arial" w:cs="Arial"/>
          <w:color w:val="000000"/>
        </w:rPr>
        <w:t>RCOphth</w:t>
      </w:r>
      <w:proofErr w:type="spellEnd"/>
      <w:r w:rsidRPr="00297A95">
        <w:rPr>
          <w:rFonts w:ascii="Arial" w:hAnsi="Arial" w:cs="Arial"/>
          <w:color w:val="000000"/>
        </w:rPr>
        <w:t>), Association of Anaesthetists of Great Britain and Ireland (AAGBI)</w:t>
      </w:r>
      <w:r w:rsidRPr="00297A95">
        <w:rPr>
          <w:rFonts w:ascii="Arial" w:hAnsi="Arial" w:cs="Arial"/>
        </w:rPr>
        <w:t>, Intensive Care Society and SJS Awareness UK</w:t>
      </w:r>
      <w:r>
        <w:rPr>
          <w:rFonts w:ascii="Arial" w:hAnsi="Arial" w:cs="Arial"/>
        </w:rPr>
        <w:t>.</w:t>
      </w:r>
      <w:r w:rsidRPr="00297A95">
        <w:rPr>
          <w:rFonts w:ascii="Arial" w:hAnsi="Arial" w:cs="Arial"/>
        </w:rPr>
        <w:t xml:space="preserve"> </w:t>
      </w:r>
      <w:r>
        <w:rPr>
          <w:rFonts w:ascii="Arial" w:hAnsi="Arial" w:cs="Arial"/>
        </w:rPr>
        <w:t xml:space="preserve">The comments received </w:t>
      </w:r>
      <w:r w:rsidRPr="00AA250F">
        <w:rPr>
          <w:rFonts w:ascii="Arial" w:hAnsi="Arial" w:cs="Arial"/>
        </w:rPr>
        <w:t>were actively considered by the GDG</w:t>
      </w:r>
      <w:r>
        <w:rPr>
          <w:rFonts w:ascii="Arial" w:hAnsi="Arial" w:cs="Arial"/>
        </w:rPr>
        <w:t>.</w:t>
      </w:r>
      <w:r w:rsidRPr="00AA250F">
        <w:rPr>
          <w:rFonts w:ascii="Arial" w:hAnsi="Arial" w:cs="Arial"/>
        </w:rPr>
        <w:t xml:space="preserve"> Following further review, the </w:t>
      </w:r>
      <w:r>
        <w:rPr>
          <w:rFonts w:ascii="Arial" w:hAnsi="Arial" w:cs="Arial"/>
        </w:rPr>
        <w:t>amended draft</w:t>
      </w:r>
      <w:r w:rsidRPr="00AA250F">
        <w:rPr>
          <w:rFonts w:ascii="Arial" w:hAnsi="Arial" w:cs="Arial"/>
        </w:rPr>
        <w:t xml:space="preserve"> was </w:t>
      </w:r>
      <w:r>
        <w:rPr>
          <w:rFonts w:ascii="Arial" w:hAnsi="Arial" w:cs="Arial"/>
        </w:rPr>
        <w:t>recirculated to the stakeholders for comments</w:t>
      </w:r>
      <w:r w:rsidRPr="00AA250F">
        <w:rPr>
          <w:rFonts w:ascii="Arial" w:hAnsi="Arial" w:cs="Arial"/>
        </w:rPr>
        <w:t xml:space="preserve"> </w:t>
      </w:r>
      <w:r w:rsidRPr="00297A95">
        <w:rPr>
          <w:rFonts w:ascii="Arial" w:hAnsi="Arial" w:cs="Arial"/>
        </w:rPr>
        <w:t xml:space="preserve">and </w:t>
      </w:r>
      <w:r w:rsidRPr="00E9068B">
        <w:rPr>
          <w:rFonts w:ascii="Arial" w:hAnsi="Arial" w:cs="Arial"/>
        </w:rPr>
        <w:t>the finalized version</w:t>
      </w:r>
      <w:r>
        <w:rPr>
          <w:rFonts w:ascii="Arial" w:hAnsi="Arial" w:cs="Arial"/>
        </w:rPr>
        <w:t xml:space="preserve"> </w:t>
      </w:r>
      <w:r w:rsidRPr="00297A95">
        <w:rPr>
          <w:rFonts w:ascii="Arial" w:hAnsi="Arial" w:cs="Arial"/>
        </w:rPr>
        <w:t xml:space="preserve">peer-reviewed by the Clinical Standards Unit of the BAD (made up of the Therapy &amp; Guidelines Sub-committee) prior to publication.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p>
    <w:p w:rsidR="00BD084C" w:rsidRPr="006276EE" w:rsidRDefault="00BD084C" w:rsidP="0085034D">
      <w:pPr>
        <w:pStyle w:val="NoSpacing"/>
        <w:spacing w:line="276" w:lineRule="auto"/>
        <w:jc w:val="both"/>
        <w:rPr>
          <w:rFonts w:ascii="Arial" w:hAnsi="Arial" w:cs="Arial"/>
          <w:b/>
          <w:color w:val="00B0F0"/>
        </w:rPr>
      </w:pPr>
      <w:r w:rsidRPr="006276EE">
        <w:rPr>
          <w:rFonts w:ascii="Arial" w:hAnsi="Arial" w:cs="Arial"/>
          <w:b/>
          <w:color w:val="00B0F0"/>
        </w:rPr>
        <w:t>3.0 METHODOLOGY</w:t>
      </w:r>
    </w:p>
    <w:p w:rsidR="00BD084C" w:rsidRPr="00297A95" w:rsidRDefault="00BD084C" w:rsidP="0085034D">
      <w:pPr>
        <w:pStyle w:val="NoSpacing"/>
        <w:spacing w:line="276" w:lineRule="auto"/>
        <w:jc w:val="both"/>
        <w:rPr>
          <w:rFonts w:ascii="Arial" w:hAnsi="Arial" w:cs="Arial"/>
          <w:color w:val="0070C0"/>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This set of guidelines has been developed using the British Association of Dermatologists’ recommended methodology</w:t>
      </w:r>
      <w:r w:rsidRPr="00A15AE2">
        <w:rPr>
          <w:rFonts w:ascii="Arial" w:hAnsi="Arial" w:cs="Arial"/>
          <w:noProof/>
          <w:vertAlign w:val="superscript"/>
        </w:rPr>
        <w:t>1</w:t>
      </w:r>
      <w:hyperlink w:anchor="_ENREF_1" w:tooltip="Bell, 2009 #171" w:history="1"/>
      <w:r w:rsidRPr="00297A95">
        <w:rPr>
          <w:rFonts w:ascii="Arial" w:hAnsi="Arial" w:cs="Arial"/>
        </w:rPr>
        <w:t xml:space="preserve"> and with reference to the Appraisal of Guidelines Research and Evaluation (AGREE II) instrument [</w:t>
      </w:r>
      <w:hyperlink r:id="rId15" w:history="1">
        <w:r w:rsidRPr="00297A95">
          <w:rPr>
            <w:rStyle w:val="Hyperlink"/>
            <w:rFonts w:ascii="Arial" w:hAnsi="Arial" w:cs="Arial"/>
          </w:rPr>
          <w:t>www.agreetrust.org</w:t>
        </w:r>
      </w:hyperlink>
      <w:r w:rsidRPr="00297A95">
        <w:rPr>
          <w:rFonts w:ascii="Arial" w:hAnsi="Arial" w:cs="Arial"/>
        </w:rPr>
        <w:t>].</w:t>
      </w:r>
      <w:r w:rsidRPr="00A15AE2">
        <w:rPr>
          <w:rFonts w:ascii="Arial" w:hAnsi="Arial" w:cs="Arial"/>
          <w:noProof/>
          <w:vertAlign w:val="superscript"/>
        </w:rPr>
        <w:t>2</w:t>
      </w:r>
      <w:r w:rsidRPr="00297A95">
        <w:rPr>
          <w:rFonts w:ascii="Arial" w:hAnsi="Arial" w:cs="Arial"/>
        </w:rPr>
        <w:t xml:space="preserve"> Recommendations were developed for implementation in the NHS using a process of considered judgment based on the evidence.</w:t>
      </w:r>
      <w:r>
        <w:rPr>
          <w:rFonts w:ascii="Arial" w:hAnsi="Arial" w:cs="Arial"/>
        </w:rPr>
        <w:t xml:space="preserve"> A series of specific questions were developed within the scope of the guideline; for each question,</w:t>
      </w:r>
      <w:r w:rsidRPr="00297A95">
        <w:rPr>
          <w:rFonts w:ascii="Arial" w:hAnsi="Arial" w:cs="Arial"/>
        </w:rPr>
        <w:t xml:space="preserve"> PubMed, MEDLINE and EMBASE databases and the Cochrane Library were searched for meta-analyses, randomized and non-randomized controlled clinical trials, </w:t>
      </w:r>
      <w:r>
        <w:rPr>
          <w:rFonts w:ascii="Arial" w:hAnsi="Arial" w:cs="Arial"/>
        </w:rPr>
        <w:t xml:space="preserve">open studies and </w:t>
      </w:r>
      <w:r w:rsidRPr="00297A95">
        <w:rPr>
          <w:rFonts w:ascii="Arial" w:hAnsi="Arial" w:cs="Arial"/>
        </w:rPr>
        <w:t>case series</w:t>
      </w:r>
      <w:r>
        <w:rPr>
          <w:rFonts w:ascii="Arial" w:hAnsi="Arial" w:cs="Arial"/>
        </w:rPr>
        <w:t xml:space="preserve"> to June 2015. The literature was searched for evidence to address the questions.</w:t>
      </w:r>
      <w:r w:rsidRPr="00297A95">
        <w:rPr>
          <w:rFonts w:ascii="Arial" w:hAnsi="Arial" w:cs="Arial"/>
        </w:rPr>
        <w:t xml:space="preserve"> </w:t>
      </w:r>
      <w:r>
        <w:rPr>
          <w:rFonts w:ascii="Arial" w:hAnsi="Arial" w:cs="Arial"/>
        </w:rPr>
        <w:t xml:space="preserve">The </w:t>
      </w:r>
      <w:r w:rsidRPr="00297A95">
        <w:rPr>
          <w:rFonts w:ascii="Arial" w:hAnsi="Arial" w:cs="Arial"/>
        </w:rPr>
        <w:t xml:space="preserve">search terms and strategies are detailed as a web appendix. Additional relevant references were also isolated from citations in reviewed literature, as well as specific targeted searches for hypersensitivity testing, causative drugs, diagnostic and prognostic indicators, topical treatments, oral/mouth, growth factors and granulocyte colony-stimulating factor (G-CSF) and analgesia. The lead authors screened the identified titles and those relevant for first-round inclusion were selected for further scrutiny. All co-authors then reviewed the abstracts for the shortlisted references and the full papers of relevant material were obtained; disagreements in the final selections were resolved by discussion with the entire </w:t>
      </w:r>
      <w:r>
        <w:rPr>
          <w:rFonts w:ascii="Arial" w:hAnsi="Arial" w:cs="Arial"/>
        </w:rPr>
        <w:t xml:space="preserve">guideline </w:t>
      </w:r>
      <w:r w:rsidRPr="00297A95">
        <w:rPr>
          <w:rFonts w:ascii="Arial" w:hAnsi="Arial" w:cs="Arial"/>
        </w:rPr>
        <w:t>development group</w:t>
      </w:r>
      <w:r>
        <w:rPr>
          <w:rFonts w:ascii="Arial" w:hAnsi="Arial" w:cs="Arial"/>
        </w:rPr>
        <w:t xml:space="preserve"> (GDG)</w:t>
      </w:r>
      <w:r w:rsidRPr="00297A95">
        <w:rPr>
          <w:rFonts w:ascii="Arial" w:hAnsi="Arial" w:cs="Arial"/>
        </w:rPr>
        <w:t>. In section 13, active interventions were assessed only if studies recruited at least eight SJS/TEN patients into the treatment group. The structure of the guidelines was then discussed, with headings and sub-headings decided; different co-authors were allocated separate sub-sections. Each co-author then performed a detailed appraisal of the selected literature, and all sub-sections were subsequently collated and edited to produce the final guideline.</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p>
    <w:p w:rsidR="00BD084C" w:rsidRPr="006276EE" w:rsidRDefault="00BD084C" w:rsidP="0085034D">
      <w:pPr>
        <w:pStyle w:val="NoSpacing"/>
        <w:spacing w:line="276" w:lineRule="auto"/>
        <w:jc w:val="both"/>
        <w:rPr>
          <w:rFonts w:ascii="Arial" w:hAnsi="Arial" w:cs="Arial"/>
          <w:b/>
          <w:caps/>
          <w:color w:val="00B0F0"/>
        </w:rPr>
      </w:pPr>
      <w:r w:rsidRPr="006276EE">
        <w:rPr>
          <w:rFonts w:ascii="Arial" w:hAnsi="Arial" w:cs="Arial"/>
          <w:b/>
          <w:caps/>
          <w:color w:val="00B0F0"/>
        </w:rPr>
        <w:t>4.0 Limitations of the guideline</w:t>
      </w:r>
    </w:p>
    <w:p w:rsidR="00BD084C" w:rsidRPr="00297A95" w:rsidRDefault="00BD084C" w:rsidP="0085034D">
      <w:pPr>
        <w:pStyle w:val="NoSpacing"/>
        <w:spacing w:line="276" w:lineRule="auto"/>
        <w:jc w:val="both"/>
        <w:rPr>
          <w:rFonts w:ascii="Arial" w:hAnsi="Arial" w:cs="Arial"/>
          <w:caps/>
          <w:color w:val="0070C0"/>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This document has been prepared on behalf of the BAD and is based on the best data available when the document was prepared. It is recognized that under certain conditions it may be necessary to deviate from the guidelines and that the results of future studies may require some of the recommendations herein to be changed. Failure to adhere to these guidelines should not necessarily be considered negligent, nor should adherence to these recommendations constitute a defence against a claim of negligence.</w:t>
      </w:r>
    </w:p>
    <w:p w:rsidR="00BD084C" w:rsidRPr="00297A95" w:rsidRDefault="00BD084C" w:rsidP="0085034D">
      <w:pPr>
        <w:pStyle w:val="NoSpacing"/>
        <w:spacing w:line="276" w:lineRule="auto"/>
        <w:jc w:val="both"/>
        <w:rPr>
          <w:rFonts w:ascii="Arial" w:hAnsi="Arial" w:cs="Arial"/>
          <w:color w:val="0070C0"/>
        </w:rPr>
      </w:pPr>
    </w:p>
    <w:p w:rsidR="00BD084C" w:rsidRPr="00297A95" w:rsidRDefault="00BD084C" w:rsidP="0085034D">
      <w:pPr>
        <w:pStyle w:val="NoSpacing"/>
        <w:spacing w:line="276" w:lineRule="auto"/>
        <w:jc w:val="both"/>
        <w:rPr>
          <w:rFonts w:ascii="Arial" w:hAnsi="Arial" w:cs="Arial"/>
          <w:color w:val="0070C0"/>
        </w:rPr>
      </w:pPr>
    </w:p>
    <w:p w:rsidR="00BD084C" w:rsidRPr="006276EE" w:rsidRDefault="00BD084C" w:rsidP="0085034D">
      <w:pPr>
        <w:pStyle w:val="NoSpacing"/>
        <w:spacing w:line="276" w:lineRule="auto"/>
        <w:jc w:val="both"/>
        <w:rPr>
          <w:rFonts w:ascii="Arial" w:hAnsi="Arial" w:cs="Arial"/>
          <w:b/>
          <w:caps/>
          <w:color w:val="00B0F0"/>
        </w:rPr>
      </w:pPr>
      <w:r w:rsidRPr="006276EE">
        <w:rPr>
          <w:rFonts w:ascii="Arial" w:hAnsi="Arial" w:cs="Arial"/>
          <w:b/>
          <w:caps/>
          <w:color w:val="00B0F0"/>
        </w:rPr>
        <w:lastRenderedPageBreak/>
        <w:t>5.0 Plans for guideline revision</w:t>
      </w:r>
    </w:p>
    <w:p w:rsidR="00BD084C" w:rsidRPr="00297A95" w:rsidRDefault="00BD084C" w:rsidP="0085034D">
      <w:pPr>
        <w:pStyle w:val="NoSpacing"/>
        <w:spacing w:line="276" w:lineRule="auto"/>
        <w:jc w:val="both"/>
        <w:rPr>
          <w:rFonts w:ascii="Arial" w:hAnsi="Arial" w:cs="Arial"/>
          <w:caps/>
          <w:color w:val="0070C0"/>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The proposed revision date for this set of recommendations is scheduled for 20</w:t>
      </w:r>
      <w:r>
        <w:rPr>
          <w:rFonts w:ascii="Arial" w:hAnsi="Arial" w:cs="Arial"/>
        </w:rPr>
        <w:t>2</w:t>
      </w:r>
      <w:r w:rsidR="006F010A">
        <w:rPr>
          <w:rFonts w:ascii="Arial" w:hAnsi="Arial" w:cs="Arial"/>
        </w:rPr>
        <w:t>1</w:t>
      </w:r>
      <w:r w:rsidRPr="00297A95">
        <w:rPr>
          <w:rFonts w:ascii="Arial" w:hAnsi="Arial" w:cs="Arial"/>
        </w:rPr>
        <w:t>; where necessary, important interim changes will be updated on the BAD website.</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p>
    <w:p w:rsidR="00BD084C" w:rsidRPr="006276EE" w:rsidRDefault="00BD084C" w:rsidP="0085034D">
      <w:pPr>
        <w:pStyle w:val="NoSpacing"/>
        <w:spacing w:line="276" w:lineRule="auto"/>
        <w:jc w:val="both"/>
        <w:rPr>
          <w:rFonts w:ascii="Arial" w:hAnsi="Arial" w:cs="Arial"/>
          <w:b/>
          <w:color w:val="00B0F0"/>
        </w:rPr>
      </w:pPr>
      <w:r w:rsidRPr="006276EE">
        <w:rPr>
          <w:rFonts w:ascii="Arial" w:hAnsi="Arial" w:cs="Arial"/>
          <w:b/>
          <w:color w:val="00B0F0"/>
        </w:rPr>
        <w:t>6.0 BACKGROUND</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Stevens-Johnson syndrome (SJS) and toxic epidermal necrolysis (TEN) are severe </w:t>
      </w:r>
      <w:proofErr w:type="spellStart"/>
      <w:r w:rsidRPr="00297A95">
        <w:rPr>
          <w:rFonts w:ascii="Arial" w:hAnsi="Arial" w:cs="Arial"/>
        </w:rPr>
        <w:t>muco</w:t>
      </w:r>
      <w:proofErr w:type="spellEnd"/>
      <w:r w:rsidRPr="00297A95">
        <w:rPr>
          <w:rFonts w:ascii="Arial" w:hAnsi="Arial" w:cs="Arial"/>
        </w:rPr>
        <w:t>-cutaneous reactions, usually to drugs, characterized by blistering and epithelial sloughing.</w:t>
      </w:r>
      <w:r w:rsidRPr="00A15AE2">
        <w:rPr>
          <w:rFonts w:ascii="Arial" w:hAnsi="Arial" w:cs="Arial"/>
          <w:noProof/>
          <w:vertAlign w:val="superscript"/>
        </w:rPr>
        <w:t>3</w:t>
      </w:r>
      <w:r w:rsidRPr="00297A95">
        <w:rPr>
          <w:rFonts w:ascii="Arial" w:hAnsi="Arial" w:cs="Arial"/>
        </w:rPr>
        <w:t xml:space="preserve"> </w:t>
      </w:r>
      <w:proofErr w:type="gramStart"/>
      <w:r w:rsidRPr="00297A95">
        <w:rPr>
          <w:rFonts w:ascii="Arial" w:hAnsi="Arial" w:cs="Arial"/>
        </w:rPr>
        <w:t>The</w:t>
      </w:r>
      <w:proofErr w:type="gramEnd"/>
      <w:r w:rsidRPr="00297A95">
        <w:rPr>
          <w:rFonts w:ascii="Arial" w:hAnsi="Arial" w:cs="Arial"/>
        </w:rPr>
        <w:t xml:space="preserve"> two terms describe phenotypes within a severity spectrum, in which SJS is the less extensive form and TEN is the more extensive. The incidence of SJS/TEN is approximately </w:t>
      </w:r>
      <w:r>
        <w:rPr>
          <w:rFonts w:ascii="Arial" w:hAnsi="Arial" w:cs="Arial"/>
        </w:rPr>
        <w:t>one</w:t>
      </w:r>
      <w:r w:rsidRPr="00297A95">
        <w:rPr>
          <w:rFonts w:ascii="Arial" w:hAnsi="Arial" w:cs="Arial"/>
        </w:rPr>
        <w:t xml:space="preserve"> to </w:t>
      </w:r>
      <w:r>
        <w:rPr>
          <w:rFonts w:ascii="Arial" w:hAnsi="Arial" w:cs="Arial"/>
        </w:rPr>
        <w:t>two</w:t>
      </w:r>
      <w:r w:rsidRPr="00297A95">
        <w:rPr>
          <w:rFonts w:ascii="Arial" w:hAnsi="Arial" w:cs="Arial"/>
        </w:rPr>
        <w:t xml:space="preserve"> cases per million per year.</w:t>
      </w:r>
      <w:r w:rsidRPr="00A15AE2">
        <w:rPr>
          <w:rFonts w:ascii="Arial" w:hAnsi="Arial" w:cs="Arial"/>
          <w:noProof/>
          <w:vertAlign w:val="superscript"/>
        </w:rPr>
        <w:t>4,5</w:t>
      </w:r>
      <w:r w:rsidRPr="00297A95">
        <w:rPr>
          <w:rFonts w:ascii="Arial" w:hAnsi="Arial" w:cs="Arial"/>
        </w:rPr>
        <w:t xml:space="preserve"> </w:t>
      </w:r>
      <w:proofErr w:type="gramStart"/>
      <w:r w:rsidRPr="00297A95">
        <w:rPr>
          <w:rFonts w:ascii="Arial" w:hAnsi="Arial" w:cs="Arial"/>
        </w:rPr>
        <w:t>Although</w:t>
      </w:r>
      <w:proofErr w:type="gramEnd"/>
      <w:r w:rsidRPr="00297A95">
        <w:rPr>
          <w:rFonts w:ascii="Arial" w:hAnsi="Arial" w:cs="Arial"/>
        </w:rPr>
        <w:t xml:space="preserve"> rare, SJS/TEN is a devastating disease; in severe cases the acute phase may be accompanied by a variety of systemic complications, including multi-organ failure. The mortality for SJS is less than 10%, with the figure rising to 30% for TEN, and overall SJS/TEN mortality is about 22%.</w:t>
      </w:r>
      <w:r w:rsidRPr="00A15AE2">
        <w:rPr>
          <w:rFonts w:ascii="Arial" w:hAnsi="Arial" w:cs="Arial"/>
          <w:noProof/>
          <w:vertAlign w:val="superscript"/>
        </w:rPr>
        <w:t>6</w:t>
      </w:r>
      <w:r w:rsidRPr="00297A95">
        <w:rPr>
          <w:rFonts w:ascii="Arial" w:hAnsi="Arial" w:cs="Arial"/>
        </w:rPr>
        <w:t xml:space="preserve"> As well as carrying an appreciable mortality, survivors of the acute illness often develop significant long-term sequelae.</w:t>
      </w:r>
      <w:r w:rsidRPr="00A15AE2">
        <w:rPr>
          <w:rFonts w:ascii="Arial" w:hAnsi="Arial" w:cs="Arial"/>
          <w:noProof/>
          <w:vertAlign w:val="superscript"/>
        </w:rPr>
        <w:t>7</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SJS/TEN is characterized by widespread epithelial keratinocyte </w:t>
      </w:r>
      <w:r>
        <w:rPr>
          <w:rFonts w:ascii="Arial" w:hAnsi="Arial" w:cs="Arial"/>
        </w:rPr>
        <w:t xml:space="preserve">apoptosis and </w:t>
      </w:r>
      <w:r w:rsidRPr="00297A95">
        <w:rPr>
          <w:rFonts w:ascii="Arial" w:hAnsi="Arial" w:cs="Arial"/>
        </w:rPr>
        <w:t>necrosis, a process initiated by drug-induced cytotoxic T lymphocytes (CTLs).</w:t>
      </w:r>
      <w:r w:rsidRPr="00A15AE2">
        <w:rPr>
          <w:rFonts w:ascii="Arial" w:hAnsi="Arial" w:cs="Arial"/>
          <w:noProof/>
          <w:vertAlign w:val="superscript"/>
        </w:rPr>
        <w:t>8</w:t>
      </w:r>
      <w:r w:rsidRPr="00297A95">
        <w:rPr>
          <w:rFonts w:ascii="Arial" w:hAnsi="Arial" w:cs="Arial"/>
        </w:rPr>
        <w:t xml:space="preserve"> Major histocompatibility complex (MHC) class </w:t>
      </w:r>
      <w:r>
        <w:rPr>
          <w:rFonts w:ascii="Arial" w:hAnsi="Arial" w:cs="Arial"/>
        </w:rPr>
        <w:t>I</w:t>
      </w:r>
      <w:r w:rsidRPr="00297A95">
        <w:rPr>
          <w:rFonts w:ascii="Arial" w:hAnsi="Arial" w:cs="Arial"/>
        </w:rPr>
        <w:t>-restricted drug presentation leads to clonal expansion of CD8+ CTLs</w:t>
      </w:r>
      <w:r w:rsidRPr="00A15AE2">
        <w:rPr>
          <w:rFonts w:ascii="Arial" w:hAnsi="Arial" w:cs="Arial"/>
          <w:noProof/>
          <w:vertAlign w:val="superscript"/>
        </w:rPr>
        <w:t>9</w:t>
      </w:r>
      <w:hyperlink w:anchor="_ENREF_9" w:tooltip="Nassif, 2004 #3026" w:history="1"/>
      <w:r w:rsidRPr="00297A95">
        <w:rPr>
          <w:rFonts w:ascii="Arial" w:hAnsi="Arial" w:cs="Arial"/>
        </w:rPr>
        <w:t xml:space="preserve"> which infiltrate the skin,</w:t>
      </w:r>
      <w:hyperlink w:anchor="_ENREF_9" w:tooltip="Nassif, 2004 #3026" w:history="1"/>
      <w:r w:rsidRPr="00297A95">
        <w:rPr>
          <w:rFonts w:ascii="Arial" w:hAnsi="Arial" w:cs="Arial"/>
        </w:rPr>
        <w:t xml:space="preserve"> while soluble factors induce keratinocyte apoptosis.</w:t>
      </w:r>
      <w:r w:rsidRPr="00A15AE2">
        <w:rPr>
          <w:rFonts w:ascii="Arial" w:hAnsi="Arial" w:cs="Arial"/>
          <w:noProof/>
          <w:vertAlign w:val="superscript"/>
        </w:rPr>
        <w:t>10</w:t>
      </w:r>
      <w:r w:rsidRPr="00297A95">
        <w:rPr>
          <w:rFonts w:ascii="Arial" w:hAnsi="Arial" w:cs="Arial"/>
        </w:rPr>
        <w:t xml:space="preserve"> </w:t>
      </w:r>
      <w:r>
        <w:rPr>
          <w:rFonts w:ascii="Arial" w:hAnsi="Arial" w:cs="Arial"/>
        </w:rPr>
        <w:t>Pro-apoptotic molecules, including tumour necrosis factor-</w:t>
      </w:r>
      <w:r w:rsidRPr="00E45E86">
        <w:rPr>
          <w:rFonts w:ascii="Symbol" w:hAnsi="Symbol" w:cs="Arial"/>
        </w:rPr>
        <w:t></w:t>
      </w:r>
      <w:r>
        <w:rPr>
          <w:rFonts w:ascii="Arial" w:hAnsi="Arial" w:cs="Arial"/>
        </w:rPr>
        <w:t>, interferon-</w:t>
      </w:r>
      <w:r w:rsidRPr="00E45E86">
        <w:rPr>
          <w:rFonts w:ascii="Symbol" w:hAnsi="Symbol" w:cs="Arial"/>
        </w:rPr>
        <w:t></w:t>
      </w:r>
      <w:r>
        <w:rPr>
          <w:rFonts w:ascii="Arial" w:hAnsi="Arial" w:cs="Arial"/>
        </w:rPr>
        <w:t xml:space="preserve"> and inducible nitric oxide synthase, may link drug-induced immune responses to keratinocyte damage.</w:t>
      </w:r>
      <w:r w:rsidRPr="000A7318">
        <w:rPr>
          <w:rFonts w:ascii="Arial" w:hAnsi="Arial" w:cs="Arial"/>
          <w:noProof/>
          <w:vertAlign w:val="superscript"/>
        </w:rPr>
        <w:t>11</w:t>
      </w:r>
      <w:r>
        <w:rPr>
          <w:rFonts w:ascii="Arial" w:hAnsi="Arial" w:cs="Arial"/>
        </w:rPr>
        <w:t xml:space="preserve"> </w:t>
      </w:r>
      <w:r w:rsidRPr="00297A95">
        <w:rPr>
          <w:rFonts w:ascii="Arial" w:hAnsi="Arial" w:cs="Arial"/>
        </w:rPr>
        <w:t xml:space="preserve">Although soluble </w:t>
      </w:r>
      <w:proofErr w:type="spellStart"/>
      <w:r w:rsidRPr="00297A95">
        <w:rPr>
          <w:rFonts w:ascii="Arial" w:hAnsi="Arial" w:cs="Arial"/>
        </w:rPr>
        <w:t>Fas</w:t>
      </w:r>
      <w:proofErr w:type="spellEnd"/>
      <w:r w:rsidRPr="00297A95">
        <w:rPr>
          <w:rFonts w:ascii="Arial" w:hAnsi="Arial" w:cs="Arial"/>
        </w:rPr>
        <w:t xml:space="preserve"> ligand, perforin and </w:t>
      </w:r>
      <w:proofErr w:type="spellStart"/>
      <w:r w:rsidRPr="00297A95">
        <w:rPr>
          <w:rFonts w:ascii="Arial" w:hAnsi="Arial" w:cs="Arial"/>
        </w:rPr>
        <w:t>granzyme</w:t>
      </w:r>
      <w:proofErr w:type="spellEnd"/>
      <w:r w:rsidRPr="00297A95">
        <w:rPr>
          <w:rFonts w:ascii="Arial" w:hAnsi="Arial" w:cs="Arial"/>
        </w:rPr>
        <w:t xml:space="preserve"> have all been implicated in triggering keratinocyte </w:t>
      </w:r>
      <w:r>
        <w:rPr>
          <w:rFonts w:ascii="Arial" w:hAnsi="Arial" w:cs="Arial"/>
        </w:rPr>
        <w:t xml:space="preserve">programmed cell </w:t>
      </w:r>
      <w:r w:rsidRPr="00297A95">
        <w:rPr>
          <w:rFonts w:ascii="Arial" w:hAnsi="Arial" w:cs="Arial"/>
        </w:rPr>
        <w:t>death</w:t>
      </w:r>
      <w:r>
        <w:rPr>
          <w:rFonts w:ascii="Arial" w:hAnsi="Arial" w:cs="Arial"/>
        </w:rPr>
        <w:t>,</w:t>
      </w:r>
      <w:r w:rsidRPr="000A7318">
        <w:rPr>
          <w:rFonts w:ascii="Arial" w:hAnsi="Arial" w:cs="Arial"/>
          <w:noProof/>
          <w:vertAlign w:val="superscript"/>
        </w:rPr>
        <w:t>12,13</w:t>
      </w:r>
      <w:r w:rsidRPr="00297A95">
        <w:rPr>
          <w:rFonts w:ascii="Arial" w:hAnsi="Arial" w:cs="Arial"/>
        </w:rPr>
        <w:t xml:space="preserve"> current evidence favours </w:t>
      </w:r>
      <w:proofErr w:type="spellStart"/>
      <w:r w:rsidRPr="00297A95">
        <w:rPr>
          <w:rFonts w:ascii="Arial" w:hAnsi="Arial" w:cs="Arial"/>
        </w:rPr>
        <w:t>granulysin</w:t>
      </w:r>
      <w:proofErr w:type="spellEnd"/>
      <w:r w:rsidRPr="00297A95">
        <w:rPr>
          <w:rFonts w:ascii="Arial" w:hAnsi="Arial" w:cs="Arial"/>
        </w:rPr>
        <w:t xml:space="preserve"> as the key mediator of apoptosis in SJS/TEN.</w:t>
      </w:r>
      <w:r w:rsidRPr="000A7318">
        <w:rPr>
          <w:rFonts w:ascii="Arial" w:hAnsi="Arial" w:cs="Arial"/>
          <w:noProof/>
          <w:vertAlign w:val="superscript"/>
        </w:rPr>
        <w:t>14</w:t>
      </w:r>
      <w:r w:rsidRPr="00297A95">
        <w:rPr>
          <w:rFonts w:ascii="Arial" w:hAnsi="Arial" w:cs="Arial"/>
        </w:rPr>
        <w:t xml:space="preserve"> </w:t>
      </w:r>
      <w:r>
        <w:rPr>
          <w:rFonts w:ascii="Arial" w:hAnsi="Arial" w:cs="Arial"/>
        </w:rPr>
        <w:t>A</w:t>
      </w:r>
      <w:r w:rsidRPr="00297A95">
        <w:rPr>
          <w:rFonts w:ascii="Arial" w:hAnsi="Arial" w:cs="Arial"/>
        </w:rPr>
        <w:t xml:space="preserve"> study by Chung </w:t>
      </w:r>
      <w:r w:rsidRPr="00297A95">
        <w:rPr>
          <w:rFonts w:ascii="Arial" w:hAnsi="Arial" w:cs="Arial"/>
          <w:i/>
        </w:rPr>
        <w:t>et al</w:t>
      </w:r>
      <w:r w:rsidRPr="00297A95">
        <w:rPr>
          <w:rFonts w:ascii="Arial" w:hAnsi="Arial" w:cs="Arial"/>
        </w:rPr>
        <w:t>. demonstrated the presence of high concentrations of secretory 15</w:t>
      </w:r>
      <w:r>
        <w:rPr>
          <w:rFonts w:ascii="Arial" w:hAnsi="Arial" w:cs="Arial"/>
        </w:rPr>
        <w:t xml:space="preserve"> </w:t>
      </w:r>
      <w:proofErr w:type="spellStart"/>
      <w:r w:rsidRPr="00297A95">
        <w:rPr>
          <w:rFonts w:ascii="Arial" w:hAnsi="Arial" w:cs="Arial"/>
        </w:rPr>
        <w:t>kDa</w:t>
      </w:r>
      <w:proofErr w:type="spellEnd"/>
      <w:r w:rsidRPr="00297A95">
        <w:rPr>
          <w:rFonts w:ascii="Arial" w:hAnsi="Arial" w:cs="Arial"/>
        </w:rPr>
        <w:t xml:space="preserve"> </w:t>
      </w:r>
      <w:proofErr w:type="spellStart"/>
      <w:r w:rsidRPr="00297A95">
        <w:rPr>
          <w:rFonts w:ascii="Arial" w:hAnsi="Arial" w:cs="Arial"/>
        </w:rPr>
        <w:t>granulysin</w:t>
      </w:r>
      <w:proofErr w:type="spellEnd"/>
      <w:r w:rsidRPr="00297A95">
        <w:rPr>
          <w:rFonts w:ascii="Arial" w:hAnsi="Arial" w:cs="Arial"/>
        </w:rPr>
        <w:t xml:space="preserve"> in TEN blister fluid, while injection of 15 </w:t>
      </w:r>
      <w:proofErr w:type="spellStart"/>
      <w:r w:rsidRPr="00297A95">
        <w:rPr>
          <w:rFonts w:ascii="Arial" w:hAnsi="Arial" w:cs="Arial"/>
        </w:rPr>
        <w:t>kDa</w:t>
      </w:r>
      <w:proofErr w:type="spellEnd"/>
      <w:r w:rsidRPr="00297A95">
        <w:rPr>
          <w:rFonts w:ascii="Arial" w:hAnsi="Arial" w:cs="Arial"/>
        </w:rPr>
        <w:t xml:space="preserve"> </w:t>
      </w:r>
      <w:proofErr w:type="spellStart"/>
      <w:r w:rsidRPr="00297A95">
        <w:rPr>
          <w:rFonts w:ascii="Arial" w:hAnsi="Arial" w:cs="Arial"/>
        </w:rPr>
        <w:t>granulysin</w:t>
      </w:r>
      <w:proofErr w:type="spellEnd"/>
      <w:r w:rsidRPr="00297A95">
        <w:rPr>
          <w:rFonts w:ascii="Arial" w:hAnsi="Arial" w:cs="Arial"/>
        </w:rPr>
        <w:t xml:space="preserve"> into mouse skin induces </w:t>
      </w:r>
      <w:r>
        <w:rPr>
          <w:rFonts w:ascii="Arial" w:hAnsi="Arial" w:cs="Arial"/>
        </w:rPr>
        <w:t>keratinocyte apoptosis, mimicking</w:t>
      </w:r>
      <w:r w:rsidRPr="00297A95">
        <w:rPr>
          <w:rFonts w:ascii="Arial" w:hAnsi="Arial" w:cs="Arial"/>
        </w:rPr>
        <w:t xml:space="preserve"> SJS/TEN.</w:t>
      </w:r>
      <w:r w:rsidRPr="000A7318">
        <w:rPr>
          <w:rFonts w:ascii="Arial" w:hAnsi="Arial" w:cs="Arial"/>
          <w:noProof/>
          <w:vertAlign w:val="superscript"/>
        </w:rPr>
        <w:t>14</w:t>
      </w:r>
      <w:r>
        <w:rPr>
          <w:rFonts w:ascii="Arial" w:hAnsi="Arial" w:cs="Arial"/>
        </w:rPr>
        <w:t xml:space="preserve"> </w:t>
      </w:r>
      <w:hyperlink w:anchor="_ENREF_15" w:tooltip="Saito, 2014 #4797" w:history="1"/>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color w:val="0070C0"/>
        </w:rPr>
      </w:pPr>
    </w:p>
    <w:p w:rsidR="00BD084C" w:rsidRPr="006276EE" w:rsidRDefault="00BD084C" w:rsidP="0085034D">
      <w:pPr>
        <w:pStyle w:val="NoSpacing"/>
        <w:spacing w:line="276" w:lineRule="auto"/>
        <w:jc w:val="both"/>
        <w:rPr>
          <w:rFonts w:ascii="Arial" w:hAnsi="Arial" w:cs="Arial"/>
          <w:color w:val="00B0F0"/>
        </w:rPr>
      </w:pPr>
      <w:r w:rsidRPr="006276EE">
        <w:rPr>
          <w:rFonts w:ascii="Arial" w:hAnsi="Arial" w:cs="Arial"/>
          <w:b/>
          <w:color w:val="00B0F0"/>
        </w:rPr>
        <w:t>7.0 DIAGNOSIS, INITIAL ASSESSMENT, DRUG CAUSALITY AND PROGNOSIS IN SJS/TEN</w:t>
      </w:r>
      <w:r w:rsidRPr="006276EE">
        <w:rPr>
          <w:rFonts w:ascii="Arial" w:hAnsi="Arial" w:cs="Arial"/>
          <w:color w:val="00B0F0"/>
        </w:rPr>
        <w:t xml:space="preserve">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b/>
        </w:rPr>
        <w:t>7.1</w:t>
      </w:r>
      <w:r w:rsidRPr="00297A95">
        <w:rPr>
          <w:rFonts w:ascii="Arial" w:hAnsi="Arial" w:cs="Arial"/>
        </w:rPr>
        <w:t xml:space="preserve"> </w:t>
      </w:r>
      <w:r w:rsidRPr="00297A95">
        <w:rPr>
          <w:rFonts w:ascii="Arial" w:hAnsi="Arial" w:cs="Arial"/>
          <w:b/>
        </w:rPr>
        <w:t>What are the clinical features of SJS/TEN?</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SJS/TEN is an acute, severe dermatosis characterized by epidermal loss and multi-site mucositis, accompanied by systemic disturbance. A study by </w:t>
      </w:r>
      <w:proofErr w:type="spellStart"/>
      <w:r w:rsidRPr="00297A95">
        <w:rPr>
          <w:rFonts w:ascii="Arial" w:hAnsi="Arial" w:cs="Arial"/>
        </w:rPr>
        <w:t>Revuz</w:t>
      </w:r>
      <w:proofErr w:type="spellEnd"/>
      <w:r w:rsidRPr="00297A95">
        <w:rPr>
          <w:rFonts w:ascii="Arial" w:hAnsi="Arial" w:cs="Arial"/>
        </w:rPr>
        <w:t xml:space="preserve"> </w:t>
      </w:r>
      <w:r w:rsidRPr="00297A95">
        <w:rPr>
          <w:rFonts w:ascii="Arial" w:hAnsi="Arial" w:cs="Arial"/>
          <w:i/>
        </w:rPr>
        <w:t>et al</w:t>
      </w:r>
      <w:r w:rsidRPr="00297A95">
        <w:rPr>
          <w:rFonts w:ascii="Arial" w:hAnsi="Arial" w:cs="Arial"/>
        </w:rPr>
        <w:t>. of 87 consecutive patients managed on a specialist unit gives a detailed description of the clinical features observed in SJS/TEN.</w:t>
      </w:r>
      <w:r w:rsidRPr="00FF70EF">
        <w:rPr>
          <w:rFonts w:ascii="Arial" w:hAnsi="Arial" w:cs="Arial"/>
          <w:noProof/>
          <w:vertAlign w:val="superscript"/>
        </w:rPr>
        <w:t>15</w:t>
      </w:r>
      <w:r w:rsidRPr="00297A95">
        <w:rPr>
          <w:rFonts w:ascii="Arial" w:hAnsi="Arial" w:cs="Arial"/>
        </w:rPr>
        <w:t xml:space="preserve"> In </w:t>
      </w:r>
      <w:proofErr w:type="gramStart"/>
      <w:r w:rsidRPr="00297A95">
        <w:rPr>
          <w:rFonts w:ascii="Arial" w:hAnsi="Arial" w:cs="Arial"/>
        </w:rPr>
        <w:t>general,</w:t>
      </w:r>
      <w:proofErr w:type="gramEnd"/>
      <w:r w:rsidRPr="00297A95">
        <w:rPr>
          <w:rFonts w:ascii="Arial" w:hAnsi="Arial" w:cs="Arial"/>
        </w:rPr>
        <w:t xml:space="preserve"> a </w:t>
      </w:r>
      <w:proofErr w:type="spellStart"/>
      <w:r w:rsidRPr="00297A95">
        <w:rPr>
          <w:rFonts w:ascii="Arial" w:hAnsi="Arial" w:cs="Arial"/>
        </w:rPr>
        <w:t>prodrome</w:t>
      </w:r>
      <w:proofErr w:type="spellEnd"/>
      <w:r w:rsidRPr="00297A95">
        <w:rPr>
          <w:rFonts w:ascii="Arial" w:hAnsi="Arial" w:cs="Arial"/>
        </w:rPr>
        <w:t xml:space="preserve"> of fever, malaise and upper respiratory tract symptoms precedes the eruption by several days. Ocular inflammation may also develop before the skin signs. Cutaneous pain is a prominent early feature in SJS/TEN, and the presence of this symptom should alert the physician to incipient epidermal necrolysis. Clinical observation in the </w:t>
      </w:r>
      <w:proofErr w:type="spellStart"/>
      <w:r w:rsidRPr="00297A95">
        <w:rPr>
          <w:rFonts w:ascii="Arial" w:hAnsi="Arial" w:cs="Arial"/>
        </w:rPr>
        <w:t>Revuz</w:t>
      </w:r>
      <w:proofErr w:type="spellEnd"/>
      <w:r w:rsidRPr="00297A95">
        <w:rPr>
          <w:rFonts w:ascii="Arial" w:hAnsi="Arial" w:cs="Arial"/>
        </w:rPr>
        <w:t xml:space="preserve"> </w:t>
      </w:r>
      <w:r w:rsidRPr="00297A95">
        <w:rPr>
          <w:rFonts w:ascii="Arial" w:hAnsi="Arial" w:cs="Arial"/>
          <w:i/>
        </w:rPr>
        <w:t>et al.</w:t>
      </w:r>
      <w:r w:rsidRPr="00297A95">
        <w:rPr>
          <w:rFonts w:ascii="Arial" w:hAnsi="Arial" w:cs="Arial"/>
        </w:rPr>
        <w:t xml:space="preserve"> series demonstrated a wide variation in the </w:t>
      </w:r>
      <w:r>
        <w:rPr>
          <w:rFonts w:ascii="Arial" w:hAnsi="Arial" w:cs="Arial"/>
        </w:rPr>
        <w:t xml:space="preserve">type of lesion and </w:t>
      </w:r>
      <w:r w:rsidRPr="00297A95">
        <w:rPr>
          <w:rFonts w:ascii="Arial" w:hAnsi="Arial" w:cs="Arial"/>
        </w:rPr>
        <w:t>degree of skin involvement</w:t>
      </w:r>
      <w:r>
        <w:rPr>
          <w:rFonts w:ascii="Arial" w:hAnsi="Arial" w:cs="Arial"/>
        </w:rPr>
        <w:t xml:space="preserve">. </w:t>
      </w:r>
      <w:r w:rsidRPr="00297A95">
        <w:rPr>
          <w:rFonts w:ascii="Arial" w:hAnsi="Arial" w:cs="Arial"/>
        </w:rPr>
        <w:t xml:space="preserve">The </w:t>
      </w:r>
      <w:r>
        <w:rPr>
          <w:rFonts w:ascii="Arial" w:hAnsi="Arial" w:cs="Arial"/>
        </w:rPr>
        <w:t>earliest lesions</w:t>
      </w:r>
      <w:r w:rsidRPr="00297A95">
        <w:rPr>
          <w:rFonts w:ascii="Arial" w:hAnsi="Arial" w:cs="Arial"/>
        </w:rPr>
        <w:t xml:space="preserve"> are </w:t>
      </w:r>
      <w:r>
        <w:rPr>
          <w:rFonts w:ascii="Arial" w:hAnsi="Arial" w:cs="Arial"/>
        </w:rPr>
        <w:t xml:space="preserve">atypical targets (Figure 1) and/or </w:t>
      </w:r>
      <w:r w:rsidRPr="00297A95">
        <w:rPr>
          <w:rFonts w:ascii="Arial" w:hAnsi="Arial" w:cs="Arial"/>
        </w:rPr>
        <w:t xml:space="preserve">purpuric macules </w:t>
      </w:r>
      <w:r>
        <w:rPr>
          <w:rFonts w:ascii="Arial" w:hAnsi="Arial" w:cs="Arial"/>
        </w:rPr>
        <w:t xml:space="preserve">(Figure 2). Initial sites of involvement are commonly </w:t>
      </w:r>
      <w:r w:rsidRPr="00297A95">
        <w:rPr>
          <w:rFonts w:ascii="Arial" w:hAnsi="Arial" w:cs="Arial"/>
        </w:rPr>
        <w:t xml:space="preserve">the upper </w:t>
      </w:r>
      <w:r w:rsidRPr="00297A95">
        <w:rPr>
          <w:rFonts w:ascii="Arial" w:hAnsi="Arial" w:cs="Arial"/>
        </w:rPr>
        <w:lastRenderedPageBreak/>
        <w:t>torso</w:t>
      </w:r>
      <w:r>
        <w:rPr>
          <w:rFonts w:ascii="Arial" w:hAnsi="Arial" w:cs="Arial"/>
        </w:rPr>
        <w:t>, proximal limbs and face.</w:t>
      </w:r>
      <w:r w:rsidRPr="00297A95">
        <w:rPr>
          <w:rFonts w:ascii="Arial" w:hAnsi="Arial" w:cs="Arial"/>
        </w:rPr>
        <w:t xml:space="preserve"> </w:t>
      </w:r>
      <w:r>
        <w:rPr>
          <w:rFonts w:ascii="Arial" w:hAnsi="Arial" w:cs="Arial"/>
        </w:rPr>
        <w:t>Thereafter lesions spread to involve</w:t>
      </w:r>
      <w:r w:rsidRPr="00297A95">
        <w:rPr>
          <w:rFonts w:ascii="Arial" w:hAnsi="Arial" w:cs="Arial"/>
        </w:rPr>
        <w:t xml:space="preserve"> the rest of the trunk</w:t>
      </w:r>
      <w:r>
        <w:rPr>
          <w:rFonts w:ascii="Arial" w:hAnsi="Arial" w:cs="Arial"/>
        </w:rPr>
        <w:t xml:space="preserve"> (Figure 3) and</w:t>
      </w:r>
      <w:r w:rsidRPr="00297A95">
        <w:rPr>
          <w:rFonts w:ascii="Arial" w:hAnsi="Arial" w:cs="Arial"/>
        </w:rPr>
        <w:t xml:space="preserve"> </w:t>
      </w:r>
      <w:r>
        <w:rPr>
          <w:rFonts w:ascii="Arial" w:hAnsi="Arial" w:cs="Arial"/>
        </w:rPr>
        <w:t xml:space="preserve">distal </w:t>
      </w:r>
      <w:r w:rsidRPr="00297A95">
        <w:rPr>
          <w:rFonts w:ascii="Arial" w:hAnsi="Arial" w:cs="Arial"/>
        </w:rPr>
        <w:t>limbs</w:t>
      </w:r>
      <w:r>
        <w:rPr>
          <w:rFonts w:ascii="Arial" w:hAnsi="Arial" w:cs="Arial"/>
        </w:rPr>
        <w:t>. Involvement of the palms and soles is often prominent (Figure 4). Large areas of confluent erythema develop in severe cases (Figure 5).</w:t>
      </w:r>
      <w:r w:rsidRPr="00297A95">
        <w:rPr>
          <w:rFonts w:ascii="Arial" w:hAnsi="Arial" w:cs="Arial"/>
        </w:rPr>
        <w:t xml:space="preserve"> </w:t>
      </w:r>
      <w:proofErr w:type="spellStart"/>
      <w:r>
        <w:rPr>
          <w:rFonts w:ascii="Arial" w:hAnsi="Arial" w:cs="Arial"/>
        </w:rPr>
        <w:t>Lesional</w:t>
      </w:r>
      <w:proofErr w:type="spellEnd"/>
      <w:r>
        <w:rPr>
          <w:rFonts w:ascii="Arial" w:hAnsi="Arial" w:cs="Arial"/>
        </w:rPr>
        <w:t xml:space="preserve"> skin is tender to touch; minimal shearing forces will cause the epidermis to peel back (Figure 6). This fragility is demonstrated by the </w:t>
      </w:r>
      <w:proofErr w:type="spellStart"/>
      <w:r>
        <w:rPr>
          <w:rFonts w:ascii="Arial" w:hAnsi="Arial" w:cs="Arial"/>
        </w:rPr>
        <w:t>Nikolsky</w:t>
      </w:r>
      <w:proofErr w:type="spellEnd"/>
      <w:r>
        <w:rPr>
          <w:rFonts w:ascii="Arial" w:hAnsi="Arial" w:cs="Arial"/>
        </w:rPr>
        <w:t xml:space="preserve"> sign, in which gentle lateral pressure causes </w:t>
      </w:r>
      <w:proofErr w:type="spellStart"/>
      <w:r>
        <w:rPr>
          <w:rFonts w:ascii="Arial" w:hAnsi="Arial" w:cs="Arial"/>
        </w:rPr>
        <w:t>lesional</w:t>
      </w:r>
      <w:proofErr w:type="spellEnd"/>
      <w:r>
        <w:rPr>
          <w:rFonts w:ascii="Arial" w:hAnsi="Arial" w:cs="Arial"/>
        </w:rPr>
        <w:t xml:space="preserve">, detachable epidermis (as opposed to detached epidermis) to slide over the dermis. </w:t>
      </w:r>
      <w:r w:rsidRPr="00297A95">
        <w:rPr>
          <w:rFonts w:ascii="Arial" w:hAnsi="Arial" w:cs="Arial"/>
        </w:rPr>
        <w:t xml:space="preserve">Although not specific for SJS/TEN (it is also positive in pemphigus) </w:t>
      </w:r>
      <w:r>
        <w:rPr>
          <w:rFonts w:ascii="Arial" w:hAnsi="Arial" w:cs="Arial"/>
        </w:rPr>
        <w:t xml:space="preserve">the </w:t>
      </w:r>
      <w:proofErr w:type="spellStart"/>
      <w:r w:rsidRPr="00297A95">
        <w:rPr>
          <w:rFonts w:ascii="Arial" w:hAnsi="Arial" w:cs="Arial"/>
        </w:rPr>
        <w:t>Nikolsky</w:t>
      </w:r>
      <w:proofErr w:type="spellEnd"/>
      <w:r w:rsidRPr="00297A95">
        <w:rPr>
          <w:rFonts w:ascii="Arial" w:hAnsi="Arial" w:cs="Arial"/>
        </w:rPr>
        <w:t xml:space="preserve"> sign is a helpful clinical indicator of epidermal necrolysis. Involved areas expand and coalesce, reaching a maximum 5 to 7 days after disease onset. Blistering ensues in which necrotic epidermis separates from underlying dermis</w:t>
      </w:r>
      <w:r>
        <w:rPr>
          <w:rFonts w:ascii="Arial" w:hAnsi="Arial" w:cs="Arial"/>
        </w:rPr>
        <w:t xml:space="preserve"> producing flaccid bullae (Figure 7)</w:t>
      </w:r>
      <w:r w:rsidRPr="00297A95">
        <w:rPr>
          <w:rFonts w:ascii="Arial" w:hAnsi="Arial" w:cs="Arial"/>
        </w:rPr>
        <w:t>.</w:t>
      </w:r>
      <w:r>
        <w:rPr>
          <w:rFonts w:ascii="Arial" w:hAnsi="Arial" w:cs="Arial"/>
        </w:rPr>
        <w:t xml:space="preserve"> Extensive necrolysis results in the detachment of sheets of epidermis leaving areas of exposed dermis (Figure 8). Denuded dermis exudes serum, becomes secondarily infected and readily bleeds. </w:t>
      </w:r>
      <w:r w:rsidRPr="00297A95">
        <w:rPr>
          <w:rFonts w:ascii="Arial" w:hAnsi="Arial" w:cs="Arial"/>
        </w:rPr>
        <w:t>Involvement of the mucous membranes of the eyes</w:t>
      </w:r>
      <w:r>
        <w:rPr>
          <w:rFonts w:ascii="Arial" w:hAnsi="Arial" w:cs="Arial"/>
        </w:rPr>
        <w:t xml:space="preserve"> (Figure 9)</w:t>
      </w:r>
      <w:r w:rsidRPr="00297A95">
        <w:rPr>
          <w:rFonts w:ascii="Arial" w:hAnsi="Arial" w:cs="Arial"/>
        </w:rPr>
        <w:t>, mouth</w:t>
      </w:r>
      <w:r>
        <w:rPr>
          <w:rFonts w:ascii="Arial" w:hAnsi="Arial" w:cs="Arial"/>
        </w:rPr>
        <w:t xml:space="preserve"> (Figure 10)</w:t>
      </w:r>
      <w:r w:rsidRPr="00297A95">
        <w:rPr>
          <w:rFonts w:ascii="Arial" w:hAnsi="Arial" w:cs="Arial"/>
        </w:rPr>
        <w:t>, nose and genitalia</w:t>
      </w:r>
      <w:r>
        <w:rPr>
          <w:rFonts w:ascii="Arial" w:hAnsi="Arial" w:cs="Arial"/>
        </w:rPr>
        <w:t xml:space="preserve"> (Figure 11)</w:t>
      </w:r>
      <w:r w:rsidRPr="00297A95">
        <w:rPr>
          <w:rFonts w:ascii="Arial" w:hAnsi="Arial" w:cs="Arial"/>
        </w:rPr>
        <w:t xml:space="preserve"> is usually an early feature and leads to an erosive and haemorrhagic mucositis. In </w:t>
      </w:r>
      <w:proofErr w:type="spellStart"/>
      <w:r w:rsidRPr="00297A95">
        <w:rPr>
          <w:rFonts w:ascii="Arial" w:hAnsi="Arial" w:cs="Arial"/>
        </w:rPr>
        <w:t>Revuz</w:t>
      </w:r>
      <w:proofErr w:type="spellEnd"/>
      <w:r w:rsidRPr="00297A95">
        <w:rPr>
          <w:rFonts w:ascii="Arial" w:hAnsi="Arial" w:cs="Arial"/>
        </w:rPr>
        <w:t xml:space="preserve"> </w:t>
      </w:r>
      <w:r w:rsidRPr="00297A95">
        <w:rPr>
          <w:rFonts w:ascii="Arial" w:hAnsi="Arial" w:cs="Arial"/>
          <w:i/>
        </w:rPr>
        <w:t>et al.</w:t>
      </w:r>
      <w:r w:rsidRPr="00297A95">
        <w:rPr>
          <w:rFonts w:ascii="Arial" w:hAnsi="Arial" w:cs="Arial"/>
        </w:rPr>
        <w:t>’s series of 87 SJS/TEN patients, 97% developed erosive mucous membrane lesions; oral involvement was observed in 93% of patients, ocular in 78%, genital in 63%, and all three sites in 66%.</w:t>
      </w:r>
      <w:r w:rsidRPr="00FF70EF">
        <w:rPr>
          <w:rFonts w:ascii="Arial" w:hAnsi="Arial" w:cs="Arial"/>
          <w:noProof/>
          <w:vertAlign w:val="superscript"/>
        </w:rPr>
        <w:t>15</w:t>
      </w:r>
      <w:r w:rsidRPr="00297A95">
        <w:rPr>
          <w:rFonts w:ascii="Arial" w:hAnsi="Arial" w:cs="Arial"/>
        </w:rPr>
        <w:t xml:space="preserve"> Respiratory tract epithelial necrolysis can occur resulting in bronchial obstruction and </w:t>
      </w:r>
      <w:proofErr w:type="spellStart"/>
      <w:r w:rsidRPr="00297A95">
        <w:rPr>
          <w:rFonts w:ascii="Arial" w:hAnsi="Arial" w:cs="Arial"/>
        </w:rPr>
        <w:t>ventilatory</w:t>
      </w:r>
      <w:proofErr w:type="spellEnd"/>
      <w:r w:rsidRPr="00297A95">
        <w:rPr>
          <w:rFonts w:ascii="Arial" w:hAnsi="Arial" w:cs="Arial"/>
        </w:rPr>
        <w:t xml:space="preserve"> compromise; necrolysis of gastrointestinal epithelium leads to profuse diarrhoea.</w:t>
      </w:r>
      <w:r>
        <w:rPr>
          <w:rFonts w:ascii="Arial" w:hAnsi="Arial" w:cs="Arial"/>
        </w:rPr>
        <w:t xml:space="preserve"> Acute kidney injury may occur in the early phase of SJS/TEN due to </w:t>
      </w:r>
      <w:proofErr w:type="spellStart"/>
      <w:r>
        <w:rPr>
          <w:rFonts w:ascii="Arial" w:hAnsi="Arial" w:cs="Arial"/>
        </w:rPr>
        <w:t>hypoperfusion</w:t>
      </w:r>
      <w:proofErr w:type="spellEnd"/>
      <w:r>
        <w:rPr>
          <w:rFonts w:ascii="Arial" w:hAnsi="Arial" w:cs="Arial"/>
        </w:rPr>
        <w:t xml:space="preserve"> and acute tubular necrosis. Mild elevation of liver enzymes is common but significant hepatic impairment is rare.</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Despite the striking clinical presentation of SJS/TEN, a number of disorders can present with blistering of the skin and mucous membranes; the clinical differential diagnosis includes pemphigus, pemphigoid, other </w:t>
      </w:r>
      <w:proofErr w:type="spellStart"/>
      <w:r w:rsidRPr="00297A95">
        <w:rPr>
          <w:rFonts w:ascii="Arial" w:hAnsi="Arial" w:cs="Arial"/>
        </w:rPr>
        <w:t>immunobullous</w:t>
      </w:r>
      <w:proofErr w:type="spellEnd"/>
      <w:r w:rsidRPr="00297A95">
        <w:rPr>
          <w:rFonts w:ascii="Arial" w:hAnsi="Arial" w:cs="Arial"/>
        </w:rPr>
        <w:t xml:space="preserve"> disorders, and erythema </w:t>
      </w:r>
      <w:proofErr w:type="spellStart"/>
      <w:r w:rsidRPr="00297A95">
        <w:rPr>
          <w:rFonts w:ascii="Arial" w:hAnsi="Arial" w:cs="Arial"/>
        </w:rPr>
        <w:t>multiforme</w:t>
      </w:r>
      <w:proofErr w:type="spellEnd"/>
      <w:r w:rsidRPr="00297A95">
        <w:rPr>
          <w:rFonts w:ascii="Arial" w:hAnsi="Arial" w:cs="Arial"/>
        </w:rPr>
        <w:t xml:space="preserve"> major</w:t>
      </w:r>
      <w:r>
        <w:rPr>
          <w:rFonts w:ascii="Arial" w:hAnsi="Arial" w:cs="Arial"/>
        </w:rPr>
        <w:t xml:space="preserve"> (EMM)</w:t>
      </w:r>
      <w:r w:rsidRPr="00297A95">
        <w:rPr>
          <w:rFonts w:ascii="Arial" w:hAnsi="Arial" w:cs="Arial"/>
        </w:rPr>
        <w:t xml:space="preserve"> (</w:t>
      </w:r>
      <w:r>
        <w:rPr>
          <w:rFonts w:ascii="Arial" w:hAnsi="Arial" w:cs="Arial"/>
        </w:rPr>
        <w:t xml:space="preserve">see </w:t>
      </w:r>
      <w:r w:rsidRPr="00297A95">
        <w:rPr>
          <w:rFonts w:ascii="Arial" w:hAnsi="Arial" w:cs="Arial"/>
        </w:rPr>
        <w:t xml:space="preserve">Table 1). </w:t>
      </w:r>
    </w:p>
    <w:p w:rsidR="00BD084C" w:rsidRPr="00297A95" w:rsidRDefault="00BD084C" w:rsidP="0085034D">
      <w:pPr>
        <w:pStyle w:val="NoSpacing"/>
        <w:spacing w:line="276" w:lineRule="auto"/>
        <w:jc w:val="both"/>
        <w:rPr>
          <w:rFonts w:ascii="Arial" w:hAnsi="Arial" w:cs="Arial"/>
        </w:rPr>
      </w:pPr>
    </w:p>
    <w:tbl>
      <w:tblPr>
        <w:tblW w:w="0" w:type="auto"/>
        <w:tblInd w:w="108"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4A0" w:firstRow="1" w:lastRow="0" w:firstColumn="1" w:lastColumn="0" w:noHBand="0" w:noVBand="1"/>
      </w:tblPr>
      <w:tblGrid>
        <w:gridCol w:w="4678"/>
      </w:tblGrid>
      <w:tr w:rsidR="00BD084C" w:rsidRPr="00297A95" w:rsidTr="0085034D">
        <w:tc>
          <w:tcPr>
            <w:tcW w:w="4678" w:type="dxa"/>
            <w:shd w:val="clear" w:color="auto" w:fill="E5F4F7"/>
            <w:tcMar>
              <w:top w:w="28" w:type="dxa"/>
              <w:bottom w:w="28" w:type="dxa"/>
            </w:tcMar>
            <w:vAlign w:val="center"/>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Erythema </w:t>
            </w:r>
            <w:proofErr w:type="spellStart"/>
            <w:r w:rsidRPr="00297A95">
              <w:rPr>
                <w:rFonts w:ascii="Arial" w:hAnsi="Arial" w:cs="Arial"/>
              </w:rPr>
              <w:t>multiforme</w:t>
            </w:r>
            <w:proofErr w:type="spellEnd"/>
            <w:r w:rsidRPr="00297A95">
              <w:rPr>
                <w:rFonts w:ascii="Arial" w:hAnsi="Arial" w:cs="Arial"/>
              </w:rPr>
              <w:t xml:space="preserve"> major</w:t>
            </w:r>
          </w:p>
        </w:tc>
      </w:tr>
      <w:tr w:rsidR="00BD084C" w:rsidRPr="00297A95" w:rsidTr="0085034D">
        <w:tc>
          <w:tcPr>
            <w:tcW w:w="4678" w:type="dxa"/>
            <w:shd w:val="clear" w:color="auto" w:fill="E5F4F7"/>
            <w:tcMar>
              <w:top w:w="28" w:type="dxa"/>
              <w:bottom w:w="28" w:type="dxa"/>
            </w:tcMar>
            <w:vAlign w:val="center"/>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Pemphigus vulgaris</w:t>
            </w:r>
          </w:p>
        </w:tc>
      </w:tr>
      <w:tr w:rsidR="00BD084C" w:rsidRPr="00297A95" w:rsidTr="0085034D">
        <w:tc>
          <w:tcPr>
            <w:tcW w:w="4678" w:type="dxa"/>
            <w:shd w:val="clear" w:color="auto" w:fill="E5F4F7"/>
            <w:tcMar>
              <w:top w:w="28" w:type="dxa"/>
              <w:bottom w:w="28" w:type="dxa"/>
            </w:tcMar>
            <w:vAlign w:val="center"/>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Mucous membrane pemphigoid</w:t>
            </w:r>
          </w:p>
        </w:tc>
      </w:tr>
      <w:tr w:rsidR="00BD084C" w:rsidRPr="00297A95" w:rsidTr="0085034D">
        <w:tc>
          <w:tcPr>
            <w:tcW w:w="4678" w:type="dxa"/>
            <w:shd w:val="clear" w:color="auto" w:fill="E5F4F7"/>
            <w:tcMar>
              <w:top w:w="28" w:type="dxa"/>
              <w:bottom w:w="28" w:type="dxa"/>
            </w:tcMar>
            <w:vAlign w:val="center"/>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Bullous pemphigoid</w:t>
            </w:r>
          </w:p>
        </w:tc>
      </w:tr>
      <w:tr w:rsidR="00BD084C" w:rsidRPr="00297A95" w:rsidTr="0085034D">
        <w:tc>
          <w:tcPr>
            <w:tcW w:w="4678" w:type="dxa"/>
            <w:shd w:val="clear" w:color="auto" w:fill="E5F4F7"/>
            <w:tcMar>
              <w:top w:w="28" w:type="dxa"/>
              <w:bottom w:w="28" w:type="dxa"/>
            </w:tcMar>
            <w:vAlign w:val="center"/>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Paraneoplastic pemphigus</w:t>
            </w:r>
          </w:p>
        </w:tc>
      </w:tr>
      <w:tr w:rsidR="00BD084C" w:rsidRPr="00297A95" w:rsidTr="0085034D">
        <w:tc>
          <w:tcPr>
            <w:tcW w:w="4678" w:type="dxa"/>
            <w:shd w:val="clear" w:color="auto" w:fill="E5F4F7"/>
            <w:tcMar>
              <w:top w:w="28" w:type="dxa"/>
              <w:bottom w:w="28" w:type="dxa"/>
            </w:tcMar>
            <w:vAlign w:val="center"/>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Bullous lupus erythematosus</w:t>
            </w:r>
          </w:p>
        </w:tc>
      </w:tr>
      <w:tr w:rsidR="00BD084C" w:rsidRPr="00297A95" w:rsidTr="0085034D">
        <w:tc>
          <w:tcPr>
            <w:tcW w:w="4678" w:type="dxa"/>
            <w:shd w:val="clear" w:color="auto" w:fill="E5F4F7"/>
            <w:tcMar>
              <w:top w:w="28" w:type="dxa"/>
              <w:bottom w:w="28" w:type="dxa"/>
            </w:tcMar>
            <w:vAlign w:val="center"/>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Linear IgA bullous dermatosis</w:t>
            </w:r>
          </w:p>
        </w:tc>
      </w:tr>
      <w:tr w:rsidR="00BD084C" w:rsidRPr="00297A95" w:rsidTr="0085034D">
        <w:tc>
          <w:tcPr>
            <w:tcW w:w="4678" w:type="dxa"/>
            <w:shd w:val="clear" w:color="auto" w:fill="E5F4F7"/>
            <w:tcMar>
              <w:top w:w="28" w:type="dxa"/>
              <w:bottom w:w="28" w:type="dxa"/>
            </w:tcMar>
            <w:vAlign w:val="center"/>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Generalised bullous fixed drug eruption</w:t>
            </w:r>
          </w:p>
        </w:tc>
      </w:tr>
      <w:tr w:rsidR="00BD084C" w:rsidRPr="00297A95" w:rsidTr="0085034D">
        <w:tc>
          <w:tcPr>
            <w:tcW w:w="4678" w:type="dxa"/>
            <w:shd w:val="clear" w:color="auto" w:fill="E5F4F7"/>
            <w:tcMar>
              <w:top w:w="28" w:type="dxa"/>
              <w:bottom w:w="28" w:type="dxa"/>
            </w:tcMar>
            <w:vAlign w:val="center"/>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Bullous acute graft-versus-host  disease</w:t>
            </w:r>
          </w:p>
        </w:tc>
      </w:tr>
      <w:tr w:rsidR="00BD084C" w:rsidRPr="00297A95" w:rsidTr="0085034D">
        <w:tc>
          <w:tcPr>
            <w:tcW w:w="4678" w:type="dxa"/>
            <w:shd w:val="clear" w:color="auto" w:fill="E5F4F7"/>
            <w:tcMar>
              <w:top w:w="28" w:type="dxa"/>
              <w:bottom w:w="28" w:type="dxa"/>
            </w:tcMar>
            <w:vAlign w:val="center"/>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Staphylococcal scalded skin syndrome</w:t>
            </w:r>
          </w:p>
        </w:tc>
      </w:tr>
      <w:tr w:rsidR="00BD084C" w:rsidRPr="00297A95" w:rsidTr="0085034D">
        <w:tc>
          <w:tcPr>
            <w:tcW w:w="4678" w:type="dxa"/>
            <w:shd w:val="clear" w:color="auto" w:fill="E5F4F7"/>
            <w:tcMar>
              <w:top w:w="28" w:type="dxa"/>
              <w:bottom w:w="28" w:type="dxa"/>
            </w:tcMar>
            <w:vAlign w:val="center"/>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Acute generalised </w:t>
            </w:r>
            <w:proofErr w:type="spellStart"/>
            <w:r w:rsidRPr="00297A95">
              <w:rPr>
                <w:rFonts w:ascii="Arial" w:hAnsi="Arial" w:cs="Arial"/>
              </w:rPr>
              <w:t>exanthematous</w:t>
            </w:r>
            <w:proofErr w:type="spellEnd"/>
            <w:r w:rsidRPr="00297A95">
              <w:rPr>
                <w:rFonts w:ascii="Arial" w:hAnsi="Arial" w:cs="Arial"/>
              </w:rPr>
              <w:t xml:space="preserve"> </w:t>
            </w:r>
            <w:proofErr w:type="spellStart"/>
            <w:r w:rsidRPr="00297A95">
              <w:rPr>
                <w:rFonts w:ascii="Arial" w:hAnsi="Arial" w:cs="Arial"/>
              </w:rPr>
              <w:t>pustulosis</w:t>
            </w:r>
            <w:proofErr w:type="spellEnd"/>
          </w:p>
        </w:tc>
      </w:tr>
    </w:tbl>
    <w:p w:rsidR="00BD084C" w:rsidRPr="00297A95" w:rsidRDefault="00BD084C" w:rsidP="0085034D">
      <w:pPr>
        <w:pStyle w:val="NoSpacing"/>
        <w:spacing w:line="276" w:lineRule="auto"/>
        <w:jc w:val="both"/>
        <w:rPr>
          <w:rFonts w:ascii="Arial" w:hAnsi="Arial" w:cs="Arial"/>
          <w:b/>
        </w:rPr>
      </w:pPr>
      <w:proofErr w:type="gramStart"/>
      <w:r w:rsidRPr="00297A95">
        <w:rPr>
          <w:rFonts w:ascii="Arial" w:hAnsi="Arial" w:cs="Arial"/>
          <w:b/>
        </w:rPr>
        <w:t>Table 1.</w:t>
      </w:r>
      <w:proofErr w:type="gramEnd"/>
      <w:r w:rsidRPr="00297A95">
        <w:rPr>
          <w:rFonts w:ascii="Arial" w:hAnsi="Arial" w:cs="Arial"/>
        </w:rPr>
        <w:t xml:space="preserve"> Differential diagnosis of SJS/TEN</w:t>
      </w:r>
    </w:p>
    <w:p w:rsidR="00BD084C" w:rsidRDefault="00BD084C" w:rsidP="0085034D">
      <w:pPr>
        <w:pStyle w:val="NoSpacing"/>
        <w:spacing w:line="276" w:lineRule="auto"/>
        <w:jc w:val="both"/>
        <w:rPr>
          <w:rFonts w:ascii="Arial" w:hAnsi="Arial" w:cs="Arial"/>
          <w:b/>
        </w:rPr>
      </w:pPr>
    </w:p>
    <w:p w:rsidR="00BD084C" w:rsidRPr="00297A95" w:rsidRDefault="00BD084C" w:rsidP="0085034D">
      <w:pPr>
        <w:pStyle w:val="NoSpacing"/>
        <w:spacing w:line="276" w:lineRule="auto"/>
        <w:jc w:val="both"/>
        <w:rPr>
          <w:rFonts w:ascii="Arial" w:hAnsi="Arial" w:cs="Arial"/>
          <w:b/>
        </w:rPr>
      </w:pPr>
      <w:r w:rsidRPr="00297A95">
        <w:rPr>
          <w:rFonts w:ascii="Arial" w:hAnsi="Arial" w:cs="Arial"/>
          <w:b/>
        </w:rPr>
        <w:t>7.2 What are the recognized clinical phenotypes in SJS/TEN?</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lastRenderedPageBreak/>
        <w:t xml:space="preserve">In a study from </w:t>
      </w:r>
      <w:proofErr w:type="spellStart"/>
      <w:r w:rsidRPr="00297A95">
        <w:rPr>
          <w:rFonts w:ascii="Arial" w:hAnsi="Arial" w:cs="Arial"/>
        </w:rPr>
        <w:t>Bastuji-Garin</w:t>
      </w:r>
      <w:proofErr w:type="spellEnd"/>
      <w:r w:rsidRPr="00297A95">
        <w:rPr>
          <w:rFonts w:ascii="Arial" w:hAnsi="Arial" w:cs="Arial"/>
        </w:rPr>
        <w:t xml:space="preserve"> </w:t>
      </w:r>
      <w:r w:rsidRPr="00297A95">
        <w:rPr>
          <w:rFonts w:ascii="Arial" w:hAnsi="Arial" w:cs="Arial"/>
          <w:i/>
        </w:rPr>
        <w:t>et al.,</w:t>
      </w:r>
      <w:r w:rsidRPr="00297A95">
        <w:rPr>
          <w:rFonts w:ascii="Arial" w:hAnsi="Arial" w:cs="Arial"/>
        </w:rPr>
        <w:t xml:space="preserve"> a group of physicians experienced in managing SJS/TEN reviewed the clinical photographs of more than 200 patients and categorized the cases according to type of cutaneous lesion and extent of maximal epidermal detachment</w:t>
      </w:r>
      <w:proofErr w:type="gramStart"/>
      <w:r w:rsidRPr="00297A95">
        <w:rPr>
          <w:rFonts w:ascii="Arial" w:hAnsi="Arial" w:cs="Arial"/>
        </w:rPr>
        <w:t>:</w:t>
      </w:r>
      <w:r w:rsidRPr="00FF70EF">
        <w:rPr>
          <w:rFonts w:ascii="Arial" w:hAnsi="Arial" w:cs="Arial"/>
          <w:noProof/>
          <w:vertAlign w:val="superscript"/>
        </w:rPr>
        <w:t>16</w:t>
      </w:r>
      <w:proofErr w:type="gramEnd"/>
    </w:p>
    <w:p w:rsidR="00BD084C" w:rsidRPr="00297A95" w:rsidRDefault="00BD084C" w:rsidP="0085034D">
      <w:pPr>
        <w:pStyle w:val="NoSpacing"/>
        <w:spacing w:line="276" w:lineRule="auto"/>
        <w:jc w:val="both"/>
        <w:rPr>
          <w:rFonts w:ascii="Arial" w:hAnsi="Arial" w:cs="Arial"/>
        </w:rPr>
      </w:pPr>
    </w:p>
    <w:p w:rsidR="00BD084C" w:rsidRPr="00297A95" w:rsidRDefault="00BD084C" w:rsidP="00BD084C">
      <w:pPr>
        <w:pStyle w:val="NoSpacing"/>
        <w:numPr>
          <w:ilvl w:val="0"/>
          <w:numId w:val="34"/>
        </w:numPr>
        <w:spacing w:line="276" w:lineRule="auto"/>
        <w:jc w:val="both"/>
        <w:rPr>
          <w:rFonts w:ascii="Arial" w:hAnsi="Arial" w:cs="Arial"/>
        </w:rPr>
      </w:pPr>
      <w:r w:rsidRPr="00471835">
        <w:rPr>
          <w:rFonts w:ascii="Arial" w:hAnsi="Arial" w:cs="Arial"/>
          <w:b/>
        </w:rPr>
        <w:t>SJS</w:t>
      </w:r>
      <w:r w:rsidRPr="00297A95">
        <w:rPr>
          <w:rFonts w:ascii="Arial" w:hAnsi="Arial" w:cs="Arial"/>
        </w:rPr>
        <w:t xml:space="preserve"> (epidermal detachment less than 10% body surface area (BSA) plus widespread purpuric macules or flat atypical targets)</w:t>
      </w:r>
      <w:r>
        <w:rPr>
          <w:rFonts w:ascii="Arial" w:hAnsi="Arial" w:cs="Arial"/>
        </w:rPr>
        <w:t>.</w:t>
      </w:r>
      <w:r w:rsidRPr="00297A95">
        <w:rPr>
          <w:rFonts w:ascii="Arial" w:hAnsi="Arial" w:cs="Arial"/>
        </w:rPr>
        <w:t xml:space="preserve"> </w:t>
      </w:r>
    </w:p>
    <w:p w:rsidR="00BD084C" w:rsidRPr="00297A95" w:rsidRDefault="00BD084C" w:rsidP="0085034D">
      <w:pPr>
        <w:pStyle w:val="NoSpacing"/>
        <w:spacing w:line="276" w:lineRule="auto"/>
        <w:ind w:left="720"/>
        <w:jc w:val="both"/>
        <w:rPr>
          <w:rFonts w:ascii="Arial" w:hAnsi="Arial" w:cs="Arial"/>
        </w:rPr>
      </w:pPr>
    </w:p>
    <w:p w:rsidR="00BD084C" w:rsidRPr="00297A95" w:rsidRDefault="00BD084C" w:rsidP="00BD084C">
      <w:pPr>
        <w:pStyle w:val="NoSpacing"/>
        <w:numPr>
          <w:ilvl w:val="0"/>
          <w:numId w:val="34"/>
        </w:numPr>
        <w:spacing w:line="276" w:lineRule="auto"/>
        <w:jc w:val="both"/>
        <w:rPr>
          <w:rFonts w:ascii="Arial" w:hAnsi="Arial" w:cs="Arial"/>
        </w:rPr>
      </w:pPr>
      <w:r w:rsidRPr="00471835">
        <w:rPr>
          <w:rFonts w:ascii="Arial" w:hAnsi="Arial" w:cs="Arial"/>
          <w:b/>
        </w:rPr>
        <w:t>Overlap SJS-TEN</w:t>
      </w:r>
      <w:r w:rsidRPr="00297A95">
        <w:rPr>
          <w:rFonts w:ascii="Arial" w:hAnsi="Arial" w:cs="Arial"/>
        </w:rPr>
        <w:t xml:space="preserve"> (detachment of 10% to 30% BSA plus widespread purpuric macules or flat atypical targets)</w:t>
      </w:r>
      <w:r>
        <w:rPr>
          <w:rFonts w:ascii="Arial" w:hAnsi="Arial" w:cs="Arial"/>
        </w:rPr>
        <w:t>.</w:t>
      </w:r>
      <w:r w:rsidRPr="00297A95">
        <w:rPr>
          <w:rFonts w:ascii="Arial" w:hAnsi="Arial" w:cs="Arial"/>
        </w:rPr>
        <w:t xml:space="preserve"> </w:t>
      </w:r>
    </w:p>
    <w:p w:rsidR="00BD084C" w:rsidRPr="00297A95" w:rsidRDefault="00BD084C" w:rsidP="0085034D">
      <w:pPr>
        <w:pStyle w:val="NoSpacing"/>
        <w:spacing w:line="276" w:lineRule="auto"/>
        <w:ind w:left="720"/>
        <w:jc w:val="both"/>
        <w:rPr>
          <w:rFonts w:ascii="Arial" w:hAnsi="Arial" w:cs="Arial"/>
        </w:rPr>
      </w:pPr>
    </w:p>
    <w:p w:rsidR="00BD084C" w:rsidRPr="00297A95" w:rsidRDefault="00BD084C" w:rsidP="00BD084C">
      <w:pPr>
        <w:pStyle w:val="NoSpacing"/>
        <w:numPr>
          <w:ilvl w:val="0"/>
          <w:numId w:val="34"/>
        </w:numPr>
        <w:spacing w:line="276" w:lineRule="auto"/>
        <w:jc w:val="both"/>
        <w:rPr>
          <w:rFonts w:ascii="Arial" w:hAnsi="Arial" w:cs="Arial"/>
        </w:rPr>
      </w:pPr>
      <w:r w:rsidRPr="00471835">
        <w:rPr>
          <w:rFonts w:ascii="Arial" w:hAnsi="Arial" w:cs="Arial"/>
          <w:b/>
        </w:rPr>
        <w:t>TEN with spots</w:t>
      </w:r>
      <w:r w:rsidRPr="00297A95">
        <w:rPr>
          <w:rFonts w:ascii="Arial" w:hAnsi="Arial" w:cs="Arial"/>
        </w:rPr>
        <w:t xml:space="preserve"> (detachment greater than 30% BSA plus widespread purpuric macules or flat atypical targets)</w:t>
      </w:r>
      <w:r>
        <w:rPr>
          <w:rFonts w:ascii="Arial" w:hAnsi="Arial" w:cs="Arial"/>
        </w:rPr>
        <w:t>.</w:t>
      </w:r>
      <w:r w:rsidRPr="00297A95">
        <w:rPr>
          <w:rFonts w:ascii="Arial" w:hAnsi="Arial" w:cs="Arial"/>
        </w:rPr>
        <w:t xml:space="preserve"> </w:t>
      </w:r>
    </w:p>
    <w:p w:rsidR="00BD084C" w:rsidRPr="00297A95" w:rsidRDefault="00BD084C" w:rsidP="0085034D">
      <w:pPr>
        <w:pStyle w:val="NoSpacing"/>
        <w:spacing w:line="276" w:lineRule="auto"/>
        <w:ind w:left="720"/>
        <w:jc w:val="both"/>
        <w:rPr>
          <w:rFonts w:ascii="Arial" w:hAnsi="Arial" w:cs="Arial"/>
        </w:rPr>
      </w:pPr>
    </w:p>
    <w:p w:rsidR="00BD084C" w:rsidRPr="00297A95" w:rsidRDefault="00BD084C" w:rsidP="00BD084C">
      <w:pPr>
        <w:pStyle w:val="NoSpacing"/>
        <w:numPr>
          <w:ilvl w:val="0"/>
          <w:numId w:val="34"/>
        </w:numPr>
        <w:spacing w:line="276" w:lineRule="auto"/>
        <w:jc w:val="both"/>
        <w:rPr>
          <w:rFonts w:ascii="Arial" w:hAnsi="Arial" w:cs="Arial"/>
        </w:rPr>
      </w:pPr>
      <w:r w:rsidRPr="00471835">
        <w:rPr>
          <w:rFonts w:ascii="Arial" w:hAnsi="Arial" w:cs="Arial"/>
          <w:b/>
        </w:rPr>
        <w:t>TEN without spots</w:t>
      </w:r>
      <w:r w:rsidRPr="00297A95">
        <w:rPr>
          <w:rFonts w:ascii="Arial" w:hAnsi="Arial" w:cs="Arial"/>
        </w:rPr>
        <w:t xml:space="preserve"> (detachment greater than 30% BSA with loss of large epidermal sheets without purpuric macules or target lesions).</w:t>
      </w:r>
    </w:p>
    <w:p w:rsidR="00BD084C" w:rsidRPr="00297A95" w:rsidRDefault="00BD084C" w:rsidP="0085034D">
      <w:pPr>
        <w:pStyle w:val="NoSpacing"/>
        <w:spacing w:line="276" w:lineRule="auto"/>
        <w:ind w:left="720"/>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There is acknowledgement that these phenotypic categories are not mutually exclusive; cases with features from two or more of the above groups may occur.</w:t>
      </w:r>
      <w:r w:rsidRPr="00FF70EF">
        <w:rPr>
          <w:rFonts w:ascii="Arial" w:hAnsi="Arial" w:cs="Arial"/>
          <w:noProof/>
          <w:vertAlign w:val="superscript"/>
        </w:rPr>
        <w:t>17</w:t>
      </w:r>
      <w:r w:rsidRPr="00297A95">
        <w:rPr>
          <w:rFonts w:ascii="Arial" w:hAnsi="Arial" w:cs="Arial"/>
        </w:rPr>
        <w:t xml:space="preserve"> </w:t>
      </w:r>
    </w:p>
    <w:p w:rsidR="00BD084C" w:rsidRPr="00297A95" w:rsidRDefault="00BD084C" w:rsidP="0085034D">
      <w:pPr>
        <w:pStyle w:val="NoSpacing"/>
        <w:spacing w:line="276" w:lineRule="auto"/>
        <w:jc w:val="both"/>
        <w:rPr>
          <w:rFonts w:ascii="Arial" w:hAnsi="Arial" w:cs="Arial"/>
        </w:rPr>
      </w:pPr>
    </w:p>
    <w:p w:rsidR="00BD084C" w:rsidRPr="00614A74" w:rsidRDefault="00BD084C" w:rsidP="0085034D">
      <w:pPr>
        <w:pStyle w:val="NoSpacing"/>
        <w:spacing w:line="276" w:lineRule="auto"/>
        <w:jc w:val="both"/>
        <w:rPr>
          <w:rFonts w:ascii="Arial" w:hAnsi="Arial" w:cs="Arial"/>
        </w:rPr>
      </w:pPr>
      <w:r w:rsidRPr="00297A95">
        <w:rPr>
          <w:rFonts w:ascii="Arial" w:hAnsi="Arial" w:cs="Arial"/>
        </w:rPr>
        <w:t xml:space="preserve">At the less severe end of the spectrum, differentiation of SJS from EMM can be difficult. In EMM, there is mucous membrane involvement and cutaneous blistering with epidermal detachment of less than 10% BSA. However, in contrast to SJS, the skin lesions in EMM consist of typical targets or raised atypical targets, predominantly localized on the limbs and extremities. Distinguishing EMM from SJS/TEN has causality implications: EMM is mostly related to </w:t>
      </w:r>
      <w:r>
        <w:rPr>
          <w:rFonts w:ascii="Arial" w:hAnsi="Arial" w:cs="Arial"/>
        </w:rPr>
        <w:t>Herpes simplex virus (</w:t>
      </w:r>
      <w:r w:rsidRPr="00297A95">
        <w:rPr>
          <w:rFonts w:ascii="Arial" w:hAnsi="Arial" w:cs="Arial"/>
        </w:rPr>
        <w:t>HSV</w:t>
      </w:r>
      <w:r>
        <w:rPr>
          <w:rFonts w:ascii="Arial" w:hAnsi="Arial" w:cs="Arial"/>
        </w:rPr>
        <w:t>)</w:t>
      </w:r>
      <w:r w:rsidRPr="00297A95">
        <w:rPr>
          <w:rFonts w:ascii="Arial" w:hAnsi="Arial" w:cs="Arial"/>
        </w:rPr>
        <w:t xml:space="preserve"> reactivation and rarely to drugs; SJS/TEN is usually triggered by a drug, rarely by an infection.</w:t>
      </w:r>
      <w:r w:rsidRPr="00FF70EF">
        <w:rPr>
          <w:rFonts w:ascii="Arial" w:hAnsi="Arial" w:cs="Arial"/>
          <w:noProof/>
          <w:vertAlign w:val="superscript"/>
        </w:rPr>
        <w:t>17,18</w:t>
      </w:r>
      <w:r w:rsidRPr="00297A95">
        <w:rPr>
          <w:rFonts w:ascii="Arial" w:hAnsi="Arial" w:cs="Arial"/>
        </w:rPr>
        <w:t xml:space="preserve"> </w:t>
      </w:r>
      <w:r>
        <w:rPr>
          <w:rFonts w:ascii="Arial" w:hAnsi="Arial" w:cs="Arial"/>
        </w:rPr>
        <w:t>Mycoplasma-induced SJS is reported and in some cases, which are mostly children, may be characterized by a phenotype of predominantly mucous membrane involvement with little or no cutaneous lesions. This clinically atypical form of SJS has been termed ‘mycoplasma pneumoniae-associated mucositis’ (MPAM).</w:t>
      </w:r>
      <w:r w:rsidRPr="00FF70EF">
        <w:rPr>
          <w:rFonts w:ascii="Arial" w:hAnsi="Arial" w:cs="Arial"/>
          <w:noProof/>
          <w:vertAlign w:val="superscript"/>
        </w:rPr>
        <w:t>19</w:t>
      </w:r>
      <w:r>
        <w:rPr>
          <w:rFonts w:ascii="Arial" w:hAnsi="Arial" w:cs="Arial"/>
        </w:rPr>
        <w:t xml:space="preserve">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rPr>
      </w:pPr>
      <w:r w:rsidRPr="00297A95">
        <w:rPr>
          <w:rFonts w:ascii="Arial" w:hAnsi="Arial" w:cs="Arial"/>
          <w:b/>
        </w:rPr>
        <w:t>7.3 What are the histopathological features of SJS/TEN?</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Although a diagnosis of SJS/TEN is suggested by the physical signs, histopathology of a skin biopsy is necessary to support the clinical assessment and exclude other blistering dermatoses (</w:t>
      </w:r>
      <w:r>
        <w:rPr>
          <w:rFonts w:ascii="Arial" w:hAnsi="Arial" w:cs="Arial"/>
        </w:rPr>
        <w:t xml:space="preserve">see </w:t>
      </w:r>
      <w:r w:rsidRPr="00297A95">
        <w:rPr>
          <w:rFonts w:ascii="Arial" w:hAnsi="Arial" w:cs="Arial"/>
        </w:rPr>
        <w:t xml:space="preserve">Table 1). </w:t>
      </w:r>
      <w:r w:rsidRPr="00297A95">
        <w:rPr>
          <w:rFonts w:ascii="Arial" w:hAnsi="Arial" w:cs="Arial"/>
          <w:color w:val="000000"/>
          <w:shd w:val="clear" w:color="auto" w:fill="FFFFFF"/>
        </w:rPr>
        <w:t xml:space="preserve">Histologically, there is variable epidermal damage ranging from individual cell </w:t>
      </w:r>
      <w:r>
        <w:rPr>
          <w:rFonts w:ascii="Arial" w:hAnsi="Arial" w:cs="Arial"/>
          <w:color w:val="000000"/>
          <w:shd w:val="clear" w:color="auto" w:fill="FFFFFF"/>
        </w:rPr>
        <w:t>apoptosis</w:t>
      </w:r>
      <w:r w:rsidRPr="00297A95">
        <w:rPr>
          <w:rFonts w:ascii="Arial" w:hAnsi="Arial" w:cs="Arial"/>
          <w:color w:val="000000"/>
          <w:shd w:val="clear" w:color="auto" w:fill="FFFFFF"/>
        </w:rPr>
        <w:t xml:space="preserve"> to confluent epidermal necrosis. Epidermal changes are associated with basal cell </w:t>
      </w:r>
      <w:proofErr w:type="spellStart"/>
      <w:r w:rsidRPr="00297A95">
        <w:rPr>
          <w:rFonts w:ascii="Arial" w:hAnsi="Arial" w:cs="Arial"/>
          <w:color w:val="000000"/>
          <w:shd w:val="clear" w:color="auto" w:fill="FFFFFF"/>
        </w:rPr>
        <w:t>vacuolar</w:t>
      </w:r>
      <w:proofErr w:type="spellEnd"/>
      <w:r w:rsidRPr="00297A95">
        <w:rPr>
          <w:rFonts w:ascii="Arial" w:hAnsi="Arial" w:cs="Arial"/>
          <w:color w:val="000000"/>
          <w:shd w:val="clear" w:color="auto" w:fill="FFFFFF"/>
        </w:rPr>
        <w:t xml:space="preserve"> degeneration and </w:t>
      </w:r>
      <w:proofErr w:type="spellStart"/>
      <w:r w:rsidRPr="00297A95">
        <w:rPr>
          <w:rFonts w:ascii="Arial" w:hAnsi="Arial" w:cs="Arial"/>
          <w:color w:val="000000"/>
          <w:shd w:val="clear" w:color="auto" w:fill="FFFFFF"/>
        </w:rPr>
        <w:t>subepidermal</w:t>
      </w:r>
      <w:proofErr w:type="spellEnd"/>
      <w:r w:rsidRPr="00297A95">
        <w:rPr>
          <w:rFonts w:ascii="Arial" w:hAnsi="Arial" w:cs="Arial"/>
          <w:color w:val="000000"/>
          <w:shd w:val="clear" w:color="auto" w:fill="FFFFFF"/>
        </w:rPr>
        <w:t xml:space="preserve"> vesicle or bulla formation. Adnexal structures such as sweat ducts and hair follicles are occasionally involved. Within the dermis, there is often only a mild, predominantly perivascular infiltrate of lymphocytes and </w:t>
      </w:r>
      <w:proofErr w:type="spellStart"/>
      <w:r w:rsidRPr="00297A95">
        <w:rPr>
          <w:rFonts w:ascii="Arial" w:hAnsi="Arial" w:cs="Arial"/>
          <w:color w:val="000000"/>
          <w:shd w:val="clear" w:color="auto" w:fill="FFFFFF"/>
        </w:rPr>
        <w:t>histiocytes</w:t>
      </w:r>
      <w:proofErr w:type="spellEnd"/>
      <w:r w:rsidRPr="00297A95">
        <w:rPr>
          <w:rFonts w:ascii="Arial" w:hAnsi="Arial" w:cs="Arial"/>
          <w:color w:val="000000"/>
          <w:shd w:val="clear" w:color="auto" w:fill="FFFFFF"/>
        </w:rPr>
        <w:t xml:space="preserve"> with small numbers of eosinophils present in some cases</w:t>
      </w:r>
      <w:r>
        <w:rPr>
          <w:rFonts w:ascii="Arial" w:hAnsi="Arial" w:cs="Arial"/>
          <w:color w:val="000000"/>
          <w:shd w:val="clear" w:color="auto" w:fill="FFFFFF"/>
        </w:rPr>
        <w:t xml:space="preserve"> (Figure 12)</w:t>
      </w:r>
      <w:r w:rsidRPr="00297A95">
        <w:rPr>
          <w:rFonts w:ascii="Arial" w:hAnsi="Arial" w:cs="Arial"/>
        </w:rPr>
        <w:t>.</w:t>
      </w:r>
      <w:r w:rsidRPr="00FF70EF">
        <w:rPr>
          <w:rFonts w:ascii="Arial" w:hAnsi="Arial" w:cs="Arial"/>
          <w:noProof/>
          <w:vertAlign w:val="superscript"/>
        </w:rPr>
        <w:t>20</w:t>
      </w:r>
      <w:r w:rsidRPr="00297A95">
        <w:rPr>
          <w:rFonts w:ascii="Arial" w:hAnsi="Arial" w:cs="Arial"/>
        </w:rPr>
        <w:t xml:space="preserve"> </w:t>
      </w:r>
    </w:p>
    <w:p w:rsidR="00BD084C" w:rsidRPr="00297A95" w:rsidRDefault="00BD084C" w:rsidP="0085034D">
      <w:pPr>
        <w:pStyle w:val="NoSpacing"/>
        <w:spacing w:line="276" w:lineRule="auto"/>
        <w:jc w:val="both"/>
        <w:rPr>
          <w:rFonts w:ascii="Arial" w:hAnsi="Arial" w:cs="Arial"/>
          <w:color w:val="000000"/>
          <w:shd w:val="clear" w:color="auto" w:fill="FFFFFF"/>
        </w:rPr>
      </w:pPr>
    </w:p>
    <w:p w:rsidR="00BD084C" w:rsidRPr="00297A95" w:rsidRDefault="00BD084C" w:rsidP="0085034D">
      <w:pPr>
        <w:pStyle w:val="NoSpacing"/>
        <w:spacing w:line="276" w:lineRule="auto"/>
        <w:jc w:val="both"/>
        <w:rPr>
          <w:rFonts w:ascii="Arial" w:hAnsi="Arial" w:cs="Arial"/>
          <w:b/>
        </w:rPr>
      </w:pPr>
      <w:r w:rsidRPr="00297A95">
        <w:rPr>
          <w:rFonts w:ascii="Arial" w:hAnsi="Arial" w:cs="Arial"/>
          <w:b/>
        </w:rPr>
        <w:t>7.4 What initial assessment should be undertaken in a patient presenting with SJS/TEN to secondary/tertiary care?</w:t>
      </w:r>
    </w:p>
    <w:p w:rsidR="00BD084C" w:rsidRPr="00297A95" w:rsidRDefault="00BD084C" w:rsidP="0085034D">
      <w:pPr>
        <w:pStyle w:val="NoSpacing"/>
        <w:spacing w:line="276" w:lineRule="auto"/>
        <w:jc w:val="both"/>
        <w:rPr>
          <w:rFonts w:ascii="Arial" w:hAnsi="Arial" w:cs="Arial"/>
        </w:rPr>
      </w:pPr>
    </w:p>
    <w:p w:rsidR="00BD084C" w:rsidRDefault="00A15878" w:rsidP="0085034D">
      <w:pPr>
        <w:pStyle w:val="NoSpacing"/>
        <w:spacing w:line="276" w:lineRule="auto"/>
        <w:jc w:val="both"/>
        <w:rPr>
          <w:rFonts w:ascii="Arial" w:hAnsi="Arial" w:cs="Arial"/>
        </w:rPr>
      </w:pPr>
      <w:r w:rsidRPr="00A15878">
        <w:rPr>
          <w:rFonts w:ascii="Arial" w:hAnsi="Arial" w:cs="Arial"/>
          <w:u w:val="single"/>
        </w:rPr>
        <w:lastRenderedPageBreak/>
        <w:t>If SJS/TEN is suspected, discontinue any potential drug immediately.</w:t>
      </w:r>
      <w:r>
        <w:rPr>
          <w:rFonts w:ascii="Arial" w:hAnsi="Arial" w:cs="Arial"/>
        </w:rPr>
        <w:t xml:space="preserve"> The patient </w:t>
      </w:r>
      <w:r w:rsidR="00BD084C" w:rsidRPr="00297A95">
        <w:rPr>
          <w:rFonts w:ascii="Arial" w:hAnsi="Arial" w:cs="Arial"/>
        </w:rPr>
        <w:t>should undergo an evaluation of</w:t>
      </w:r>
      <w:r w:rsidR="00BD084C">
        <w:rPr>
          <w:rFonts w:ascii="Arial" w:hAnsi="Arial" w:cs="Arial"/>
        </w:rPr>
        <w:t xml:space="preserve"> the</w:t>
      </w:r>
      <w:r w:rsidR="00BD084C" w:rsidRPr="00297A95">
        <w:rPr>
          <w:rFonts w:ascii="Arial" w:hAnsi="Arial" w:cs="Arial"/>
        </w:rPr>
        <w:t xml:space="preserve"> critical disease components. Clinical examination includes an appraisal generic to any acutely ill patient, as well as assessments specific to SJS/TEN. Institution of an immediate management protocol is necessary as soon as the patient has been assessed.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i/>
        </w:rPr>
      </w:pPr>
      <w:r w:rsidRPr="00297A95">
        <w:rPr>
          <w:rFonts w:ascii="Arial" w:hAnsi="Arial" w:cs="Arial"/>
          <w:b/>
        </w:rPr>
        <w:t xml:space="preserve">Recommendations: </w:t>
      </w:r>
      <w:r w:rsidRPr="00297A95">
        <w:rPr>
          <w:rFonts w:ascii="Arial" w:hAnsi="Arial" w:cs="Arial"/>
          <w:b/>
          <w:i/>
        </w:rPr>
        <w:t>(Strength of recommendation D (GPP); level of evidence 4)</w:t>
      </w:r>
      <w:r>
        <w:rPr>
          <w:rFonts w:ascii="Arial" w:hAnsi="Arial" w:cs="Arial"/>
          <w:b/>
          <w:i/>
        </w:rPr>
        <w:t xml:space="preserve"> </w:t>
      </w:r>
      <w:r w:rsidRPr="00297A95">
        <w:rPr>
          <w:rFonts w:ascii="Arial" w:hAnsi="Arial" w:cs="Arial"/>
          <w:b/>
          <w:i/>
        </w:rPr>
        <w:t>(See Appendix 1)</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Take a detailed history from the patient (and/or relatives) with specific reference to the following:</w:t>
      </w:r>
    </w:p>
    <w:p w:rsidR="00BD084C" w:rsidRPr="00297A95" w:rsidRDefault="00BD084C" w:rsidP="0085034D">
      <w:pPr>
        <w:pStyle w:val="NoSpacing"/>
        <w:spacing w:line="276" w:lineRule="auto"/>
        <w:jc w:val="both"/>
        <w:rPr>
          <w:rFonts w:ascii="Arial" w:hAnsi="Arial" w:cs="Arial"/>
        </w:rPr>
      </w:pPr>
    </w:p>
    <w:p w:rsidR="00BD084C" w:rsidRPr="00297A95" w:rsidRDefault="00BD084C" w:rsidP="00BD084C">
      <w:pPr>
        <w:pStyle w:val="NoSpacing"/>
        <w:numPr>
          <w:ilvl w:val="0"/>
          <w:numId w:val="1"/>
        </w:numPr>
        <w:spacing w:line="276" w:lineRule="auto"/>
        <w:jc w:val="both"/>
        <w:rPr>
          <w:rFonts w:ascii="Arial" w:hAnsi="Arial" w:cs="Arial"/>
        </w:rPr>
      </w:pPr>
      <w:r w:rsidRPr="00297A95">
        <w:rPr>
          <w:rFonts w:ascii="Arial" w:hAnsi="Arial" w:cs="Arial"/>
        </w:rPr>
        <w:t>Ask about symptoms suggestive of SJS/TEN including a prodromal illness (fever, malaise, upper respiratory tract symptoms); onset of a painful rash, initially on the face and chest; involvement of mucosal sites (eyes, mouth, nose, genitalia).</w:t>
      </w:r>
    </w:p>
    <w:p w:rsidR="00BD084C" w:rsidRPr="00297A95" w:rsidRDefault="00BD084C" w:rsidP="0085034D">
      <w:pPr>
        <w:pStyle w:val="NoSpacing"/>
        <w:spacing w:line="276" w:lineRule="auto"/>
        <w:ind w:left="720"/>
        <w:jc w:val="both"/>
        <w:rPr>
          <w:rFonts w:ascii="Arial" w:hAnsi="Arial" w:cs="Arial"/>
        </w:rPr>
      </w:pPr>
    </w:p>
    <w:p w:rsidR="00BD084C" w:rsidRDefault="00BD084C" w:rsidP="00BD084C">
      <w:pPr>
        <w:pStyle w:val="NoSpacing"/>
        <w:numPr>
          <w:ilvl w:val="0"/>
          <w:numId w:val="1"/>
        </w:numPr>
        <w:spacing w:line="276" w:lineRule="auto"/>
        <w:jc w:val="both"/>
        <w:rPr>
          <w:rFonts w:ascii="Arial" w:hAnsi="Arial" w:cs="Arial"/>
        </w:rPr>
      </w:pPr>
      <w:r w:rsidRPr="00297A95">
        <w:rPr>
          <w:rFonts w:ascii="Arial" w:hAnsi="Arial" w:cs="Arial"/>
        </w:rPr>
        <w:t>Note the date when the rash first appeared</w:t>
      </w:r>
      <w:r>
        <w:rPr>
          <w:rFonts w:ascii="Arial" w:hAnsi="Arial" w:cs="Arial"/>
        </w:rPr>
        <w:t xml:space="preserve"> and</w:t>
      </w:r>
      <w:r w:rsidRPr="00297A95">
        <w:rPr>
          <w:rFonts w:ascii="Arial" w:hAnsi="Arial" w:cs="Arial"/>
        </w:rPr>
        <w:t xml:space="preserve"> document progression of the eruption</w:t>
      </w:r>
      <w:r>
        <w:rPr>
          <w:rFonts w:ascii="Arial" w:hAnsi="Arial" w:cs="Arial"/>
        </w:rPr>
        <w:t>.</w:t>
      </w:r>
      <w:r w:rsidRPr="00297A95">
        <w:rPr>
          <w:rFonts w:ascii="Arial" w:hAnsi="Arial" w:cs="Arial"/>
        </w:rPr>
        <w:t xml:space="preserve"> </w:t>
      </w:r>
    </w:p>
    <w:p w:rsidR="00BD084C" w:rsidRDefault="00BD084C" w:rsidP="0085034D">
      <w:pPr>
        <w:pStyle w:val="NoSpacing"/>
        <w:spacing w:line="276" w:lineRule="auto"/>
        <w:ind w:left="720"/>
        <w:jc w:val="both"/>
        <w:rPr>
          <w:rFonts w:ascii="Arial" w:hAnsi="Arial" w:cs="Arial"/>
        </w:rPr>
      </w:pPr>
    </w:p>
    <w:p w:rsidR="00BD084C" w:rsidRDefault="00BD084C" w:rsidP="00BD084C">
      <w:pPr>
        <w:pStyle w:val="NoSpacing"/>
        <w:numPr>
          <w:ilvl w:val="0"/>
          <w:numId w:val="1"/>
        </w:numPr>
        <w:spacing w:line="276" w:lineRule="auto"/>
        <w:jc w:val="both"/>
        <w:rPr>
          <w:rFonts w:ascii="Arial" w:hAnsi="Arial" w:cs="Arial"/>
        </w:rPr>
      </w:pPr>
      <w:r w:rsidRPr="00DE6CE8">
        <w:rPr>
          <w:rFonts w:ascii="Arial" w:hAnsi="Arial" w:cs="Arial"/>
        </w:rPr>
        <w:t xml:space="preserve">Ask about symptoms indicating involvement of the respiratory tract: cough, dyspnoea, bronchial hypersecretion, </w:t>
      </w:r>
      <w:proofErr w:type="gramStart"/>
      <w:r w:rsidRPr="00DE6CE8">
        <w:rPr>
          <w:rFonts w:ascii="Arial" w:hAnsi="Arial" w:cs="Arial"/>
        </w:rPr>
        <w:t>haemoptysis</w:t>
      </w:r>
      <w:proofErr w:type="gramEnd"/>
      <w:r w:rsidRPr="00DE6CE8">
        <w:rPr>
          <w:rFonts w:ascii="Arial" w:hAnsi="Arial" w:cs="Arial"/>
        </w:rPr>
        <w:t>.</w:t>
      </w:r>
    </w:p>
    <w:p w:rsidR="00BD084C" w:rsidRPr="00DE6CE8" w:rsidRDefault="00BD084C" w:rsidP="0085034D">
      <w:pPr>
        <w:pStyle w:val="NoSpacing"/>
        <w:spacing w:line="276" w:lineRule="auto"/>
        <w:ind w:left="720"/>
        <w:jc w:val="both"/>
        <w:rPr>
          <w:rFonts w:ascii="Arial" w:hAnsi="Arial" w:cs="Arial"/>
        </w:rPr>
      </w:pPr>
    </w:p>
    <w:p w:rsidR="00BD084C" w:rsidRPr="00297A95" w:rsidRDefault="00BD084C" w:rsidP="00BD084C">
      <w:pPr>
        <w:pStyle w:val="NoSpacing"/>
        <w:numPr>
          <w:ilvl w:val="0"/>
          <w:numId w:val="1"/>
        </w:numPr>
        <w:spacing w:line="276" w:lineRule="auto"/>
        <w:jc w:val="both"/>
        <w:rPr>
          <w:rFonts w:ascii="Arial" w:hAnsi="Arial" w:cs="Arial"/>
        </w:rPr>
      </w:pPr>
      <w:r>
        <w:rPr>
          <w:rFonts w:ascii="Arial" w:hAnsi="Arial" w:cs="Arial"/>
        </w:rPr>
        <w:t>Ask about symptoms indicating bowel involvement: diarrhoea, abdominal distension.</w:t>
      </w:r>
      <w:r w:rsidRPr="00297A95">
        <w:rPr>
          <w:rFonts w:ascii="Arial" w:hAnsi="Arial" w:cs="Arial"/>
        </w:rPr>
        <w:t xml:space="preserve"> </w:t>
      </w:r>
    </w:p>
    <w:p w:rsidR="00BD084C" w:rsidRPr="00297A95" w:rsidRDefault="00BD084C" w:rsidP="0085034D">
      <w:pPr>
        <w:pStyle w:val="NoSpacing"/>
        <w:spacing w:line="276" w:lineRule="auto"/>
        <w:ind w:left="720"/>
        <w:jc w:val="both"/>
        <w:rPr>
          <w:rFonts w:ascii="Arial" w:hAnsi="Arial" w:cs="Arial"/>
        </w:rPr>
      </w:pPr>
    </w:p>
    <w:p w:rsidR="00BD084C" w:rsidRPr="00297A95" w:rsidRDefault="00BD084C" w:rsidP="00BD084C">
      <w:pPr>
        <w:pStyle w:val="NoSpacing"/>
        <w:numPr>
          <w:ilvl w:val="0"/>
          <w:numId w:val="1"/>
        </w:numPr>
        <w:spacing w:line="276" w:lineRule="auto"/>
        <w:jc w:val="both"/>
        <w:rPr>
          <w:rFonts w:ascii="Arial" w:hAnsi="Arial" w:cs="Arial"/>
        </w:rPr>
      </w:pPr>
      <w:r>
        <w:rPr>
          <w:rFonts w:ascii="Arial" w:hAnsi="Arial" w:cs="Arial"/>
        </w:rPr>
        <w:t>Determine</w:t>
      </w:r>
      <w:r w:rsidRPr="00297A95">
        <w:rPr>
          <w:rFonts w:ascii="Arial" w:hAnsi="Arial" w:cs="Arial"/>
        </w:rPr>
        <w:t xml:space="preserve"> the index date</w:t>
      </w:r>
      <w:r>
        <w:rPr>
          <w:rFonts w:ascii="Arial" w:hAnsi="Arial" w:cs="Arial"/>
        </w:rPr>
        <w:t xml:space="preserve"> (date of onset of the adverse reaction)</w:t>
      </w:r>
      <w:r w:rsidRPr="00297A95">
        <w:rPr>
          <w:rFonts w:ascii="Arial" w:hAnsi="Arial" w:cs="Arial"/>
        </w:rPr>
        <w:t xml:space="preserve"> by asking when the patient developed the first symptom</w:t>
      </w:r>
      <w:r>
        <w:rPr>
          <w:rFonts w:ascii="Arial" w:hAnsi="Arial" w:cs="Arial"/>
        </w:rPr>
        <w:t xml:space="preserve"> or sign</w:t>
      </w:r>
      <w:r w:rsidRPr="00297A95">
        <w:rPr>
          <w:rFonts w:ascii="Arial" w:hAnsi="Arial" w:cs="Arial"/>
        </w:rPr>
        <w:t xml:space="preserve"> of the disorder, for example sore throat, rash, skin pain</w:t>
      </w:r>
      <w:r>
        <w:rPr>
          <w:rFonts w:ascii="Arial" w:hAnsi="Arial" w:cs="Arial"/>
        </w:rPr>
        <w:t>, sore eyes/mouth</w:t>
      </w:r>
      <w:r w:rsidRPr="00297A95">
        <w:rPr>
          <w:rFonts w:ascii="Arial" w:hAnsi="Arial" w:cs="Arial"/>
        </w:rPr>
        <w:t>.</w:t>
      </w:r>
    </w:p>
    <w:p w:rsidR="00BD084C" w:rsidRPr="00297A95" w:rsidRDefault="00BD084C" w:rsidP="0085034D">
      <w:pPr>
        <w:pStyle w:val="NoSpacing"/>
        <w:spacing w:line="276" w:lineRule="auto"/>
      </w:pPr>
    </w:p>
    <w:p w:rsidR="00BD084C" w:rsidRPr="00297A95" w:rsidRDefault="00BD084C" w:rsidP="00BD084C">
      <w:pPr>
        <w:pStyle w:val="NoSpacing"/>
        <w:numPr>
          <w:ilvl w:val="0"/>
          <w:numId w:val="1"/>
        </w:numPr>
        <w:spacing w:line="276" w:lineRule="auto"/>
        <w:jc w:val="both"/>
        <w:rPr>
          <w:rFonts w:ascii="Arial" w:hAnsi="Arial" w:cs="Arial"/>
        </w:rPr>
      </w:pPr>
      <w:r w:rsidRPr="00297A95">
        <w:rPr>
          <w:rFonts w:ascii="Arial" w:hAnsi="Arial" w:cs="Arial"/>
        </w:rPr>
        <w:t>Record previous or on</w:t>
      </w:r>
      <w:r>
        <w:rPr>
          <w:rFonts w:ascii="Arial" w:hAnsi="Arial" w:cs="Arial"/>
        </w:rPr>
        <w:t>-</w:t>
      </w:r>
      <w:r w:rsidRPr="00297A95">
        <w:rPr>
          <w:rFonts w:ascii="Arial" w:hAnsi="Arial" w:cs="Arial"/>
        </w:rPr>
        <w:t xml:space="preserve">going medical problems; ask specifically about a history of recurrent </w:t>
      </w:r>
      <w:r>
        <w:rPr>
          <w:rFonts w:ascii="Arial" w:hAnsi="Arial" w:cs="Arial"/>
        </w:rPr>
        <w:t>HSV</w:t>
      </w:r>
      <w:r w:rsidRPr="00297A95">
        <w:rPr>
          <w:rFonts w:ascii="Arial" w:hAnsi="Arial" w:cs="Arial"/>
        </w:rPr>
        <w:t xml:space="preserve"> infections and chest infections.</w:t>
      </w:r>
    </w:p>
    <w:p w:rsidR="00BD084C" w:rsidRPr="00297A95" w:rsidRDefault="00BD084C" w:rsidP="0085034D">
      <w:pPr>
        <w:pStyle w:val="NoSpacing"/>
        <w:spacing w:line="276" w:lineRule="auto"/>
      </w:pPr>
    </w:p>
    <w:p w:rsidR="00BD084C" w:rsidRPr="00297A95" w:rsidRDefault="00BD084C" w:rsidP="00BD084C">
      <w:pPr>
        <w:pStyle w:val="NoSpacing"/>
        <w:numPr>
          <w:ilvl w:val="0"/>
          <w:numId w:val="1"/>
        </w:numPr>
        <w:spacing w:line="276" w:lineRule="auto"/>
        <w:jc w:val="both"/>
        <w:rPr>
          <w:rFonts w:ascii="Arial" w:hAnsi="Arial" w:cs="Arial"/>
        </w:rPr>
      </w:pPr>
      <w:r w:rsidRPr="00297A95">
        <w:rPr>
          <w:rFonts w:ascii="Arial" w:hAnsi="Arial" w:cs="Arial"/>
        </w:rPr>
        <w:t xml:space="preserve">Record </w:t>
      </w:r>
      <w:r w:rsidRPr="00AF5A91">
        <w:rPr>
          <w:rFonts w:ascii="Arial" w:hAnsi="Arial" w:cs="Arial"/>
          <w:b/>
        </w:rPr>
        <w:t>all</w:t>
      </w:r>
      <w:r w:rsidRPr="00297A95">
        <w:rPr>
          <w:rFonts w:ascii="Arial" w:hAnsi="Arial" w:cs="Arial"/>
        </w:rPr>
        <w:t xml:space="preserve"> medicines taken</w:t>
      </w:r>
      <w:r>
        <w:rPr>
          <w:rFonts w:ascii="Arial" w:hAnsi="Arial" w:cs="Arial"/>
        </w:rPr>
        <w:t xml:space="preserve"> over the previous 2 months </w:t>
      </w:r>
      <w:r w:rsidRPr="00297A95">
        <w:rPr>
          <w:rFonts w:ascii="Arial" w:hAnsi="Arial" w:cs="Arial"/>
        </w:rPr>
        <w:t>, including over-the-counter and complementary/alternative therapies; document the date treatments were started, and the date, when appropriate</w:t>
      </w:r>
      <w:r>
        <w:rPr>
          <w:rFonts w:ascii="Arial" w:hAnsi="Arial" w:cs="Arial"/>
        </w:rPr>
        <w:t>,</w:t>
      </w:r>
      <w:r w:rsidRPr="00297A95">
        <w:rPr>
          <w:rFonts w:ascii="Arial" w:hAnsi="Arial" w:cs="Arial"/>
        </w:rPr>
        <w:t xml:space="preserve"> of dose escalation; document the date when drugs were stopped. Note if there </w:t>
      </w:r>
      <w:r>
        <w:rPr>
          <w:rFonts w:ascii="Arial" w:hAnsi="Arial" w:cs="Arial"/>
        </w:rPr>
        <w:t>h</w:t>
      </w:r>
      <w:r w:rsidRPr="00297A95">
        <w:rPr>
          <w:rFonts w:ascii="Arial" w:hAnsi="Arial" w:cs="Arial"/>
        </w:rPr>
        <w:t xml:space="preserve">as </w:t>
      </w:r>
      <w:r>
        <w:rPr>
          <w:rFonts w:ascii="Arial" w:hAnsi="Arial" w:cs="Arial"/>
        </w:rPr>
        <w:t xml:space="preserve">been </w:t>
      </w:r>
      <w:r w:rsidRPr="00297A95">
        <w:rPr>
          <w:rFonts w:ascii="Arial" w:hAnsi="Arial" w:cs="Arial"/>
        </w:rPr>
        <w:t>a brand switch</w:t>
      </w:r>
      <w:r>
        <w:rPr>
          <w:rFonts w:ascii="Arial" w:hAnsi="Arial" w:cs="Arial"/>
        </w:rPr>
        <w:t xml:space="preserve"> or any medication errors</w:t>
      </w:r>
      <w:r w:rsidRPr="00297A95">
        <w:rPr>
          <w:rFonts w:ascii="Arial" w:hAnsi="Arial" w:cs="Arial"/>
        </w:rPr>
        <w:t>.</w:t>
      </w:r>
    </w:p>
    <w:p w:rsidR="00BD084C" w:rsidRPr="00297A95" w:rsidRDefault="00BD084C" w:rsidP="0085034D">
      <w:pPr>
        <w:pStyle w:val="NoSpacing"/>
        <w:spacing w:line="276" w:lineRule="auto"/>
      </w:pPr>
    </w:p>
    <w:p w:rsidR="00BD084C" w:rsidRPr="00297A95" w:rsidRDefault="00BD084C" w:rsidP="00BD084C">
      <w:pPr>
        <w:pStyle w:val="NoSpacing"/>
        <w:numPr>
          <w:ilvl w:val="0"/>
          <w:numId w:val="1"/>
        </w:numPr>
        <w:spacing w:line="276" w:lineRule="auto"/>
        <w:jc w:val="both"/>
        <w:rPr>
          <w:rFonts w:ascii="Arial" w:hAnsi="Arial" w:cs="Arial"/>
        </w:rPr>
      </w:pPr>
      <w:r w:rsidRPr="00297A95">
        <w:rPr>
          <w:rFonts w:ascii="Arial" w:hAnsi="Arial" w:cs="Arial"/>
        </w:rPr>
        <w:t>Record any previous history of drug allergies, including details of the reaction type.</w:t>
      </w:r>
    </w:p>
    <w:p w:rsidR="00BD084C" w:rsidRPr="00297A95" w:rsidRDefault="00BD084C" w:rsidP="0085034D">
      <w:pPr>
        <w:pStyle w:val="NoSpacing"/>
        <w:spacing w:line="276" w:lineRule="auto"/>
        <w:ind w:left="720"/>
        <w:jc w:val="both"/>
        <w:rPr>
          <w:rFonts w:ascii="Arial" w:hAnsi="Arial" w:cs="Arial"/>
        </w:rPr>
      </w:pPr>
    </w:p>
    <w:p w:rsidR="00BD084C" w:rsidRPr="00297A95" w:rsidRDefault="00BD084C" w:rsidP="00BD084C">
      <w:pPr>
        <w:pStyle w:val="NoSpacing"/>
        <w:numPr>
          <w:ilvl w:val="0"/>
          <w:numId w:val="1"/>
        </w:numPr>
        <w:spacing w:line="276" w:lineRule="auto"/>
        <w:jc w:val="both"/>
        <w:rPr>
          <w:rFonts w:ascii="Arial" w:hAnsi="Arial" w:cs="Arial"/>
        </w:rPr>
      </w:pPr>
      <w:r w:rsidRPr="00297A95">
        <w:rPr>
          <w:rFonts w:ascii="Arial" w:hAnsi="Arial" w:cs="Arial"/>
        </w:rPr>
        <w:t xml:space="preserve">Actively consider other causes of severe skin disease </w:t>
      </w:r>
      <w:r>
        <w:rPr>
          <w:rFonts w:ascii="Arial" w:hAnsi="Arial" w:cs="Arial"/>
        </w:rPr>
        <w:t xml:space="preserve">characterized by blistering and involvement of mucus membranes </w:t>
      </w:r>
      <w:r w:rsidRPr="00297A95">
        <w:rPr>
          <w:rFonts w:ascii="Arial" w:hAnsi="Arial" w:cs="Arial"/>
        </w:rPr>
        <w:t>(</w:t>
      </w:r>
      <w:r>
        <w:rPr>
          <w:rFonts w:ascii="Arial" w:hAnsi="Arial" w:cs="Arial"/>
        </w:rPr>
        <w:t xml:space="preserve">see </w:t>
      </w:r>
      <w:r w:rsidRPr="00297A95">
        <w:rPr>
          <w:rFonts w:ascii="Arial" w:hAnsi="Arial" w:cs="Arial"/>
        </w:rPr>
        <w:t>Table 1).</w:t>
      </w: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 </w:t>
      </w:r>
    </w:p>
    <w:p w:rsidR="00BD084C" w:rsidRPr="00297A95" w:rsidRDefault="00BD084C" w:rsidP="00BD084C">
      <w:pPr>
        <w:pStyle w:val="NoSpacing"/>
        <w:numPr>
          <w:ilvl w:val="0"/>
          <w:numId w:val="3"/>
        </w:numPr>
        <w:spacing w:line="276" w:lineRule="auto"/>
        <w:jc w:val="both"/>
        <w:rPr>
          <w:rFonts w:ascii="Arial" w:hAnsi="Arial" w:cs="Arial"/>
        </w:rPr>
      </w:pPr>
      <w:r w:rsidRPr="00297A95">
        <w:rPr>
          <w:rFonts w:ascii="Arial" w:hAnsi="Arial" w:cs="Arial"/>
        </w:rPr>
        <w:t>Perform a full physical examination</w:t>
      </w:r>
      <w:r>
        <w:rPr>
          <w:rFonts w:ascii="Arial" w:hAnsi="Arial" w:cs="Arial"/>
        </w:rPr>
        <w:t>,</w:t>
      </w:r>
      <w:r w:rsidRPr="009348CF">
        <w:rPr>
          <w:rFonts w:ascii="Arial" w:hAnsi="Arial" w:cs="Arial"/>
        </w:rPr>
        <w:t xml:space="preserve"> </w:t>
      </w:r>
      <w:r>
        <w:rPr>
          <w:rFonts w:ascii="Arial" w:hAnsi="Arial" w:cs="Arial"/>
        </w:rPr>
        <w:t>including baseline body weight</w:t>
      </w:r>
      <w:r w:rsidRPr="00297A95">
        <w:rPr>
          <w:rFonts w:ascii="Arial" w:hAnsi="Arial" w:cs="Arial"/>
        </w:rPr>
        <w:t>.</w:t>
      </w:r>
      <w:r>
        <w:rPr>
          <w:rFonts w:ascii="Arial" w:hAnsi="Arial" w:cs="Arial"/>
        </w:rPr>
        <w:t xml:space="preserve"> R</w:t>
      </w:r>
      <w:r w:rsidRPr="00297A95">
        <w:rPr>
          <w:rFonts w:ascii="Arial" w:hAnsi="Arial" w:cs="Arial"/>
        </w:rPr>
        <w:t>ecord the vital signs</w:t>
      </w:r>
      <w:r>
        <w:rPr>
          <w:rFonts w:ascii="Arial" w:hAnsi="Arial" w:cs="Arial"/>
        </w:rPr>
        <w:t xml:space="preserve"> and measure oxygen saturation with a pulse oximeter.</w:t>
      </w:r>
    </w:p>
    <w:p w:rsidR="00BD084C" w:rsidRPr="00297A95" w:rsidRDefault="00BD084C" w:rsidP="0085034D">
      <w:pPr>
        <w:pStyle w:val="NoSpacing"/>
        <w:spacing w:line="276" w:lineRule="auto"/>
        <w:jc w:val="both"/>
        <w:rPr>
          <w:rFonts w:ascii="Arial" w:hAnsi="Arial" w:cs="Arial"/>
        </w:rPr>
      </w:pPr>
    </w:p>
    <w:p w:rsidR="00BD084C" w:rsidRPr="00297A95" w:rsidRDefault="00BD084C" w:rsidP="00BD084C">
      <w:pPr>
        <w:pStyle w:val="NoSpacing"/>
        <w:numPr>
          <w:ilvl w:val="0"/>
          <w:numId w:val="2"/>
        </w:numPr>
        <w:spacing w:line="276" w:lineRule="auto"/>
        <w:jc w:val="both"/>
        <w:rPr>
          <w:rFonts w:ascii="Arial" w:hAnsi="Arial" w:cs="Arial"/>
        </w:rPr>
      </w:pPr>
      <w:r w:rsidRPr="00297A95">
        <w:rPr>
          <w:rFonts w:ascii="Arial" w:hAnsi="Arial" w:cs="Arial"/>
        </w:rPr>
        <w:t>Look for target lesions, particularly atypical targets, purpuric macules, blisters, and areas of epidermal detachment.</w:t>
      </w:r>
    </w:p>
    <w:p w:rsidR="00BD084C" w:rsidRPr="00297A95" w:rsidRDefault="00BD084C" w:rsidP="0085034D">
      <w:pPr>
        <w:pStyle w:val="NoSpacing"/>
        <w:spacing w:line="276" w:lineRule="auto"/>
        <w:ind w:left="720"/>
        <w:jc w:val="both"/>
        <w:rPr>
          <w:rFonts w:ascii="Arial" w:hAnsi="Arial" w:cs="Arial"/>
        </w:rPr>
      </w:pPr>
    </w:p>
    <w:p w:rsidR="00BD084C" w:rsidRPr="00297A95" w:rsidRDefault="00BD084C" w:rsidP="00BD084C">
      <w:pPr>
        <w:pStyle w:val="NoSpacing"/>
        <w:numPr>
          <w:ilvl w:val="0"/>
          <w:numId w:val="2"/>
        </w:numPr>
        <w:spacing w:line="276" w:lineRule="auto"/>
        <w:jc w:val="both"/>
        <w:rPr>
          <w:rFonts w:ascii="Arial" w:hAnsi="Arial" w:cs="Arial"/>
        </w:rPr>
      </w:pPr>
      <w:r w:rsidRPr="00297A95">
        <w:rPr>
          <w:rFonts w:ascii="Arial" w:hAnsi="Arial" w:cs="Arial"/>
        </w:rPr>
        <w:t>Examine all mucosal sites looking for mucositis, blisters and erosions.</w:t>
      </w:r>
    </w:p>
    <w:p w:rsidR="00BD084C" w:rsidRPr="00297A95" w:rsidRDefault="00BD084C" w:rsidP="0085034D">
      <w:pPr>
        <w:pStyle w:val="NoSpacing"/>
        <w:spacing w:line="276" w:lineRule="auto"/>
        <w:ind w:left="720"/>
        <w:jc w:val="both"/>
        <w:rPr>
          <w:rFonts w:ascii="Arial" w:hAnsi="Arial" w:cs="Arial"/>
        </w:rPr>
      </w:pPr>
    </w:p>
    <w:p w:rsidR="00BD084C" w:rsidRPr="00297A95" w:rsidRDefault="00BD084C" w:rsidP="00BD084C">
      <w:pPr>
        <w:pStyle w:val="NoSpacing"/>
        <w:numPr>
          <w:ilvl w:val="0"/>
          <w:numId w:val="2"/>
        </w:numPr>
        <w:spacing w:line="276" w:lineRule="auto"/>
        <w:jc w:val="both"/>
        <w:rPr>
          <w:rFonts w:ascii="Arial" w:hAnsi="Arial" w:cs="Arial"/>
        </w:rPr>
      </w:pPr>
      <w:r w:rsidRPr="00297A95">
        <w:rPr>
          <w:rFonts w:ascii="Arial" w:hAnsi="Arial" w:cs="Arial"/>
        </w:rPr>
        <w:t xml:space="preserve">Record the extent of erythema and the extent of epidermal detachment separately on a body map (Figure </w:t>
      </w:r>
      <w:r>
        <w:rPr>
          <w:rFonts w:ascii="Arial" w:hAnsi="Arial" w:cs="Arial"/>
        </w:rPr>
        <w:t>13</w:t>
      </w:r>
      <w:r w:rsidRPr="00297A95">
        <w:rPr>
          <w:rFonts w:ascii="Arial" w:hAnsi="Arial" w:cs="Arial"/>
        </w:rPr>
        <w:t>); for each parameter estimate the percentage of BSA involved using the</w:t>
      </w:r>
      <w:r w:rsidRPr="00E942AA">
        <w:t xml:space="preserve"> </w:t>
      </w:r>
      <w:r w:rsidRPr="00E942AA">
        <w:rPr>
          <w:rFonts w:ascii="Arial" w:hAnsi="Arial" w:cs="Arial"/>
        </w:rPr>
        <w:t xml:space="preserve">Lund and Browder </w:t>
      </w:r>
      <w:r>
        <w:rPr>
          <w:rFonts w:ascii="Arial" w:hAnsi="Arial" w:cs="Arial"/>
        </w:rPr>
        <w:t xml:space="preserve">(L&amp;B) </w:t>
      </w:r>
      <w:r w:rsidRPr="00E942AA">
        <w:rPr>
          <w:rFonts w:ascii="Arial" w:hAnsi="Arial" w:cs="Arial"/>
        </w:rPr>
        <w:t>chart</w:t>
      </w:r>
      <w:r w:rsidRPr="00297A95">
        <w:rPr>
          <w:rFonts w:ascii="Arial" w:hAnsi="Arial" w:cs="Arial"/>
        </w:rPr>
        <w:t>.</w:t>
      </w:r>
      <w:r>
        <w:rPr>
          <w:rFonts w:ascii="Arial" w:hAnsi="Arial" w:cs="Arial"/>
        </w:rPr>
        <w:t xml:space="preserve"> Detachment should include detachable epidermis (i.e. </w:t>
      </w:r>
      <w:proofErr w:type="spellStart"/>
      <w:r>
        <w:rPr>
          <w:rFonts w:ascii="Arial" w:hAnsi="Arial" w:cs="Arial"/>
        </w:rPr>
        <w:t>Nikolsky</w:t>
      </w:r>
      <w:proofErr w:type="spellEnd"/>
      <w:r>
        <w:rPr>
          <w:rFonts w:ascii="Arial" w:hAnsi="Arial" w:cs="Arial"/>
        </w:rPr>
        <w:t xml:space="preserve"> positive) as well as detached epidermis; it is this figure, rather than the amount of erythema, which has prognostic value.</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ind w:firstLine="360"/>
        <w:jc w:val="both"/>
        <w:rPr>
          <w:rFonts w:ascii="Arial" w:hAnsi="Arial" w:cs="Arial"/>
        </w:rPr>
      </w:pPr>
      <w:r>
        <w:rPr>
          <w:rFonts w:ascii="Arial" w:hAnsi="Arial" w:cs="Arial"/>
        </w:rPr>
        <w:t xml:space="preserve">The following </w:t>
      </w:r>
      <w:r w:rsidRPr="00297A95">
        <w:rPr>
          <w:rFonts w:ascii="Arial" w:hAnsi="Arial" w:cs="Arial"/>
        </w:rPr>
        <w:t>investigations</w:t>
      </w:r>
      <w:r>
        <w:rPr>
          <w:rFonts w:ascii="Arial" w:hAnsi="Arial" w:cs="Arial"/>
        </w:rPr>
        <w:t xml:space="preserve"> should be undertaken</w:t>
      </w:r>
      <w:r w:rsidRPr="00297A95">
        <w:rPr>
          <w:rFonts w:ascii="Arial" w:hAnsi="Arial" w:cs="Arial"/>
        </w:rPr>
        <w:t>:</w:t>
      </w:r>
    </w:p>
    <w:p w:rsidR="00BD084C" w:rsidRPr="00297A95" w:rsidRDefault="00BD084C" w:rsidP="0085034D">
      <w:pPr>
        <w:pStyle w:val="NoSpacing"/>
        <w:spacing w:line="276" w:lineRule="auto"/>
        <w:jc w:val="both"/>
        <w:rPr>
          <w:rFonts w:ascii="Arial" w:hAnsi="Arial" w:cs="Arial"/>
        </w:rPr>
      </w:pPr>
    </w:p>
    <w:p w:rsidR="00BD084C" w:rsidRDefault="00BD084C" w:rsidP="00BD084C">
      <w:pPr>
        <w:pStyle w:val="NoSpacing"/>
        <w:numPr>
          <w:ilvl w:val="0"/>
          <w:numId w:val="3"/>
        </w:numPr>
        <w:spacing w:line="276" w:lineRule="auto"/>
        <w:jc w:val="both"/>
        <w:rPr>
          <w:rFonts w:ascii="Arial" w:hAnsi="Arial" w:cs="Arial"/>
        </w:rPr>
      </w:pPr>
      <w:r w:rsidRPr="009348CF">
        <w:rPr>
          <w:rFonts w:ascii="Arial" w:hAnsi="Arial" w:cs="Arial"/>
        </w:rPr>
        <w:t>Full blood count (FBC),</w:t>
      </w:r>
      <w:r>
        <w:rPr>
          <w:rFonts w:ascii="Arial" w:hAnsi="Arial" w:cs="Arial"/>
        </w:rPr>
        <w:t xml:space="preserve"> ESR, CRP,</w:t>
      </w:r>
      <w:r w:rsidRPr="009348CF">
        <w:rPr>
          <w:rFonts w:ascii="Arial" w:hAnsi="Arial" w:cs="Arial"/>
        </w:rPr>
        <w:t xml:space="preserve"> urea and electrolytes (U&amp;E), magnesium, phosphate, </w:t>
      </w:r>
      <w:r w:rsidRPr="00385276">
        <w:rPr>
          <w:rFonts w:ascii="Arial" w:hAnsi="Arial" w:cs="Arial"/>
        </w:rPr>
        <w:t>bicarbonate, glucose, liver function tests (LFT) and coagulation studies, mycoplasma serology</w:t>
      </w:r>
      <w:r>
        <w:rPr>
          <w:rFonts w:ascii="Arial" w:hAnsi="Arial" w:cs="Arial"/>
        </w:rPr>
        <w:t>.</w:t>
      </w:r>
    </w:p>
    <w:p w:rsidR="00BD084C" w:rsidRPr="009348CF" w:rsidRDefault="00BD084C" w:rsidP="0085034D">
      <w:pPr>
        <w:pStyle w:val="NoSpacing"/>
        <w:spacing w:line="276" w:lineRule="auto"/>
        <w:ind w:left="720"/>
        <w:jc w:val="both"/>
        <w:rPr>
          <w:rFonts w:ascii="Arial" w:hAnsi="Arial" w:cs="Arial"/>
        </w:rPr>
      </w:pPr>
    </w:p>
    <w:p w:rsidR="00BD084C" w:rsidRPr="00297A95" w:rsidRDefault="00BD084C" w:rsidP="00BD084C">
      <w:pPr>
        <w:pStyle w:val="NoSpacing"/>
        <w:numPr>
          <w:ilvl w:val="0"/>
          <w:numId w:val="3"/>
        </w:numPr>
        <w:spacing w:line="276" w:lineRule="auto"/>
        <w:jc w:val="both"/>
        <w:rPr>
          <w:rFonts w:ascii="Arial" w:hAnsi="Arial" w:cs="Arial"/>
        </w:rPr>
      </w:pPr>
      <w:r>
        <w:rPr>
          <w:rFonts w:ascii="Arial" w:hAnsi="Arial" w:cs="Arial"/>
        </w:rPr>
        <w:t>C</w:t>
      </w:r>
      <w:r w:rsidRPr="00297A95">
        <w:rPr>
          <w:rFonts w:ascii="Arial" w:hAnsi="Arial" w:cs="Arial"/>
        </w:rPr>
        <w:t>hest X-ray.</w:t>
      </w:r>
    </w:p>
    <w:p w:rsidR="00BD084C" w:rsidRPr="00297A95" w:rsidRDefault="00BD084C" w:rsidP="0085034D">
      <w:pPr>
        <w:pStyle w:val="NoSpacing"/>
        <w:spacing w:line="276" w:lineRule="auto"/>
      </w:pPr>
    </w:p>
    <w:p w:rsidR="00BD084C" w:rsidRPr="00297A95" w:rsidRDefault="00BD084C" w:rsidP="00BD084C">
      <w:pPr>
        <w:pStyle w:val="NoSpacing"/>
        <w:numPr>
          <w:ilvl w:val="0"/>
          <w:numId w:val="3"/>
        </w:numPr>
        <w:spacing w:line="276" w:lineRule="auto"/>
        <w:jc w:val="both"/>
        <w:rPr>
          <w:rFonts w:ascii="Arial" w:hAnsi="Arial" w:cs="Arial"/>
        </w:rPr>
      </w:pPr>
      <w:r>
        <w:rPr>
          <w:rFonts w:ascii="Arial" w:hAnsi="Arial" w:cs="Arial"/>
        </w:rPr>
        <w:t>A b</w:t>
      </w:r>
      <w:r w:rsidRPr="00297A95">
        <w:rPr>
          <w:rFonts w:ascii="Arial" w:hAnsi="Arial" w:cs="Arial"/>
        </w:rPr>
        <w:t xml:space="preserve">iopsy from </w:t>
      </w:r>
      <w:proofErr w:type="spellStart"/>
      <w:r w:rsidRPr="00297A95">
        <w:rPr>
          <w:rFonts w:ascii="Arial" w:hAnsi="Arial" w:cs="Arial"/>
        </w:rPr>
        <w:t>lesional</w:t>
      </w:r>
      <w:proofErr w:type="spellEnd"/>
      <w:r w:rsidRPr="00297A95">
        <w:rPr>
          <w:rFonts w:ascii="Arial" w:hAnsi="Arial" w:cs="Arial"/>
        </w:rPr>
        <w:t xml:space="preserve"> skin</w:t>
      </w:r>
      <w:r>
        <w:rPr>
          <w:rFonts w:ascii="Arial" w:hAnsi="Arial" w:cs="Arial"/>
        </w:rPr>
        <w:t>, just</w:t>
      </w:r>
      <w:r w:rsidRPr="00297A95">
        <w:rPr>
          <w:rFonts w:ascii="Arial" w:hAnsi="Arial" w:cs="Arial"/>
        </w:rPr>
        <w:t xml:space="preserve"> adjacent to a blister</w:t>
      </w:r>
      <w:r>
        <w:rPr>
          <w:rFonts w:ascii="Arial" w:hAnsi="Arial" w:cs="Arial"/>
        </w:rPr>
        <w:t>,</w:t>
      </w:r>
      <w:r w:rsidRPr="00297A95">
        <w:rPr>
          <w:rFonts w:ascii="Arial" w:hAnsi="Arial" w:cs="Arial"/>
        </w:rPr>
        <w:t xml:space="preserve"> and send for routine histopathology; a second biopsy taken from </w:t>
      </w:r>
      <w:proofErr w:type="spellStart"/>
      <w:r w:rsidRPr="00297A95">
        <w:rPr>
          <w:rFonts w:ascii="Arial" w:hAnsi="Arial" w:cs="Arial"/>
        </w:rPr>
        <w:t>peri</w:t>
      </w:r>
      <w:proofErr w:type="spellEnd"/>
      <w:r w:rsidRPr="00297A95">
        <w:rPr>
          <w:rFonts w:ascii="Arial" w:hAnsi="Arial" w:cs="Arial"/>
        </w:rPr>
        <w:t xml:space="preserve">-blister </w:t>
      </w:r>
      <w:proofErr w:type="spellStart"/>
      <w:r w:rsidRPr="00297A95">
        <w:rPr>
          <w:rFonts w:ascii="Arial" w:hAnsi="Arial" w:cs="Arial"/>
        </w:rPr>
        <w:t>lesional</w:t>
      </w:r>
      <w:proofErr w:type="spellEnd"/>
      <w:r w:rsidRPr="00297A95">
        <w:rPr>
          <w:rFonts w:ascii="Arial" w:hAnsi="Arial" w:cs="Arial"/>
        </w:rPr>
        <w:t xml:space="preserve"> skin should be sent unfixed for direct immunofluorescence to exclude an </w:t>
      </w:r>
      <w:proofErr w:type="spellStart"/>
      <w:r w:rsidRPr="00297A95">
        <w:rPr>
          <w:rFonts w:ascii="Arial" w:hAnsi="Arial" w:cs="Arial"/>
        </w:rPr>
        <w:t>immunobullous</w:t>
      </w:r>
      <w:proofErr w:type="spellEnd"/>
      <w:r w:rsidRPr="00297A95">
        <w:rPr>
          <w:rFonts w:ascii="Arial" w:hAnsi="Arial" w:cs="Arial"/>
        </w:rPr>
        <w:t xml:space="preserve"> disorder. </w:t>
      </w:r>
    </w:p>
    <w:p w:rsidR="00BD084C" w:rsidRPr="00297A95" w:rsidRDefault="00BD084C" w:rsidP="0085034D">
      <w:pPr>
        <w:pStyle w:val="NoSpacing"/>
        <w:spacing w:line="276" w:lineRule="auto"/>
        <w:ind w:left="720"/>
        <w:jc w:val="both"/>
        <w:rPr>
          <w:rFonts w:ascii="Arial" w:hAnsi="Arial" w:cs="Arial"/>
        </w:rPr>
      </w:pPr>
    </w:p>
    <w:p w:rsidR="00BD084C" w:rsidRPr="00297A95" w:rsidRDefault="00BD084C" w:rsidP="00BD084C">
      <w:pPr>
        <w:pStyle w:val="NoSpacing"/>
        <w:numPr>
          <w:ilvl w:val="0"/>
          <w:numId w:val="3"/>
        </w:numPr>
        <w:spacing w:line="276" w:lineRule="auto"/>
        <w:jc w:val="both"/>
        <w:rPr>
          <w:rFonts w:ascii="Arial" w:hAnsi="Arial" w:cs="Arial"/>
        </w:rPr>
      </w:pPr>
      <w:r>
        <w:rPr>
          <w:rFonts w:ascii="Arial" w:hAnsi="Arial" w:cs="Arial"/>
        </w:rPr>
        <w:t>S</w:t>
      </w:r>
      <w:r w:rsidRPr="00297A95">
        <w:rPr>
          <w:rFonts w:ascii="Arial" w:hAnsi="Arial" w:cs="Arial"/>
        </w:rPr>
        <w:t xml:space="preserve">wabs from </w:t>
      </w:r>
      <w:proofErr w:type="spellStart"/>
      <w:r w:rsidRPr="00297A95">
        <w:rPr>
          <w:rFonts w:ascii="Arial" w:hAnsi="Arial" w:cs="Arial"/>
        </w:rPr>
        <w:t>lesional</w:t>
      </w:r>
      <w:proofErr w:type="spellEnd"/>
      <w:r w:rsidRPr="00297A95">
        <w:rPr>
          <w:rFonts w:ascii="Arial" w:hAnsi="Arial" w:cs="Arial"/>
        </w:rPr>
        <w:t xml:space="preserve"> skin for bacteriology.</w:t>
      </w:r>
    </w:p>
    <w:p w:rsidR="00BD084C" w:rsidRPr="00297A95" w:rsidRDefault="00BD084C" w:rsidP="0085034D">
      <w:pPr>
        <w:pStyle w:val="NoSpacing"/>
        <w:spacing w:line="276" w:lineRule="auto"/>
      </w:pPr>
    </w:p>
    <w:p w:rsidR="00BD084C" w:rsidRPr="00297A95" w:rsidRDefault="00BD084C" w:rsidP="00BD084C">
      <w:pPr>
        <w:pStyle w:val="NoSpacing"/>
        <w:numPr>
          <w:ilvl w:val="0"/>
          <w:numId w:val="3"/>
        </w:numPr>
        <w:spacing w:line="276" w:lineRule="auto"/>
        <w:jc w:val="both"/>
        <w:rPr>
          <w:rFonts w:ascii="Arial" w:hAnsi="Arial" w:cs="Arial"/>
        </w:rPr>
      </w:pPr>
      <w:r w:rsidRPr="00297A95">
        <w:rPr>
          <w:rFonts w:ascii="Arial" w:hAnsi="Arial" w:cs="Arial"/>
        </w:rPr>
        <w:t>Organize photographs of the skin to show type of lesion and extent of involvement.</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Initiate a primary management plan:</w:t>
      </w:r>
    </w:p>
    <w:p w:rsidR="00BD084C" w:rsidRPr="00297A95" w:rsidRDefault="00BD084C" w:rsidP="0085034D">
      <w:pPr>
        <w:pStyle w:val="NoSpacing"/>
        <w:spacing w:line="276" w:lineRule="auto"/>
        <w:jc w:val="both"/>
        <w:rPr>
          <w:rFonts w:ascii="Arial" w:hAnsi="Arial" w:cs="Arial"/>
        </w:rPr>
      </w:pPr>
    </w:p>
    <w:p w:rsidR="00624825" w:rsidRPr="00624825" w:rsidRDefault="00624825" w:rsidP="00624825">
      <w:pPr>
        <w:pStyle w:val="NoSpacing"/>
        <w:numPr>
          <w:ilvl w:val="0"/>
          <w:numId w:val="4"/>
        </w:numPr>
        <w:spacing w:line="276" w:lineRule="auto"/>
        <w:jc w:val="both"/>
        <w:rPr>
          <w:rFonts w:ascii="Arial" w:hAnsi="Arial" w:cs="Arial"/>
          <w:u w:val="single"/>
        </w:rPr>
      </w:pPr>
      <w:r w:rsidRPr="00624825">
        <w:rPr>
          <w:rFonts w:ascii="Arial" w:hAnsi="Arial" w:cs="Arial"/>
          <w:u w:val="single"/>
        </w:rPr>
        <w:t xml:space="preserve">Discontinue any potential culprit drug causing SJS/TEN immediately (see Table 2). </w:t>
      </w:r>
    </w:p>
    <w:p w:rsidR="00624825" w:rsidRPr="00297A95" w:rsidRDefault="00624825" w:rsidP="00624825">
      <w:pPr>
        <w:pStyle w:val="NoSpacing"/>
        <w:spacing w:line="276" w:lineRule="auto"/>
        <w:ind w:left="720"/>
        <w:jc w:val="both"/>
        <w:rPr>
          <w:rFonts w:ascii="Arial" w:hAnsi="Arial" w:cs="Arial"/>
        </w:rPr>
      </w:pPr>
    </w:p>
    <w:p w:rsidR="00BD084C" w:rsidRPr="00297A95" w:rsidRDefault="00BD084C" w:rsidP="00BD084C">
      <w:pPr>
        <w:pStyle w:val="NoSpacing"/>
        <w:numPr>
          <w:ilvl w:val="0"/>
          <w:numId w:val="4"/>
        </w:numPr>
        <w:spacing w:line="276" w:lineRule="auto"/>
        <w:jc w:val="both"/>
        <w:rPr>
          <w:rFonts w:ascii="Arial" w:hAnsi="Arial" w:cs="Arial"/>
        </w:rPr>
      </w:pPr>
      <w:r w:rsidRPr="00297A95">
        <w:rPr>
          <w:rFonts w:ascii="Arial" w:hAnsi="Arial" w:cs="Arial"/>
        </w:rPr>
        <w:t>Establish peripheral venous access; where possible, insert the cannula through non-</w:t>
      </w:r>
      <w:proofErr w:type="spellStart"/>
      <w:r w:rsidRPr="00297A95">
        <w:rPr>
          <w:rFonts w:ascii="Arial" w:hAnsi="Arial" w:cs="Arial"/>
        </w:rPr>
        <w:t>lesional</w:t>
      </w:r>
      <w:proofErr w:type="spellEnd"/>
      <w:r w:rsidRPr="00297A95">
        <w:rPr>
          <w:rFonts w:ascii="Arial" w:hAnsi="Arial" w:cs="Arial"/>
        </w:rPr>
        <w:t xml:space="preserve"> skin; commence appropriate intravenous fluid resuscitation if clinically indicated (see section 8.3).</w:t>
      </w:r>
      <w:r>
        <w:rPr>
          <w:rFonts w:ascii="Arial" w:hAnsi="Arial" w:cs="Arial"/>
        </w:rPr>
        <w:t xml:space="preserve"> A fluid chart should be initiated.</w:t>
      </w:r>
    </w:p>
    <w:p w:rsidR="00BD084C" w:rsidRPr="00297A95" w:rsidRDefault="00BD084C" w:rsidP="0085034D">
      <w:pPr>
        <w:pStyle w:val="NoSpacing"/>
        <w:spacing w:line="276" w:lineRule="auto"/>
        <w:ind w:left="720"/>
        <w:jc w:val="both"/>
        <w:rPr>
          <w:rFonts w:ascii="Arial" w:hAnsi="Arial" w:cs="Arial"/>
        </w:rPr>
      </w:pPr>
    </w:p>
    <w:p w:rsidR="00BD084C" w:rsidRPr="00297A95" w:rsidRDefault="00BD084C" w:rsidP="00BD084C">
      <w:pPr>
        <w:pStyle w:val="NoSpacing"/>
        <w:numPr>
          <w:ilvl w:val="0"/>
          <w:numId w:val="4"/>
        </w:numPr>
        <w:spacing w:line="276" w:lineRule="auto"/>
        <w:jc w:val="both"/>
        <w:rPr>
          <w:rFonts w:ascii="Arial" w:hAnsi="Arial" w:cs="Arial"/>
        </w:rPr>
      </w:pPr>
      <w:r w:rsidRPr="00297A95">
        <w:rPr>
          <w:rFonts w:ascii="Arial" w:hAnsi="Arial" w:cs="Arial"/>
        </w:rPr>
        <w:t xml:space="preserve">Ascertain if the patient can maintain adequate hydration and nutrition orally; if this is not possible, insert a </w:t>
      </w:r>
      <w:proofErr w:type="spellStart"/>
      <w:r w:rsidRPr="00297A95">
        <w:rPr>
          <w:rFonts w:ascii="Arial" w:hAnsi="Arial" w:cs="Arial"/>
        </w:rPr>
        <w:t>naso</w:t>
      </w:r>
      <w:proofErr w:type="spellEnd"/>
      <w:r w:rsidRPr="00297A95">
        <w:rPr>
          <w:rFonts w:ascii="Arial" w:hAnsi="Arial" w:cs="Arial"/>
        </w:rPr>
        <w:t xml:space="preserve">-gastric tube and institute </w:t>
      </w:r>
      <w:proofErr w:type="spellStart"/>
      <w:r w:rsidRPr="00297A95">
        <w:rPr>
          <w:rFonts w:ascii="Arial" w:hAnsi="Arial" w:cs="Arial"/>
        </w:rPr>
        <w:t>naso</w:t>
      </w:r>
      <w:proofErr w:type="spellEnd"/>
      <w:r w:rsidRPr="00297A95">
        <w:rPr>
          <w:rFonts w:ascii="Arial" w:hAnsi="Arial" w:cs="Arial"/>
        </w:rPr>
        <w:t>-gastric feeding (see section 8.4).</w:t>
      </w:r>
      <w:r>
        <w:rPr>
          <w:rFonts w:ascii="Arial" w:hAnsi="Arial" w:cs="Arial"/>
        </w:rPr>
        <w:t xml:space="preserve"> </w:t>
      </w:r>
    </w:p>
    <w:p w:rsidR="00BD084C" w:rsidRPr="00297A95" w:rsidRDefault="00BD084C" w:rsidP="0085034D">
      <w:pPr>
        <w:pStyle w:val="NoSpacing"/>
        <w:spacing w:line="276" w:lineRule="auto"/>
      </w:pPr>
    </w:p>
    <w:p w:rsidR="00BD084C" w:rsidRPr="00297A95" w:rsidRDefault="00BD084C" w:rsidP="00BD084C">
      <w:pPr>
        <w:pStyle w:val="NoSpacing"/>
        <w:numPr>
          <w:ilvl w:val="0"/>
          <w:numId w:val="4"/>
        </w:numPr>
        <w:spacing w:line="276" w:lineRule="auto"/>
        <w:jc w:val="both"/>
        <w:rPr>
          <w:rFonts w:ascii="Arial" w:hAnsi="Arial" w:cs="Arial"/>
        </w:rPr>
      </w:pPr>
      <w:r w:rsidRPr="00297A95">
        <w:rPr>
          <w:rFonts w:ascii="Arial" w:hAnsi="Arial" w:cs="Arial"/>
        </w:rPr>
        <w:t xml:space="preserve">Insert a urinary catheter when urogenital involvement is causing significant dysuria </w:t>
      </w:r>
      <w:r>
        <w:rPr>
          <w:rFonts w:ascii="Arial" w:hAnsi="Arial" w:cs="Arial"/>
        </w:rPr>
        <w:t>or</w:t>
      </w:r>
      <w:r w:rsidRPr="00297A95">
        <w:rPr>
          <w:rFonts w:ascii="Arial" w:hAnsi="Arial" w:cs="Arial"/>
        </w:rPr>
        <w:t xml:space="preserve"> retention.</w:t>
      </w:r>
      <w:r>
        <w:rPr>
          <w:rFonts w:ascii="Arial" w:hAnsi="Arial" w:cs="Arial"/>
        </w:rPr>
        <w:t xml:space="preserve"> A urinary catheter will also permit accurate output monitoring to assist fluid replacement.</w:t>
      </w:r>
    </w:p>
    <w:p w:rsidR="00BD084C" w:rsidRPr="00297A95" w:rsidRDefault="00BD084C" w:rsidP="0085034D">
      <w:pPr>
        <w:pStyle w:val="NoSpacing"/>
        <w:spacing w:line="276" w:lineRule="auto"/>
        <w:jc w:val="both"/>
        <w:rPr>
          <w:rFonts w:ascii="Arial" w:hAnsi="Arial" w:cs="Arial"/>
          <w:i/>
        </w:rPr>
      </w:pPr>
    </w:p>
    <w:p w:rsidR="00BD084C" w:rsidRPr="00297A95" w:rsidRDefault="00BD084C" w:rsidP="0085034D">
      <w:pPr>
        <w:pStyle w:val="NoSpacing"/>
        <w:spacing w:line="276" w:lineRule="auto"/>
        <w:jc w:val="both"/>
        <w:rPr>
          <w:rFonts w:ascii="Arial" w:hAnsi="Arial" w:cs="Arial"/>
          <w:i/>
        </w:rPr>
      </w:pPr>
    </w:p>
    <w:p w:rsidR="00BD084C" w:rsidRPr="00297A95" w:rsidRDefault="00BD084C" w:rsidP="0085034D">
      <w:pPr>
        <w:pStyle w:val="NoSpacing"/>
        <w:spacing w:line="276" w:lineRule="auto"/>
        <w:jc w:val="both"/>
        <w:rPr>
          <w:rFonts w:ascii="Arial" w:hAnsi="Arial" w:cs="Arial"/>
          <w:b/>
        </w:rPr>
      </w:pPr>
      <w:r w:rsidRPr="00297A95">
        <w:rPr>
          <w:rFonts w:ascii="Arial" w:hAnsi="Arial" w:cs="Arial"/>
          <w:b/>
        </w:rPr>
        <w:t>7.5 Is there a clinical method of determining drug causality in SJS/TEN?</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SJS/TEN is primarily a drug-induced phenomenon, with a culprit drug being demonstrated in approximately 85% of cases.</w:t>
      </w:r>
      <w:r w:rsidRPr="00FF70EF">
        <w:rPr>
          <w:rFonts w:ascii="Arial" w:hAnsi="Arial" w:cs="Arial"/>
          <w:noProof/>
          <w:vertAlign w:val="superscript"/>
        </w:rPr>
        <w:t>21</w:t>
      </w:r>
      <w:r w:rsidRPr="00297A95">
        <w:rPr>
          <w:rFonts w:ascii="Arial" w:hAnsi="Arial" w:cs="Arial"/>
        </w:rPr>
        <w:t xml:space="preserve"> Identification of the causative agent may be straightforward in </w:t>
      </w:r>
      <w:r w:rsidRPr="00297A95">
        <w:rPr>
          <w:rFonts w:ascii="Arial" w:hAnsi="Arial" w:cs="Arial"/>
        </w:rPr>
        <w:lastRenderedPageBreak/>
        <w:t xml:space="preserve">cases where a single drug is implicated, but difficulties are posed by the patient who has been exposed to multiple drugs. Early withdrawal of the suspected agent is mandatory, </w:t>
      </w:r>
      <w:r>
        <w:rPr>
          <w:rFonts w:ascii="Arial" w:hAnsi="Arial" w:cs="Arial"/>
        </w:rPr>
        <w:t>as</w:t>
      </w:r>
      <w:r w:rsidRPr="00297A95">
        <w:rPr>
          <w:rFonts w:ascii="Arial" w:hAnsi="Arial" w:cs="Arial"/>
        </w:rPr>
        <w:t xml:space="preserve"> this decreases the risk of death.</w:t>
      </w:r>
      <w:r w:rsidRPr="00FF70EF">
        <w:rPr>
          <w:rFonts w:ascii="Arial" w:hAnsi="Arial" w:cs="Arial"/>
          <w:noProof/>
          <w:vertAlign w:val="superscript"/>
        </w:rPr>
        <w:t>22</w:t>
      </w:r>
      <w:r w:rsidRPr="00297A95">
        <w:rPr>
          <w:rFonts w:ascii="Arial" w:hAnsi="Arial" w:cs="Arial"/>
        </w:rPr>
        <w:t xml:space="preserve"> </w:t>
      </w:r>
      <w:proofErr w:type="gramStart"/>
      <w:r w:rsidRPr="00297A95">
        <w:rPr>
          <w:rFonts w:ascii="Arial" w:hAnsi="Arial" w:cs="Arial"/>
        </w:rPr>
        <w:t>The</w:t>
      </w:r>
      <w:proofErr w:type="gramEnd"/>
      <w:r w:rsidRPr="00297A95">
        <w:rPr>
          <w:rFonts w:ascii="Arial" w:hAnsi="Arial" w:cs="Arial"/>
        </w:rPr>
        <w:t xml:space="preserve"> patient’s other regular medicines should be continued. </w:t>
      </w:r>
    </w:p>
    <w:p w:rsidR="00BD084C" w:rsidRPr="00297A95" w:rsidRDefault="00BD084C" w:rsidP="0085034D">
      <w:pPr>
        <w:pStyle w:val="NoSpacing"/>
        <w:spacing w:line="276" w:lineRule="auto"/>
        <w:jc w:val="both"/>
        <w:rPr>
          <w:rFonts w:ascii="Arial" w:hAnsi="Arial" w:cs="Arial"/>
        </w:rPr>
      </w:pPr>
    </w:p>
    <w:p w:rsidR="00BD084C" w:rsidRPr="00297A95" w:rsidRDefault="00C712E9" w:rsidP="0085034D">
      <w:pPr>
        <w:pStyle w:val="NoSpacing"/>
        <w:spacing w:line="276" w:lineRule="auto"/>
        <w:jc w:val="both"/>
        <w:rPr>
          <w:rFonts w:ascii="Arial" w:hAnsi="Arial" w:cs="Arial"/>
        </w:rPr>
      </w:pPr>
      <w:r>
        <w:rPr>
          <w:rFonts w:ascii="Arial" w:hAnsi="Arial" w:cs="Arial"/>
          <w:highlight w:val="yellow"/>
          <w:u w:val="single"/>
        </w:rPr>
        <w:t xml:space="preserve">Notoriety </w:t>
      </w:r>
      <w:r w:rsidR="00BD084C" w:rsidRPr="00E76EC2">
        <w:rPr>
          <w:rFonts w:ascii="Arial" w:hAnsi="Arial" w:cs="Arial"/>
          <w:highlight w:val="yellow"/>
        </w:rPr>
        <w:t xml:space="preserve">of specific drugs in causing SJS/TEN can be determined from population pharmacovigilance </w:t>
      </w:r>
      <w:r w:rsidR="00BD084C" w:rsidRPr="00E76EC2">
        <w:rPr>
          <w:rFonts w:ascii="Arial" w:hAnsi="Arial" w:cs="Arial"/>
        </w:rPr>
        <w:t>data and is useful in identifying a likely culprit.</w:t>
      </w:r>
      <w:r w:rsidR="00BD084C" w:rsidRPr="00E76EC2">
        <w:rPr>
          <w:rFonts w:ascii="Arial" w:hAnsi="Arial" w:cs="Arial"/>
          <w:noProof/>
          <w:vertAlign w:val="superscript"/>
        </w:rPr>
        <w:t>6,23-28</w:t>
      </w:r>
      <w:r w:rsidR="00BD084C" w:rsidRPr="00E76EC2">
        <w:rPr>
          <w:rFonts w:ascii="Arial" w:hAnsi="Arial" w:cs="Arial"/>
        </w:rPr>
        <w:t xml:space="preserve"> Two multinational case-control studies have evaluated drug causation risk: the first, conducted from 1989 to 1995, included 372 cases and 1720 controls;</w:t>
      </w:r>
      <w:r w:rsidR="00BD084C" w:rsidRPr="00E76EC2">
        <w:rPr>
          <w:rFonts w:ascii="Arial" w:hAnsi="Arial" w:cs="Arial"/>
          <w:noProof/>
          <w:vertAlign w:val="superscript"/>
        </w:rPr>
        <w:t>23</w:t>
      </w:r>
      <w:r w:rsidR="00BD084C" w:rsidRPr="00E76EC2">
        <w:rPr>
          <w:rFonts w:ascii="Arial" w:hAnsi="Arial" w:cs="Arial"/>
        </w:rPr>
        <w:t xml:space="preserve"> the second, carried out between 1997 and 2001, consisted of 379 cases and 1505 controls.</w:t>
      </w:r>
      <w:r w:rsidR="00BD084C" w:rsidRPr="00E76EC2">
        <w:rPr>
          <w:rFonts w:ascii="Arial" w:hAnsi="Arial" w:cs="Arial"/>
          <w:noProof/>
          <w:vertAlign w:val="superscript"/>
        </w:rPr>
        <w:t>6</w:t>
      </w:r>
      <w:r w:rsidR="00BD084C" w:rsidRPr="00E76EC2">
        <w:rPr>
          <w:rFonts w:ascii="Arial" w:hAnsi="Arial" w:cs="Arial"/>
        </w:rPr>
        <w:t xml:space="preserve"> From case-control studies, a list of drugs which are strongly associated with the induction of SJS/TEN has been drawn up; these medicines are responsible for one-half of all cases (see Table 2). Paracetamol, aspirin, ibuprofen, and corticosteroid have an unclear association, but are likely to be confounders used to treat prodromal symptoms of SJS/TEN.</w:t>
      </w:r>
    </w:p>
    <w:p w:rsidR="00BD084C" w:rsidRPr="00297A95" w:rsidRDefault="00BD084C" w:rsidP="0085034D">
      <w:pPr>
        <w:pStyle w:val="NoSpacing"/>
        <w:spacing w:line="276" w:lineRule="auto"/>
        <w:jc w:val="both"/>
        <w:rPr>
          <w:rFonts w:ascii="Arial" w:hAnsi="Arial" w:cs="Arial"/>
        </w:rPr>
      </w:pPr>
    </w:p>
    <w:tbl>
      <w:tblPr>
        <w:tblW w:w="0" w:type="auto"/>
        <w:tblInd w:w="108"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4A0" w:firstRow="1" w:lastRow="0" w:firstColumn="1" w:lastColumn="0" w:noHBand="0" w:noVBand="1"/>
      </w:tblPr>
      <w:tblGrid>
        <w:gridCol w:w="4678"/>
      </w:tblGrid>
      <w:tr w:rsidR="00BD084C" w:rsidRPr="00297A95" w:rsidTr="0085034D">
        <w:tc>
          <w:tcPr>
            <w:tcW w:w="4678" w:type="dxa"/>
            <w:shd w:val="clear" w:color="auto" w:fill="E5F4F7"/>
          </w:tcPr>
          <w:p w:rsidR="00BD084C" w:rsidRPr="00297A95" w:rsidRDefault="00BD084C" w:rsidP="0085034D">
            <w:pPr>
              <w:pStyle w:val="NoSpacing"/>
              <w:spacing w:line="276" w:lineRule="auto"/>
              <w:jc w:val="both"/>
              <w:rPr>
                <w:rFonts w:ascii="Arial" w:eastAsia="Times New Roman" w:hAnsi="Arial" w:cs="Arial"/>
                <w:bCs/>
                <w:lang w:eastAsia="fr-FR"/>
              </w:rPr>
            </w:pPr>
            <w:r w:rsidRPr="00297A95">
              <w:rPr>
                <w:rFonts w:ascii="Arial" w:eastAsia="Times New Roman" w:hAnsi="Arial" w:cs="Arial"/>
                <w:bCs/>
                <w:lang w:eastAsia="fr-FR"/>
              </w:rPr>
              <w:t>Allopurinol</w:t>
            </w:r>
          </w:p>
        </w:tc>
      </w:tr>
      <w:tr w:rsidR="00BD084C" w:rsidRPr="00297A95" w:rsidTr="0085034D">
        <w:tc>
          <w:tcPr>
            <w:tcW w:w="4678" w:type="dxa"/>
            <w:shd w:val="clear" w:color="auto" w:fill="E5F4F7"/>
          </w:tcPr>
          <w:p w:rsidR="00BD084C" w:rsidRPr="00297A95" w:rsidRDefault="00BD084C" w:rsidP="0085034D">
            <w:pPr>
              <w:pStyle w:val="NoSpacing"/>
              <w:spacing w:line="276" w:lineRule="auto"/>
              <w:jc w:val="both"/>
              <w:rPr>
                <w:rFonts w:ascii="Arial" w:eastAsia="Times New Roman" w:hAnsi="Arial" w:cs="Arial"/>
                <w:bCs/>
                <w:lang w:eastAsia="fr-FR"/>
              </w:rPr>
            </w:pPr>
            <w:r w:rsidRPr="00297A95">
              <w:rPr>
                <w:rFonts w:ascii="Arial" w:eastAsia="Times New Roman" w:hAnsi="Arial" w:cs="Arial"/>
                <w:bCs/>
                <w:lang w:eastAsia="fr-FR"/>
              </w:rPr>
              <w:t>Carbamazepine</w:t>
            </w:r>
          </w:p>
        </w:tc>
      </w:tr>
      <w:tr w:rsidR="00BD084C" w:rsidRPr="00297A95" w:rsidTr="0085034D">
        <w:tc>
          <w:tcPr>
            <w:tcW w:w="4678" w:type="dxa"/>
            <w:shd w:val="clear" w:color="auto" w:fill="E5F4F7"/>
          </w:tcPr>
          <w:p w:rsidR="00BD084C" w:rsidRPr="00297A95" w:rsidRDefault="00BD084C" w:rsidP="0085034D">
            <w:pPr>
              <w:pStyle w:val="NoSpacing"/>
              <w:spacing w:line="276" w:lineRule="auto"/>
              <w:jc w:val="both"/>
              <w:rPr>
                <w:rFonts w:ascii="Arial" w:eastAsia="Times New Roman" w:hAnsi="Arial" w:cs="Arial"/>
                <w:bCs/>
                <w:lang w:eastAsia="fr-FR"/>
              </w:rPr>
            </w:pPr>
            <w:r w:rsidRPr="00297A95">
              <w:rPr>
                <w:rFonts w:ascii="Arial" w:eastAsia="Times New Roman" w:hAnsi="Arial" w:cs="Arial"/>
                <w:bCs/>
                <w:lang w:eastAsia="fr-FR"/>
              </w:rPr>
              <w:t>Lamotrigine</w:t>
            </w:r>
          </w:p>
        </w:tc>
      </w:tr>
      <w:tr w:rsidR="00BD084C" w:rsidRPr="00297A95" w:rsidTr="0085034D">
        <w:tc>
          <w:tcPr>
            <w:tcW w:w="4678" w:type="dxa"/>
            <w:shd w:val="clear" w:color="auto" w:fill="E5F4F7"/>
          </w:tcPr>
          <w:p w:rsidR="00BD084C" w:rsidRPr="00297A95" w:rsidRDefault="00BD084C" w:rsidP="0085034D">
            <w:pPr>
              <w:pStyle w:val="NoSpacing"/>
              <w:spacing w:line="276" w:lineRule="auto"/>
              <w:jc w:val="both"/>
              <w:rPr>
                <w:rFonts w:ascii="Arial" w:eastAsia="Times New Roman" w:hAnsi="Arial" w:cs="Arial"/>
                <w:bCs/>
                <w:lang w:eastAsia="fr-FR"/>
              </w:rPr>
            </w:pPr>
            <w:proofErr w:type="spellStart"/>
            <w:r w:rsidRPr="00297A95">
              <w:rPr>
                <w:rFonts w:ascii="Arial" w:eastAsia="Times New Roman" w:hAnsi="Arial" w:cs="Arial"/>
                <w:bCs/>
                <w:lang w:eastAsia="fr-FR"/>
              </w:rPr>
              <w:t>Nevirapine</w:t>
            </w:r>
            <w:proofErr w:type="spellEnd"/>
          </w:p>
        </w:tc>
      </w:tr>
      <w:tr w:rsidR="00BD084C" w:rsidRPr="00297A95" w:rsidTr="0085034D">
        <w:tc>
          <w:tcPr>
            <w:tcW w:w="4678" w:type="dxa"/>
            <w:shd w:val="clear" w:color="auto" w:fill="E5F4F7"/>
          </w:tcPr>
          <w:p w:rsidR="00BD084C" w:rsidRPr="00297A95" w:rsidRDefault="00BD084C" w:rsidP="0085034D">
            <w:pPr>
              <w:pStyle w:val="NoSpacing"/>
              <w:spacing w:line="276" w:lineRule="auto"/>
              <w:jc w:val="both"/>
              <w:rPr>
                <w:rFonts w:ascii="Arial" w:eastAsia="Times New Roman" w:hAnsi="Arial" w:cs="Arial"/>
                <w:bCs/>
                <w:lang w:eastAsia="fr-FR"/>
              </w:rPr>
            </w:pPr>
            <w:proofErr w:type="spellStart"/>
            <w:r w:rsidRPr="00297A95">
              <w:rPr>
                <w:rFonts w:ascii="Arial" w:eastAsia="Times New Roman" w:hAnsi="Arial" w:cs="Arial"/>
                <w:bCs/>
                <w:lang w:eastAsia="fr-FR"/>
              </w:rPr>
              <w:t>Oxicam</w:t>
            </w:r>
            <w:proofErr w:type="spellEnd"/>
            <w:r w:rsidRPr="00297A95">
              <w:rPr>
                <w:rFonts w:ascii="Arial" w:eastAsia="Times New Roman" w:hAnsi="Arial" w:cs="Arial"/>
                <w:bCs/>
                <w:lang w:eastAsia="fr-FR"/>
              </w:rPr>
              <w:t xml:space="preserve"> NSAIDs</w:t>
            </w:r>
          </w:p>
        </w:tc>
      </w:tr>
      <w:tr w:rsidR="00BD084C" w:rsidRPr="00297A95" w:rsidTr="0085034D">
        <w:tc>
          <w:tcPr>
            <w:tcW w:w="4678" w:type="dxa"/>
            <w:shd w:val="clear" w:color="auto" w:fill="E5F4F7"/>
          </w:tcPr>
          <w:p w:rsidR="00BD084C" w:rsidRPr="00297A95" w:rsidRDefault="00BD084C" w:rsidP="0085034D">
            <w:pPr>
              <w:pStyle w:val="NoSpacing"/>
              <w:spacing w:line="276" w:lineRule="auto"/>
              <w:jc w:val="both"/>
              <w:rPr>
                <w:rFonts w:ascii="Arial" w:eastAsia="Times New Roman" w:hAnsi="Arial" w:cs="Arial"/>
                <w:bCs/>
                <w:lang w:eastAsia="fr-FR"/>
              </w:rPr>
            </w:pPr>
            <w:r w:rsidRPr="00297A95">
              <w:rPr>
                <w:rFonts w:ascii="Arial" w:eastAsia="Times New Roman" w:hAnsi="Arial" w:cs="Arial"/>
                <w:bCs/>
                <w:lang w:eastAsia="fr-FR"/>
              </w:rPr>
              <w:t>Phenobarbital</w:t>
            </w:r>
          </w:p>
        </w:tc>
      </w:tr>
      <w:tr w:rsidR="00BD084C" w:rsidRPr="00297A95" w:rsidTr="0085034D">
        <w:tc>
          <w:tcPr>
            <w:tcW w:w="4678" w:type="dxa"/>
            <w:shd w:val="clear" w:color="auto" w:fill="E5F4F7"/>
          </w:tcPr>
          <w:p w:rsidR="00BD084C" w:rsidRPr="00297A95" w:rsidRDefault="00BD084C" w:rsidP="0085034D">
            <w:pPr>
              <w:pStyle w:val="NoSpacing"/>
              <w:spacing w:line="276" w:lineRule="auto"/>
              <w:jc w:val="both"/>
              <w:rPr>
                <w:rFonts w:ascii="Arial" w:eastAsia="Times New Roman" w:hAnsi="Arial" w:cs="Arial"/>
                <w:bCs/>
                <w:lang w:eastAsia="fr-FR"/>
              </w:rPr>
            </w:pPr>
            <w:r w:rsidRPr="00297A95">
              <w:rPr>
                <w:rFonts w:ascii="Arial" w:eastAsia="Times New Roman" w:hAnsi="Arial" w:cs="Arial"/>
                <w:bCs/>
                <w:lang w:eastAsia="fr-FR"/>
              </w:rPr>
              <w:t>Phenytoin</w:t>
            </w:r>
          </w:p>
        </w:tc>
      </w:tr>
      <w:tr w:rsidR="00BD084C" w:rsidRPr="00297A95" w:rsidTr="0085034D">
        <w:tc>
          <w:tcPr>
            <w:tcW w:w="4678" w:type="dxa"/>
            <w:shd w:val="clear" w:color="auto" w:fill="E5F4F7"/>
          </w:tcPr>
          <w:p w:rsidR="00BD084C" w:rsidRPr="00297A95" w:rsidRDefault="00BD084C" w:rsidP="0085034D">
            <w:pPr>
              <w:pStyle w:val="NoSpacing"/>
              <w:spacing w:line="276" w:lineRule="auto"/>
              <w:jc w:val="both"/>
              <w:rPr>
                <w:rFonts w:ascii="Arial" w:eastAsia="Times New Roman" w:hAnsi="Arial" w:cs="Arial"/>
                <w:bCs/>
                <w:lang w:eastAsia="fr-FR"/>
              </w:rPr>
            </w:pPr>
            <w:r w:rsidRPr="00297A95">
              <w:rPr>
                <w:rFonts w:ascii="Arial" w:eastAsia="Times New Roman" w:hAnsi="Arial" w:cs="Arial"/>
                <w:bCs/>
                <w:lang w:eastAsia="fr-FR"/>
              </w:rPr>
              <w:t xml:space="preserve">Sulfamethoxazole and other </w:t>
            </w:r>
            <w:proofErr w:type="spellStart"/>
            <w:r w:rsidRPr="00297A95">
              <w:rPr>
                <w:rFonts w:ascii="Arial" w:eastAsia="Times New Roman" w:hAnsi="Arial" w:cs="Arial"/>
                <w:bCs/>
                <w:lang w:eastAsia="fr-FR"/>
              </w:rPr>
              <w:t>sulfur</w:t>
            </w:r>
            <w:proofErr w:type="spellEnd"/>
            <w:r w:rsidRPr="00297A95">
              <w:rPr>
                <w:rFonts w:ascii="Arial" w:eastAsia="Times New Roman" w:hAnsi="Arial" w:cs="Arial"/>
                <w:bCs/>
                <w:lang w:eastAsia="fr-FR"/>
              </w:rPr>
              <w:t xml:space="preserve"> antibiotics</w:t>
            </w:r>
          </w:p>
        </w:tc>
      </w:tr>
      <w:tr w:rsidR="00BD084C" w:rsidRPr="00297A95" w:rsidTr="0085034D">
        <w:tc>
          <w:tcPr>
            <w:tcW w:w="4678" w:type="dxa"/>
            <w:shd w:val="clear" w:color="auto" w:fill="E5F4F7"/>
          </w:tcPr>
          <w:p w:rsidR="00BD084C" w:rsidRPr="00297A95" w:rsidRDefault="00BD084C" w:rsidP="0085034D">
            <w:pPr>
              <w:pStyle w:val="NoSpacing"/>
              <w:spacing w:line="276" w:lineRule="auto"/>
              <w:jc w:val="both"/>
              <w:rPr>
                <w:rFonts w:ascii="Arial" w:eastAsia="Times New Roman" w:hAnsi="Arial" w:cs="Arial"/>
                <w:bCs/>
                <w:lang w:eastAsia="fr-FR"/>
              </w:rPr>
            </w:pPr>
            <w:r w:rsidRPr="00297A95">
              <w:rPr>
                <w:rFonts w:ascii="Arial" w:eastAsia="Times New Roman" w:hAnsi="Arial" w:cs="Arial"/>
                <w:bCs/>
                <w:lang w:eastAsia="fr-FR"/>
              </w:rPr>
              <w:t>Sulfasalazine</w:t>
            </w:r>
          </w:p>
        </w:tc>
      </w:tr>
    </w:tbl>
    <w:p w:rsidR="00BD084C" w:rsidRDefault="00BD084C" w:rsidP="0085034D">
      <w:pPr>
        <w:pStyle w:val="NoSpacing"/>
        <w:spacing w:line="276" w:lineRule="auto"/>
        <w:jc w:val="both"/>
        <w:rPr>
          <w:rFonts w:ascii="Arial" w:hAnsi="Arial" w:cs="Arial"/>
        </w:rPr>
      </w:pPr>
      <w:proofErr w:type="gramStart"/>
      <w:r w:rsidRPr="00297A95">
        <w:rPr>
          <w:rFonts w:ascii="Arial" w:hAnsi="Arial" w:cs="Arial"/>
          <w:b/>
        </w:rPr>
        <w:t>Table 2.</w:t>
      </w:r>
      <w:proofErr w:type="gramEnd"/>
      <w:r w:rsidRPr="00297A95">
        <w:rPr>
          <w:rFonts w:ascii="Arial" w:hAnsi="Arial" w:cs="Arial"/>
        </w:rPr>
        <w:t xml:space="preserve"> Commonest drugs causing SJS/TEN</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An algorithm, termed ALDEN (</w:t>
      </w:r>
      <w:proofErr w:type="spellStart"/>
      <w:r w:rsidRPr="00E76EC2">
        <w:rPr>
          <w:rFonts w:ascii="Arial" w:hAnsi="Arial" w:cs="Arial"/>
          <w:highlight w:val="yellow"/>
        </w:rPr>
        <w:t>ALgorithm</w:t>
      </w:r>
      <w:proofErr w:type="spellEnd"/>
      <w:r w:rsidRPr="00297A95">
        <w:rPr>
          <w:rFonts w:ascii="Arial" w:hAnsi="Arial" w:cs="Arial"/>
        </w:rPr>
        <w:t xml:space="preserve"> of Drug causality in Epidermal Necrolysis), has been developed to help define drug causality in SJS/TEN.</w:t>
      </w:r>
      <w:r w:rsidRPr="00FF70EF">
        <w:rPr>
          <w:rFonts w:ascii="Arial" w:hAnsi="Arial" w:cs="Arial"/>
          <w:noProof/>
          <w:vertAlign w:val="superscript"/>
        </w:rPr>
        <w:t>21</w:t>
      </w:r>
      <w:r w:rsidRPr="00297A95">
        <w:rPr>
          <w:rFonts w:ascii="Arial" w:hAnsi="Arial" w:cs="Arial"/>
        </w:rPr>
        <w:t xml:space="preserve"> ALDEN is generally used as a tool for retrospective assessment of drug causality, and not for use in the acute phase of illness. However, the key parameters described in ALDEN can be applied as a useful framework for determining drug culpability in clinical practice.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i/>
        </w:rPr>
      </w:pPr>
      <w:r w:rsidRPr="00297A95">
        <w:rPr>
          <w:rFonts w:ascii="Arial" w:hAnsi="Arial" w:cs="Arial"/>
          <w:b/>
        </w:rPr>
        <w:t xml:space="preserve">Recommendations: </w:t>
      </w:r>
      <w:r w:rsidRPr="00297A95">
        <w:rPr>
          <w:rFonts w:ascii="Arial" w:hAnsi="Arial" w:cs="Arial"/>
          <w:b/>
          <w:i/>
        </w:rPr>
        <w:t>(Strength of recommendation D; level of evidence 3)</w:t>
      </w:r>
    </w:p>
    <w:p w:rsidR="00BD084C" w:rsidRPr="00297A95" w:rsidRDefault="00BD084C" w:rsidP="0085034D">
      <w:pPr>
        <w:pStyle w:val="NoSpacing"/>
        <w:spacing w:line="276" w:lineRule="auto"/>
        <w:jc w:val="both"/>
        <w:rPr>
          <w:rFonts w:ascii="Arial" w:hAnsi="Arial" w:cs="Arial"/>
        </w:rPr>
      </w:pPr>
    </w:p>
    <w:p w:rsidR="00BD084C" w:rsidRPr="00297A95" w:rsidRDefault="00BD084C" w:rsidP="00BD084C">
      <w:pPr>
        <w:pStyle w:val="NoSpacing"/>
        <w:numPr>
          <w:ilvl w:val="0"/>
          <w:numId w:val="5"/>
        </w:numPr>
        <w:spacing w:line="276" w:lineRule="auto"/>
        <w:jc w:val="both"/>
        <w:rPr>
          <w:rFonts w:ascii="Arial" w:hAnsi="Arial" w:cs="Arial"/>
        </w:rPr>
      </w:pPr>
      <w:r w:rsidRPr="00297A95">
        <w:rPr>
          <w:rFonts w:ascii="Arial" w:hAnsi="Arial" w:cs="Arial"/>
        </w:rPr>
        <w:t xml:space="preserve">List all medications (including OTC preparations) taken by the patient over a period of 2 months prior to the onset of symptoms. </w:t>
      </w:r>
      <w:r>
        <w:rPr>
          <w:rFonts w:ascii="Arial" w:hAnsi="Arial" w:cs="Arial"/>
        </w:rPr>
        <w:t>Use m</w:t>
      </w:r>
      <w:r w:rsidRPr="00297A95">
        <w:rPr>
          <w:rFonts w:ascii="Arial" w:hAnsi="Arial" w:cs="Arial"/>
        </w:rPr>
        <w:t>ultiple sources (including patient, relatives, GP, pharmacist) to obtain a full drug history.</w:t>
      </w:r>
    </w:p>
    <w:p w:rsidR="00BD084C" w:rsidRPr="00297A95" w:rsidRDefault="00BD084C" w:rsidP="0085034D">
      <w:pPr>
        <w:pStyle w:val="NoSpacing"/>
        <w:spacing w:line="276" w:lineRule="auto"/>
        <w:jc w:val="both"/>
        <w:rPr>
          <w:rFonts w:ascii="Arial" w:hAnsi="Arial" w:cs="Arial"/>
        </w:rPr>
      </w:pPr>
    </w:p>
    <w:p w:rsidR="00BD084C" w:rsidRPr="00297A95" w:rsidRDefault="00BD084C" w:rsidP="00BD084C">
      <w:pPr>
        <w:pStyle w:val="NoSpacing"/>
        <w:numPr>
          <w:ilvl w:val="0"/>
          <w:numId w:val="5"/>
        </w:numPr>
        <w:spacing w:line="276" w:lineRule="auto"/>
        <w:jc w:val="both"/>
        <w:rPr>
          <w:rFonts w:ascii="Arial" w:hAnsi="Arial" w:cs="Arial"/>
        </w:rPr>
      </w:pPr>
      <w:r w:rsidRPr="00297A95">
        <w:rPr>
          <w:rFonts w:ascii="Arial" w:hAnsi="Arial" w:cs="Arial"/>
        </w:rPr>
        <w:t xml:space="preserve">Delineate a timeline for each drug, identifying the date the drug was commenced and, when appropriate, discontinued. Tools to facilitate timeline analysis include web-based freeware such as </w:t>
      </w:r>
      <w:hyperlink r:id="rId16" w:history="1">
        <w:r w:rsidRPr="00297A95">
          <w:rPr>
            <w:rStyle w:val="Hyperlink"/>
            <w:rFonts w:ascii="Arial" w:hAnsi="Arial" w:cs="Arial"/>
          </w:rPr>
          <w:t>www.drugrash.co.uk</w:t>
        </w:r>
      </w:hyperlink>
      <w:r w:rsidRPr="00297A95">
        <w:rPr>
          <w:rStyle w:val="Hyperlink"/>
          <w:rFonts w:ascii="Arial" w:hAnsi="Arial" w:cs="Arial"/>
        </w:rPr>
        <w:t>.</w:t>
      </w:r>
      <w:r w:rsidRPr="00297A95">
        <w:rPr>
          <w:rFonts w:ascii="Arial" w:hAnsi="Arial" w:cs="Arial"/>
        </w:rPr>
        <w:t xml:space="preserve"> A latent period between the initial drug intake and onset of SJS/TEN always occurs; 5 to 28 days following drug initiation is the most likely period, unless there is a history of a previous reaction to the same drug, in which case the latency may be shorter.</w:t>
      </w:r>
    </w:p>
    <w:p w:rsidR="00BD084C" w:rsidRPr="00297A95" w:rsidRDefault="00BD084C" w:rsidP="0085034D">
      <w:pPr>
        <w:pStyle w:val="NoSpacing"/>
        <w:spacing w:line="276" w:lineRule="auto"/>
        <w:jc w:val="both"/>
        <w:rPr>
          <w:rFonts w:ascii="Arial" w:hAnsi="Arial" w:cs="Arial"/>
        </w:rPr>
      </w:pPr>
    </w:p>
    <w:p w:rsidR="00BD084C" w:rsidRPr="00297A95" w:rsidRDefault="00BD084C" w:rsidP="00BD084C">
      <w:pPr>
        <w:pStyle w:val="NoSpacing"/>
        <w:numPr>
          <w:ilvl w:val="0"/>
          <w:numId w:val="5"/>
        </w:numPr>
        <w:spacing w:line="276" w:lineRule="auto"/>
        <w:jc w:val="both"/>
        <w:rPr>
          <w:rFonts w:ascii="Arial" w:hAnsi="Arial" w:cs="Arial"/>
        </w:rPr>
      </w:pPr>
      <w:r w:rsidRPr="00297A95">
        <w:rPr>
          <w:rFonts w:ascii="Arial" w:hAnsi="Arial" w:cs="Arial"/>
        </w:rPr>
        <w:lastRenderedPageBreak/>
        <w:t xml:space="preserve">Estimate the probability that the drug was present in the body at the onset of the reaction by taking into consideration pharmacokinetic parameters of the drug (e.g. half-life), any renal or hepatic dysfunction and possible drug interactions, which might lead to higher or lower levels of drug in the body. </w:t>
      </w:r>
    </w:p>
    <w:p w:rsidR="00BD084C" w:rsidRPr="00297A95" w:rsidRDefault="00BD084C" w:rsidP="0085034D">
      <w:pPr>
        <w:pStyle w:val="NoSpacing"/>
        <w:spacing w:line="276" w:lineRule="auto"/>
        <w:jc w:val="both"/>
        <w:rPr>
          <w:rFonts w:ascii="Arial" w:hAnsi="Arial" w:cs="Arial"/>
        </w:rPr>
      </w:pPr>
    </w:p>
    <w:p w:rsidR="00BD084C" w:rsidRPr="00297A95" w:rsidRDefault="00BD084C" w:rsidP="00BD084C">
      <w:pPr>
        <w:pStyle w:val="NoSpacing"/>
        <w:numPr>
          <w:ilvl w:val="0"/>
          <w:numId w:val="5"/>
        </w:numPr>
        <w:spacing w:line="276" w:lineRule="auto"/>
        <w:jc w:val="both"/>
        <w:rPr>
          <w:rFonts w:ascii="Arial" w:hAnsi="Arial" w:cs="Arial"/>
        </w:rPr>
      </w:pPr>
      <w:r w:rsidRPr="00297A95">
        <w:rPr>
          <w:rFonts w:ascii="Arial" w:hAnsi="Arial" w:cs="Arial"/>
        </w:rPr>
        <w:t>For each drug taken by the patient, document any previous exposures and any previous adverse reactions. Implication of a particular medicine is more likely if the patient gives a past history of a drug hypersensitivity reaction with the same or similar drug.</w:t>
      </w:r>
    </w:p>
    <w:p w:rsidR="00BD084C" w:rsidRPr="00297A95" w:rsidRDefault="00BD084C" w:rsidP="0085034D">
      <w:pPr>
        <w:pStyle w:val="NoSpacing"/>
        <w:spacing w:line="276" w:lineRule="auto"/>
        <w:jc w:val="both"/>
        <w:rPr>
          <w:rFonts w:ascii="Arial" w:hAnsi="Arial" w:cs="Arial"/>
        </w:rPr>
      </w:pPr>
    </w:p>
    <w:p w:rsidR="00BD084C" w:rsidRPr="00297A95" w:rsidRDefault="00BD084C" w:rsidP="00BD084C">
      <w:pPr>
        <w:pStyle w:val="NoSpacing"/>
        <w:numPr>
          <w:ilvl w:val="0"/>
          <w:numId w:val="5"/>
        </w:numPr>
        <w:spacing w:line="276" w:lineRule="auto"/>
        <w:jc w:val="both"/>
        <w:rPr>
          <w:rFonts w:ascii="Arial" w:hAnsi="Arial" w:cs="Arial"/>
        </w:rPr>
      </w:pPr>
      <w:r w:rsidRPr="00297A95">
        <w:rPr>
          <w:rFonts w:ascii="Arial" w:hAnsi="Arial" w:cs="Arial"/>
        </w:rPr>
        <w:t>For each drug taken by the patient, assess notoriety to cause SJS/TEN (see Table 2).</w:t>
      </w:r>
    </w:p>
    <w:p w:rsidR="00BD084C" w:rsidRPr="00297A95" w:rsidRDefault="00BD084C" w:rsidP="0085034D">
      <w:pPr>
        <w:pStyle w:val="NoSpacing"/>
        <w:spacing w:line="276" w:lineRule="auto"/>
        <w:jc w:val="both"/>
        <w:rPr>
          <w:rFonts w:ascii="Arial" w:hAnsi="Arial" w:cs="Arial"/>
        </w:rPr>
      </w:pPr>
    </w:p>
    <w:p w:rsidR="00BD084C" w:rsidRPr="00297A95" w:rsidRDefault="00BD084C" w:rsidP="00BD084C">
      <w:pPr>
        <w:pStyle w:val="NoSpacing"/>
        <w:numPr>
          <w:ilvl w:val="0"/>
          <w:numId w:val="5"/>
        </w:numPr>
        <w:spacing w:line="276" w:lineRule="auto"/>
        <w:jc w:val="both"/>
        <w:rPr>
          <w:rFonts w:ascii="Arial" w:hAnsi="Arial" w:cs="Arial"/>
        </w:rPr>
      </w:pPr>
      <w:r w:rsidRPr="00297A95">
        <w:rPr>
          <w:rFonts w:ascii="Arial" w:hAnsi="Arial" w:cs="Arial"/>
        </w:rPr>
        <w:t xml:space="preserve">When a causative drug cannot be identified, </w:t>
      </w:r>
      <w:r>
        <w:rPr>
          <w:rFonts w:ascii="Arial" w:hAnsi="Arial" w:cs="Arial"/>
        </w:rPr>
        <w:t xml:space="preserve">consider </w:t>
      </w:r>
      <w:r w:rsidRPr="00297A95">
        <w:rPr>
          <w:rFonts w:ascii="Arial" w:hAnsi="Arial" w:cs="Arial"/>
        </w:rPr>
        <w:t>other possible etiological factors, such as mycoplasma infection.</w:t>
      </w:r>
    </w:p>
    <w:p w:rsidR="00BD084C" w:rsidRPr="00297A95" w:rsidRDefault="00BD084C" w:rsidP="0085034D">
      <w:pPr>
        <w:pStyle w:val="NoSpacing"/>
        <w:spacing w:line="276" w:lineRule="auto"/>
        <w:jc w:val="both"/>
        <w:rPr>
          <w:rFonts w:ascii="Arial" w:hAnsi="Arial" w:cs="Arial"/>
        </w:rPr>
      </w:pPr>
    </w:p>
    <w:p w:rsidR="00BD084C" w:rsidRDefault="00BD084C" w:rsidP="0085034D">
      <w:pPr>
        <w:pStyle w:val="NoSpacing"/>
        <w:spacing w:line="276" w:lineRule="auto"/>
        <w:jc w:val="both"/>
        <w:rPr>
          <w:rFonts w:ascii="Arial" w:hAnsi="Arial" w:cs="Arial"/>
          <w:b/>
        </w:rPr>
      </w:pPr>
    </w:p>
    <w:p w:rsidR="00BD084C" w:rsidRPr="00297A95" w:rsidRDefault="00BD084C" w:rsidP="0085034D">
      <w:pPr>
        <w:pStyle w:val="NoSpacing"/>
        <w:spacing w:line="276" w:lineRule="auto"/>
        <w:jc w:val="both"/>
        <w:rPr>
          <w:rFonts w:ascii="Arial" w:hAnsi="Arial" w:cs="Arial"/>
          <w:b/>
        </w:rPr>
      </w:pPr>
      <w:r w:rsidRPr="00297A95">
        <w:rPr>
          <w:rFonts w:ascii="Arial" w:hAnsi="Arial" w:cs="Arial"/>
          <w:b/>
        </w:rPr>
        <w:t>7.6 What is the value of prognostic scoring in SJS/TEN?</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In severe cases of SJS/TEN the acute systemic sequelae lead to multi-organ failure and death. Papers investigating potential prognostic markers in SJS/TEN have identified several factors associated with death, including: delayed transfer to a specialist unit, increasing patient age, increasing total BSA involvement, presence of septicaemia and occurrence of granulocytopenia.</w:t>
      </w:r>
      <w:r w:rsidRPr="00FF70EF">
        <w:rPr>
          <w:rFonts w:ascii="Arial" w:hAnsi="Arial" w:cs="Arial"/>
          <w:noProof/>
          <w:vertAlign w:val="superscript"/>
        </w:rPr>
        <w:t>29,30</w:t>
      </w:r>
      <w:r w:rsidRPr="00297A95">
        <w:rPr>
          <w:rFonts w:ascii="Arial" w:hAnsi="Arial" w:cs="Arial"/>
        </w:rPr>
        <w:t xml:space="preserve">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In 2000 </w:t>
      </w:r>
      <w:proofErr w:type="spellStart"/>
      <w:r w:rsidRPr="00297A95">
        <w:rPr>
          <w:rFonts w:ascii="Arial" w:hAnsi="Arial" w:cs="Arial"/>
        </w:rPr>
        <w:t>Bastuji-Garin</w:t>
      </w:r>
      <w:proofErr w:type="spellEnd"/>
      <w:r w:rsidRPr="00297A95">
        <w:rPr>
          <w:rFonts w:ascii="Arial" w:hAnsi="Arial" w:cs="Arial"/>
        </w:rPr>
        <w:t xml:space="preserve"> </w:t>
      </w:r>
      <w:r w:rsidRPr="00297A95">
        <w:rPr>
          <w:rFonts w:ascii="Arial" w:hAnsi="Arial" w:cs="Arial"/>
          <w:i/>
        </w:rPr>
        <w:t>et al.</w:t>
      </w:r>
      <w:r w:rsidRPr="00297A95">
        <w:rPr>
          <w:rFonts w:ascii="Arial" w:hAnsi="Arial" w:cs="Arial"/>
        </w:rPr>
        <w:t xml:space="preserve"> published a validated prognostic scoring system for SJS/TEN, called SCORTEN, which uses seven clinical parameters to predict probability of hospital mortality</w:t>
      </w:r>
      <w:r w:rsidRPr="00FF70EF">
        <w:rPr>
          <w:rFonts w:ascii="Arial" w:hAnsi="Arial" w:cs="Arial"/>
          <w:noProof/>
          <w:vertAlign w:val="superscript"/>
        </w:rPr>
        <w:t>31</w:t>
      </w:r>
      <w:r w:rsidRPr="00297A95">
        <w:rPr>
          <w:rFonts w:ascii="Arial" w:hAnsi="Arial" w:cs="Arial"/>
        </w:rPr>
        <w:t xml:space="preserve"> (see Table</w:t>
      </w:r>
      <w:r>
        <w:rPr>
          <w:rFonts w:ascii="Arial" w:hAnsi="Arial" w:cs="Arial"/>
        </w:rPr>
        <w:t>s</w:t>
      </w:r>
      <w:r w:rsidRPr="00297A95">
        <w:rPr>
          <w:rFonts w:ascii="Arial" w:hAnsi="Arial" w:cs="Arial"/>
        </w:rPr>
        <w:t xml:space="preserve"> 3</w:t>
      </w:r>
      <w:r>
        <w:rPr>
          <w:rFonts w:ascii="Arial" w:hAnsi="Arial" w:cs="Arial"/>
        </w:rPr>
        <w:t xml:space="preserve"> &amp; 4</w:t>
      </w:r>
      <w:r w:rsidRPr="00297A95">
        <w:rPr>
          <w:rFonts w:ascii="Arial" w:hAnsi="Arial" w:cs="Arial"/>
        </w:rPr>
        <w:t xml:space="preserve">). In SCORTEN, one point is attributed to each of the </w:t>
      </w:r>
      <w:r>
        <w:rPr>
          <w:rFonts w:ascii="Arial" w:hAnsi="Arial" w:cs="Arial"/>
        </w:rPr>
        <w:t>seven parameters, with increasing scores predicting higher mortality rates.</w:t>
      </w:r>
    </w:p>
    <w:p w:rsidR="00BD084C" w:rsidRPr="00297A95" w:rsidRDefault="00BD084C" w:rsidP="0085034D">
      <w:pPr>
        <w:pStyle w:val="NoSpacing"/>
        <w:spacing w:line="276" w:lineRule="auto"/>
        <w:jc w:val="both"/>
        <w:rPr>
          <w:rFonts w:ascii="Arial" w:hAnsi="Arial" w:cs="Arial"/>
        </w:rPr>
      </w:pPr>
    </w:p>
    <w:tbl>
      <w:tblPr>
        <w:tblW w:w="0" w:type="auto"/>
        <w:tblInd w:w="108"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4A0" w:firstRow="1" w:lastRow="0" w:firstColumn="1" w:lastColumn="0" w:noHBand="0" w:noVBand="1"/>
      </w:tblPr>
      <w:tblGrid>
        <w:gridCol w:w="5903"/>
      </w:tblGrid>
      <w:tr w:rsidR="00BD084C" w:rsidRPr="00297A95" w:rsidTr="0085034D">
        <w:tc>
          <w:tcPr>
            <w:tcW w:w="0" w:type="auto"/>
            <w:shd w:val="clear" w:color="auto" w:fill="E5F4F7"/>
            <w:tcMar>
              <w:top w:w="28" w:type="dxa"/>
              <w:bottom w:w="28" w:type="dxa"/>
            </w:tcMar>
            <w:vAlign w:val="center"/>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Age </w:t>
            </w:r>
            <w:r>
              <w:rPr>
                <w:rFonts w:ascii="Arial" w:hAnsi="Arial" w:cs="Arial"/>
              </w:rPr>
              <w:t xml:space="preserve">greater than </w:t>
            </w:r>
            <w:r w:rsidRPr="00297A95">
              <w:rPr>
                <w:rFonts w:ascii="Arial" w:hAnsi="Arial" w:cs="Arial"/>
              </w:rPr>
              <w:t>40 years</w:t>
            </w:r>
          </w:p>
        </w:tc>
      </w:tr>
      <w:tr w:rsidR="00BD084C" w:rsidRPr="00297A95" w:rsidTr="0085034D">
        <w:tc>
          <w:tcPr>
            <w:tcW w:w="0" w:type="auto"/>
            <w:shd w:val="clear" w:color="auto" w:fill="E5F4F7"/>
            <w:tcMar>
              <w:top w:w="28" w:type="dxa"/>
              <w:bottom w:w="28" w:type="dxa"/>
            </w:tcMar>
            <w:vAlign w:val="center"/>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Presence of malignancy</w:t>
            </w:r>
          </w:p>
        </w:tc>
      </w:tr>
      <w:tr w:rsidR="00BD084C" w:rsidRPr="00297A95" w:rsidTr="0085034D">
        <w:tc>
          <w:tcPr>
            <w:tcW w:w="0" w:type="auto"/>
            <w:shd w:val="clear" w:color="auto" w:fill="E5F4F7"/>
            <w:tcMar>
              <w:top w:w="28" w:type="dxa"/>
              <w:bottom w:w="28" w:type="dxa"/>
            </w:tcMar>
            <w:vAlign w:val="center"/>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Heart rate </w:t>
            </w:r>
            <w:r>
              <w:rPr>
                <w:rFonts w:ascii="Arial" w:hAnsi="Arial" w:cs="Arial"/>
              </w:rPr>
              <w:t>greater than</w:t>
            </w:r>
            <w:r w:rsidRPr="00297A95">
              <w:rPr>
                <w:rFonts w:ascii="Arial" w:hAnsi="Arial" w:cs="Arial"/>
              </w:rPr>
              <w:t>120 beats/min</w:t>
            </w:r>
          </w:p>
        </w:tc>
      </w:tr>
      <w:tr w:rsidR="00BD084C" w:rsidRPr="00297A95" w:rsidTr="0085034D">
        <w:tc>
          <w:tcPr>
            <w:tcW w:w="0" w:type="auto"/>
            <w:shd w:val="clear" w:color="auto" w:fill="E5F4F7"/>
            <w:tcMar>
              <w:top w:w="28" w:type="dxa"/>
              <w:bottom w:w="28" w:type="dxa"/>
            </w:tcMar>
            <w:vAlign w:val="center"/>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Epidermal detachment </w:t>
            </w:r>
            <w:r>
              <w:rPr>
                <w:rFonts w:ascii="Arial" w:hAnsi="Arial" w:cs="Arial"/>
              </w:rPr>
              <w:t>greater than</w:t>
            </w:r>
            <w:r w:rsidRPr="00297A95">
              <w:rPr>
                <w:rFonts w:ascii="Arial" w:hAnsi="Arial" w:cs="Arial"/>
              </w:rPr>
              <w:t>10% BSA at admission</w:t>
            </w:r>
          </w:p>
        </w:tc>
      </w:tr>
      <w:tr w:rsidR="00BD084C" w:rsidRPr="00297A95" w:rsidTr="0085034D">
        <w:tc>
          <w:tcPr>
            <w:tcW w:w="0" w:type="auto"/>
            <w:shd w:val="clear" w:color="auto" w:fill="E5F4F7"/>
            <w:tcMar>
              <w:top w:w="28" w:type="dxa"/>
              <w:bottom w:w="28" w:type="dxa"/>
            </w:tcMar>
            <w:vAlign w:val="center"/>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Serum urea </w:t>
            </w:r>
            <w:r>
              <w:rPr>
                <w:rFonts w:ascii="Arial" w:hAnsi="Arial" w:cs="Arial"/>
              </w:rPr>
              <w:t>greater than</w:t>
            </w:r>
            <w:r w:rsidRPr="00297A95">
              <w:rPr>
                <w:rFonts w:ascii="Arial" w:hAnsi="Arial" w:cs="Arial"/>
              </w:rPr>
              <w:t>10mmol/L</w:t>
            </w:r>
          </w:p>
        </w:tc>
      </w:tr>
      <w:tr w:rsidR="00BD084C" w:rsidRPr="00297A95" w:rsidTr="0085034D">
        <w:tc>
          <w:tcPr>
            <w:tcW w:w="0" w:type="auto"/>
            <w:shd w:val="clear" w:color="auto" w:fill="E5F4F7"/>
            <w:tcMar>
              <w:top w:w="28" w:type="dxa"/>
              <w:bottom w:w="28" w:type="dxa"/>
            </w:tcMar>
            <w:vAlign w:val="center"/>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Serum glucose </w:t>
            </w:r>
            <w:r>
              <w:rPr>
                <w:rFonts w:ascii="Arial" w:hAnsi="Arial" w:cs="Arial"/>
              </w:rPr>
              <w:t>greater than</w:t>
            </w:r>
            <w:r w:rsidRPr="00297A95">
              <w:rPr>
                <w:rFonts w:ascii="Arial" w:hAnsi="Arial" w:cs="Arial"/>
              </w:rPr>
              <w:t xml:space="preserve">14 </w:t>
            </w:r>
            <w:proofErr w:type="spellStart"/>
            <w:r w:rsidRPr="00297A95">
              <w:rPr>
                <w:rFonts w:ascii="Arial" w:hAnsi="Arial" w:cs="Arial"/>
              </w:rPr>
              <w:t>mmol</w:t>
            </w:r>
            <w:proofErr w:type="spellEnd"/>
            <w:r w:rsidRPr="00297A95">
              <w:rPr>
                <w:rFonts w:ascii="Arial" w:hAnsi="Arial" w:cs="Arial"/>
              </w:rPr>
              <w:t>/L</w:t>
            </w:r>
          </w:p>
        </w:tc>
      </w:tr>
      <w:tr w:rsidR="00BD084C" w:rsidRPr="00297A95" w:rsidTr="0085034D">
        <w:tc>
          <w:tcPr>
            <w:tcW w:w="0" w:type="auto"/>
            <w:shd w:val="clear" w:color="auto" w:fill="E5F4F7"/>
            <w:tcMar>
              <w:top w:w="28" w:type="dxa"/>
              <w:bottom w:w="28" w:type="dxa"/>
            </w:tcMar>
            <w:vAlign w:val="center"/>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Bicarbonate level </w:t>
            </w:r>
            <w:r>
              <w:rPr>
                <w:rFonts w:ascii="Arial" w:hAnsi="Arial" w:cs="Arial"/>
              </w:rPr>
              <w:t xml:space="preserve">less than </w:t>
            </w:r>
            <w:r w:rsidRPr="00297A95">
              <w:rPr>
                <w:rFonts w:ascii="Arial" w:hAnsi="Arial" w:cs="Arial"/>
              </w:rPr>
              <w:t>20mmol/L</w:t>
            </w:r>
          </w:p>
        </w:tc>
      </w:tr>
    </w:tbl>
    <w:p w:rsidR="00BD084C" w:rsidRPr="00297A95" w:rsidRDefault="00BD084C" w:rsidP="0085034D">
      <w:pPr>
        <w:pStyle w:val="NoSpacing"/>
        <w:spacing w:line="276" w:lineRule="auto"/>
        <w:jc w:val="both"/>
        <w:rPr>
          <w:rFonts w:ascii="Arial" w:hAnsi="Arial" w:cs="Arial"/>
        </w:rPr>
      </w:pPr>
      <w:proofErr w:type="gramStart"/>
      <w:r w:rsidRPr="00297A95">
        <w:rPr>
          <w:rFonts w:ascii="Arial" w:hAnsi="Arial" w:cs="Arial"/>
          <w:b/>
        </w:rPr>
        <w:t>Table 3.</w:t>
      </w:r>
      <w:proofErr w:type="gramEnd"/>
      <w:r w:rsidRPr="00297A95">
        <w:rPr>
          <w:rFonts w:ascii="Arial" w:hAnsi="Arial" w:cs="Arial"/>
        </w:rPr>
        <w:t xml:space="preserve"> </w:t>
      </w:r>
      <w:proofErr w:type="gramStart"/>
      <w:r w:rsidRPr="00297A95">
        <w:rPr>
          <w:rFonts w:ascii="Arial" w:hAnsi="Arial" w:cs="Arial"/>
        </w:rPr>
        <w:t>SCORTEN calculation</w:t>
      </w:r>
      <w:r>
        <w:rPr>
          <w:rFonts w:ascii="Arial" w:hAnsi="Arial" w:cs="Arial"/>
        </w:rPr>
        <w:t>.</w:t>
      </w:r>
      <w:proofErr w:type="gramEnd"/>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 </w:t>
      </w:r>
    </w:p>
    <w:tbl>
      <w:tblPr>
        <w:tblW w:w="0" w:type="auto"/>
        <w:tblInd w:w="108"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4A0" w:firstRow="1" w:lastRow="0" w:firstColumn="1" w:lastColumn="0" w:noHBand="0" w:noVBand="1"/>
      </w:tblPr>
      <w:tblGrid>
        <w:gridCol w:w="2552"/>
        <w:gridCol w:w="2126"/>
      </w:tblGrid>
      <w:tr w:rsidR="00BD084C" w:rsidRPr="00297A95" w:rsidTr="0085034D">
        <w:tc>
          <w:tcPr>
            <w:tcW w:w="2552" w:type="dxa"/>
            <w:shd w:val="clear" w:color="auto" w:fill="00B0F0"/>
            <w:tcMar>
              <w:top w:w="28" w:type="dxa"/>
              <w:bottom w:w="28" w:type="dxa"/>
            </w:tcMar>
            <w:vAlign w:val="center"/>
          </w:tcPr>
          <w:p w:rsidR="00BD084C" w:rsidRPr="00F975E9" w:rsidRDefault="00BD084C" w:rsidP="0085034D">
            <w:pPr>
              <w:pStyle w:val="NoSpacing"/>
              <w:spacing w:line="276" w:lineRule="auto"/>
              <w:jc w:val="center"/>
              <w:rPr>
                <w:rFonts w:ascii="Arial" w:hAnsi="Arial" w:cs="Arial"/>
                <w:color w:val="FFFFFF"/>
              </w:rPr>
            </w:pPr>
            <w:r w:rsidRPr="00F975E9">
              <w:rPr>
                <w:rFonts w:ascii="Arial" w:hAnsi="Arial" w:cs="Arial"/>
                <w:color w:val="FFFFFF"/>
              </w:rPr>
              <w:t>Number of parameters</w:t>
            </w:r>
          </w:p>
        </w:tc>
        <w:tc>
          <w:tcPr>
            <w:tcW w:w="2126" w:type="dxa"/>
            <w:shd w:val="clear" w:color="auto" w:fill="00B0F0"/>
            <w:tcMar>
              <w:top w:w="28" w:type="dxa"/>
              <w:bottom w:w="28" w:type="dxa"/>
            </w:tcMar>
            <w:vAlign w:val="center"/>
          </w:tcPr>
          <w:p w:rsidR="00BD084C" w:rsidRPr="00F975E9" w:rsidRDefault="00BD084C" w:rsidP="0085034D">
            <w:pPr>
              <w:pStyle w:val="NoSpacing"/>
              <w:spacing w:line="276" w:lineRule="auto"/>
              <w:jc w:val="center"/>
              <w:rPr>
                <w:rFonts w:ascii="Arial" w:hAnsi="Arial" w:cs="Arial"/>
                <w:color w:val="FFFFFF"/>
              </w:rPr>
            </w:pPr>
            <w:r w:rsidRPr="00F975E9">
              <w:rPr>
                <w:rFonts w:ascii="Arial" w:hAnsi="Arial" w:cs="Arial"/>
                <w:color w:val="FFFFFF"/>
              </w:rPr>
              <w:t>Predicted mortality</w:t>
            </w:r>
          </w:p>
        </w:tc>
      </w:tr>
      <w:tr w:rsidR="00BD084C" w:rsidRPr="00297A95" w:rsidTr="0085034D">
        <w:tc>
          <w:tcPr>
            <w:tcW w:w="2552" w:type="dxa"/>
            <w:shd w:val="clear" w:color="auto" w:fill="E5F4F7"/>
            <w:tcMar>
              <w:top w:w="28" w:type="dxa"/>
              <w:bottom w:w="28" w:type="dxa"/>
            </w:tcMar>
            <w:vAlign w:val="center"/>
          </w:tcPr>
          <w:p w:rsidR="00BD084C" w:rsidRPr="00297A95" w:rsidRDefault="00BD084C" w:rsidP="0085034D">
            <w:pPr>
              <w:pStyle w:val="NoSpacing"/>
              <w:spacing w:line="276" w:lineRule="auto"/>
              <w:jc w:val="center"/>
              <w:rPr>
                <w:rFonts w:ascii="Arial" w:hAnsi="Arial" w:cs="Arial"/>
              </w:rPr>
            </w:pPr>
            <w:r w:rsidRPr="00297A95">
              <w:rPr>
                <w:rFonts w:ascii="Arial" w:hAnsi="Arial" w:cs="Arial"/>
              </w:rPr>
              <w:t>0</w:t>
            </w:r>
          </w:p>
        </w:tc>
        <w:tc>
          <w:tcPr>
            <w:tcW w:w="2126" w:type="dxa"/>
            <w:shd w:val="clear" w:color="auto" w:fill="E5F4F7"/>
            <w:tcMar>
              <w:top w:w="28" w:type="dxa"/>
              <w:bottom w:w="28" w:type="dxa"/>
            </w:tcMar>
            <w:vAlign w:val="center"/>
          </w:tcPr>
          <w:p w:rsidR="00BD084C" w:rsidRPr="00297A95" w:rsidRDefault="00BD084C" w:rsidP="0085034D">
            <w:pPr>
              <w:pStyle w:val="NoSpacing"/>
              <w:spacing w:line="276" w:lineRule="auto"/>
              <w:jc w:val="center"/>
              <w:rPr>
                <w:rFonts w:ascii="Arial" w:hAnsi="Arial" w:cs="Arial"/>
              </w:rPr>
            </w:pPr>
            <w:r w:rsidRPr="00297A95">
              <w:rPr>
                <w:rFonts w:ascii="Arial" w:hAnsi="Arial" w:cs="Arial"/>
              </w:rPr>
              <w:t>1%</w:t>
            </w:r>
          </w:p>
        </w:tc>
      </w:tr>
      <w:tr w:rsidR="00BD084C" w:rsidRPr="00297A95" w:rsidTr="0085034D">
        <w:tc>
          <w:tcPr>
            <w:tcW w:w="2552" w:type="dxa"/>
            <w:shd w:val="clear" w:color="auto" w:fill="E5F4F7"/>
            <w:tcMar>
              <w:top w:w="28" w:type="dxa"/>
              <w:bottom w:w="28" w:type="dxa"/>
            </w:tcMar>
            <w:vAlign w:val="center"/>
          </w:tcPr>
          <w:p w:rsidR="00BD084C" w:rsidRPr="00297A95" w:rsidRDefault="00BD084C" w:rsidP="0085034D">
            <w:pPr>
              <w:pStyle w:val="NoSpacing"/>
              <w:spacing w:line="276" w:lineRule="auto"/>
              <w:jc w:val="center"/>
              <w:rPr>
                <w:rFonts w:ascii="Arial" w:hAnsi="Arial" w:cs="Arial"/>
              </w:rPr>
            </w:pPr>
            <w:r w:rsidRPr="00297A95">
              <w:rPr>
                <w:rFonts w:ascii="Arial" w:hAnsi="Arial" w:cs="Arial"/>
              </w:rPr>
              <w:t>1</w:t>
            </w:r>
          </w:p>
        </w:tc>
        <w:tc>
          <w:tcPr>
            <w:tcW w:w="2126" w:type="dxa"/>
            <w:shd w:val="clear" w:color="auto" w:fill="E5F4F7"/>
            <w:tcMar>
              <w:top w:w="28" w:type="dxa"/>
              <w:bottom w:w="28" w:type="dxa"/>
            </w:tcMar>
            <w:vAlign w:val="center"/>
          </w:tcPr>
          <w:p w:rsidR="00BD084C" w:rsidRPr="00297A95" w:rsidRDefault="00BD084C" w:rsidP="0085034D">
            <w:pPr>
              <w:pStyle w:val="NoSpacing"/>
              <w:spacing w:line="276" w:lineRule="auto"/>
              <w:jc w:val="center"/>
              <w:rPr>
                <w:rFonts w:ascii="Arial" w:hAnsi="Arial" w:cs="Arial"/>
              </w:rPr>
            </w:pPr>
            <w:r>
              <w:rPr>
                <w:rFonts w:ascii="Arial" w:hAnsi="Arial" w:cs="Arial"/>
              </w:rPr>
              <w:t>4</w:t>
            </w:r>
            <w:r w:rsidRPr="00297A95">
              <w:rPr>
                <w:rFonts w:ascii="Arial" w:hAnsi="Arial" w:cs="Arial"/>
              </w:rPr>
              <w:t>%</w:t>
            </w:r>
          </w:p>
        </w:tc>
      </w:tr>
      <w:tr w:rsidR="00BD084C" w:rsidRPr="00297A95" w:rsidTr="0085034D">
        <w:tc>
          <w:tcPr>
            <w:tcW w:w="2552" w:type="dxa"/>
            <w:shd w:val="clear" w:color="auto" w:fill="E5F4F7"/>
            <w:tcMar>
              <w:top w:w="28" w:type="dxa"/>
              <w:bottom w:w="28" w:type="dxa"/>
            </w:tcMar>
            <w:vAlign w:val="center"/>
          </w:tcPr>
          <w:p w:rsidR="00BD084C" w:rsidRPr="00297A95" w:rsidRDefault="00BD084C" w:rsidP="0085034D">
            <w:pPr>
              <w:pStyle w:val="NoSpacing"/>
              <w:spacing w:line="276" w:lineRule="auto"/>
              <w:jc w:val="center"/>
              <w:rPr>
                <w:rFonts w:ascii="Arial" w:hAnsi="Arial" w:cs="Arial"/>
              </w:rPr>
            </w:pPr>
            <w:r w:rsidRPr="00297A95">
              <w:rPr>
                <w:rFonts w:ascii="Arial" w:hAnsi="Arial" w:cs="Arial"/>
              </w:rPr>
              <w:t>2</w:t>
            </w:r>
          </w:p>
        </w:tc>
        <w:tc>
          <w:tcPr>
            <w:tcW w:w="2126" w:type="dxa"/>
            <w:shd w:val="clear" w:color="auto" w:fill="E5F4F7"/>
            <w:tcMar>
              <w:top w:w="28" w:type="dxa"/>
              <w:bottom w:w="28" w:type="dxa"/>
            </w:tcMar>
            <w:vAlign w:val="center"/>
          </w:tcPr>
          <w:p w:rsidR="00BD084C" w:rsidRPr="00297A95" w:rsidRDefault="00BD084C" w:rsidP="0085034D">
            <w:pPr>
              <w:pStyle w:val="NoSpacing"/>
              <w:spacing w:line="276" w:lineRule="auto"/>
              <w:jc w:val="center"/>
              <w:rPr>
                <w:rFonts w:ascii="Arial" w:hAnsi="Arial" w:cs="Arial"/>
              </w:rPr>
            </w:pPr>
            <w:r w:rsidRPr="00297A95">
              <w:rPr>
                <w:rFonts w:ascii="Arial" w:hAnsi="Arial" w:cs="Arial"/>
              </w:rPr>
              <w:t>12%</w:t>
            </w:r>
          </w:p>
        </w:tc>
      </w:tr>
      <w:tr w:rsidR="00BD084C" w:rsidRPr="00297A95" w:rsidTr="0085034D">
        <w:tc>
          <w:tcPr>
            <w:tcW w:w="2552" w:type="dxa"/>
            <w:shd w:val="clear" w:color="auto" w:fill="E5F4F7"/>
            <w:tcMar>
              <w:top w:w="28" w:type="dxa"/>
              <w:bottom w:w="28" w:type="dxa"/>
            </w:tcMar>
            <w:vAlign w:val="center"/>
          </w:tcPr>
          <w:p w:rsidR="00BD084C" w:rsidRPr="00297A95" w:rsidRDefault="00BD084C" w:rsidP="0085034D">
            <w:pPr>
              <w:pStyle w:val="NoSpacing"/>
              <w:spacing w:line="276" w:lineRule="auto"/>
              <w:jc w:val="center"/>
              <w:rPr>
                <w:rFonts w:ascii="Arial" w:hAnsi="Arial" w:cs="Arial"/>
              </w:rPr>
            </w:pPr>
            <w:r w:rsidRPr="00297A95">
              <w:rPr>
                <w:rFonts w:ascii="Arial" w:hAnsi="Arial" w:cs="Arial"/>
              </w:rPr>
              <w:lastRenderedPageBreak/>
              <w:t>3</w:t>
            </w:r>
          </w:p>
        </w:tc>
        <w:tc>
          <w:tcPr>
            <w:tcW w:w="2126" w:type="dxa"/>
            <w:shd w:val="clear" w:color="auto" w:fill="E5F4F7"/>
            <w:tcMar>
              <w:top w:w="28" w:type="dxa"/>
              <w:bottom w:w="28" w:type="dxa"/>
            </w:tcMar>
            <w:vAlign w:val="center"/>
          </w:tcPr>
          <w:p w:rsidR="00BD084C" w:rsidRPr="00297A95" w:rsidRDefault="00BD084C" w:rsidP="0085034D">
            <w:pPr>
              <w:pStyle w:val="NoSpacing"/>
              <w:spacing w:line="276" w:lineRule="auto"/>
              <w:jc w:val="center"/>
              <w:rPr>
                <w:rFonts w:ascii="Arial" w:hAnsi="Arial" w:cs="Arial"/>
              </w:rPr>
            </w:pPr>
            <w:r w:rsidRPr="00297A95">
              <w:rPr>
                <w:rFonts w:ascii="Arial" w:hAnsi="Arial" w:cs="Arial"/>
              </w:rPr>
              <w:t>32%</w:t>
            </w:r>
          </w:p>
        </w:tc>
      </w:tr>
      <w:tr w:rsidR="00BD084C" w:rsidRPr="00297A95" w:rsidTr="0085034D">
        <w:tc>
          <w:tcPr>
            <w:tcW w:w="2552" w:type="dxa"/>
            <w:shd w:val="clear" w:color="auto" w:fill="E5F4F7"/>
            <w:tcMar>
              <w:top w:w="28" w:type="dxa"/>
              <w:bottom w:w="28" w:type="dxa"/>
            </w:tcMar>
            <w:vAlign w:val="center"/>
          </w:tcPr>
          <w:p w:rsidR="00BD084C" w:rsidRPr="00297A95" w:rsidRDefault="00BD084C" w:rsidP="0085034D">
            <w:pPr>
              <w:pStyle w:val="NoSpacing"/>
              <w:spacing w:line="276" w:lineRule="auto"/>
              <w:jc w:val="center"/>
              <w:rPr>
                <w:rFonts w:ascii="Arial" w:hAnsi="Arial" w:cs="Arial"/>
              </w:rPr>
            </w:pPr>
            <w:r w:rsidRPr="00297A95">
              <w:rPr>
                <w:rFonts w:ascii="Arial" w:hAnsi="Arial" w:cs="Arial"/>
              </w:rPr>
              <w:t>4</w:t>
            </w:r>
          </w:p>
        </w:tc>
        <w:tc>
          <w:tcPr>
            <w:tcW w:w="2126" w:type="dxa"/>
            <w:shd w:val="clear" w:color="auto" w:fill="E5F4F7"/>
            <w:tcMar>
              <w:top w:w="28" w:type="dxa"/>
              <w:bottom w:w="28" w:type="dxa"/>
            </w:tcMar>
            <w:vAlign w:val="center"/>
          </w:tcPr>
          <w:p w:rsidR="00BD084C" w:rsidRPr="00297A95" w:rsidRDefault="00BD084C" w:rsidP="0085034D">
            <w:pPr>
              <w:pStyle w:val="NoSpacing"/>
              <w:spacing w:line="276" w:lineRule="auto"/>
              <w:jc w:val="center"/>
              <w:rPr>
                <w:rFonts w:ascii="Arial" w:hAnsi="Arial" w:cs="Arial"/>
              </w:rPr>
            </w:pPr>
            <w:r w:rsidRPr="00297A95">
              <w:rPr>
                <w:rFonts w:ascii="Arial" w:hAnsi="Arial" w:cs="Arial"/>
              </w:rPr>
              <w:t>62%</w:t>
            </w:r>
          </w:p>
        </w:tc>
      </w:tr>
      <w:tr w:rsidR="00BD084C" w:rsidRPr="00297A95" w:rsidTr="0085034D">
        <w:tc>
          <w:tcPr>
            <w:tcW w:w="2552" w:type="dxa"/>
            <w:shd w:val="clear" w:color="auto" w:fill="E5F4F7"/>
            <w:tcMar>
              <w:top w:w="28" w:type="dxa"/>
              <w:bottom w:w="28" w:type="dxa"/>
            </w:tcMar>
            <w:vAlign w:val="center"/>
          </w:tcPr>
          <w:p w:rsidR="00BD084C" w:rsidRPr="00297A95" w:rsidRDefault="00BD084C" w:rsidP="0085034D">
            <w:pPr>
              <w:pStyle w:val="NoSpacing"/>
              <w:spacing w:line="276" w:lineRule="auto"/>
              <w:jc w:val="center"/>
              <w:rPr>
                <w:rFonts w:ascii="Arial" w:hAnsi="Arial" w:cs="Arial"/>
              </w:rPr>
            </w:pPr>
            <w:r w:rsidRPr="00297A95">
              <w:rPr>
                <w:rFonts w:ascii="Arial" w:hAnsi="Arial" w:cs="Arial"/>
              </w:rPr>
              <w:t>5</w:t>
            </w:r>
          </w:p>
        </w:tc>
        <w:tc>
          <w:tcPr>
            <w:tcW w:w="2126" w:type="dxa"/>
            <w:shd w:val="clear" w:color="auto" w:fill="E5F4F7"/>
            <w:tcMar>
              <w:top w:w="28" w:type="dxa"/>
              <w:bottom w:w="28" w:type="dxa"/>
            </w:tcMar>
            <w:vAlign w:val="center"/>
          </w:tcPr>
          <w:p w:rsidR="00BD084C" w:rsidRPr="00297A95" w:rsidRDefault="00BD084C" w:rsidP="0085034D">
            <w:pPr>
              <w:pStyle w:val="NoSpacing"/>
              <w:spacing w:line="276" w:lineRule="auto"/>
              <w:jc w:val="center"/>
              <w:rPr>
                <w:rFonts w:ascii="Arial" w:hAnsi="Arial" w:cs="Arial"/>
              </w:rPr>
            </w:pPr>
            <w:r w:rsidRPr="00297A95">
              <w:rPr>
                <w:rFonts w:ascii="Arial" w:hAnsi="Arial" w:cs="Arial"/>
              </w:rPr>
              <w:t>85%</w:t>
            </w:r>
          </w:p>
        </w:tc>
      </w:tr>
      <w:tr w:rsidR="00BD084C" w:rsidRPr="00297A95" w:rsidTr="0085034D">
        <w:tc>
          <w:tcPr>
            <w:tcW w:w="2552" w:type="dxa"/>
            <w:shd w:val="clear" w:color="auto" w:fill="E5F4F7"/>
            <w:tcMar>
              <w:top w:w="28" w:type="dxa"/>
              <w:bottom w:w="28" w:type="dxa"/>
            </w:tcMar>
            <w:vAlign w:val="center"/>
          </w:tcPr>
          <w:p w:rsidR="00BD084C" w:rsidRPr="00297A95" w:rsidRDefault="00BD084C" w:rsidP="0085034D">
            <w:pPr>
              <w:pStyle w:val="NoSpacing"/>
              <w:spacing w:line="276" w:lineRule="auto"/>
              <w:jc w:val="center"/>
              <w:rPr>
                <w:rFonts w:ascii="Arial" w:hAnsi="Arial" w:cs="Arial"/>
              </w:rPr>
            </w:pPr>
            <w:r w:rsidRPr="00297A95">
              <w:rPr>
                <w:rFonts w:ascii="Arial" w:hAnsi="Arial" w:cs="Arial"/>
              </w:rPr>
              <w:t>6</w:t>
            </w:r>
          </w:p>
        </w:tc>
        <w:tc>
          <w:tcPr>
            <w:tcW w:w="2126" w:type="dxa"/>
            <w:shd w:val="clear" w:color="auto" w:fill="E5F4F7"/>
            <w:tcMar>
              <w:top w:w="28" w:type="dxa"/>
              <w:bottom w:w="28" w:type="dxa"/>
            </w:tcMar>
            <w:vAlign w:val="center"/>
          </w:tcPr>
          <w:p w:rsidR="00BD084C" w:rsidRPr="00297A95" w:rsidRDefault="00BD084C" w:rsidP="0085034D">
            <w:pPr>
              <w:pStyle w:val="NoSpacing"/>
              <w:spacing w:line="276" w:lineRule="auto"/>
              <w:jc w:val="center"/>
              <w:rPr>
                <w:rFonts w:ascii="Arial" w:hAnsi="Arial" w:cs="Arial"/>
              </w:rPr>
            </w:pPr>
            <w:r w:rsidRPr="00297A95">
              <w:rPr>
                <w:rFonts w:ascii="Arial" w:hAnsi="Arial" w:cs="Arial"/>
              </w:rPr>
              <w:t>95%</w:t>
            </w:r>
          </w:p>
        </w:tc>
      </w:tr>
      <w:tr w:rsidR="00BD084C" w:rsidRPr="00297A95" w:rsidTr="0085034D">
        <w:tc>
          <w:tcPr>
            <w:tcW w:w="2552" w:type="dxa"/>
            <w:shd w:val="clear" w:color="auto" w:fill="E5F4F7"/>
            <w:tcMar>
              <w:top w:w="28" w:type="dxa"/>
              <w:bottom w:w="28" w:type="dxa"/>
            </w:tcMar>
            <w:vAlign w:val="center"/>
          </w:tcPr>
          <w:p w:rsidR="00BD084C" w:rsidRPr="00297A95" w:rsidRDefault="00BD084C" w:rsidP="0085034D">
            <w:pPr>
              <w:pStyle w:val="NoSpacing"/>
              <w:spacing w:line="276" w:lineRule="auto"/>
              <w:jc w:val="center"/>
              <w:rPr>
                <w:rFonts w:ascii="Arial" w:hAnsi="Arial" w:cs="Arial"/>
              </w:rPr>
            </w:pPr>
            <w:r w:rsidRPr="00297A95">
              <w:rPr>
                <w:rFonts w:ascii="Arial" w:hAnsi="Arial" w:cs="Arial"/>
              </w:rPr>
              <w:t>7</w:t>
            </w:r>
          </w:p>
        </w:tc>
        <w:tc>
          <w:tcPr>
            <w:tcW w:w="2126" w:type="dxa"/>
            <w:shd w:val="clear" w:color="auto" w:fill="E5F4F7"/>
            <w:tcMar>
              <w:top w:w="28" w:type="dxa"/>
              <w:bottom w:w="28" w:type="dxa"/>
            </w:tcMar>
            <w:vAlign w:val="center"/>
          </w:tcPr>
          <w:p w:rsidR="00BD084C" w:rsidRPr="00297A95" w:rsidRDefault="00BD084C" w:rsidP="0085034D">
            <w:pPr>
              <w:pStyle w:val="NoSpacing"/>
              <w:spacing w:line="276" w:lineRule="auto"/>
              <w:jc w:val="center"/>
              <w:rPr>
                <w:rFonts w:ascii="Arial" w:hAnsi="Arial" w:cs="Arial"/>
              </w:rPr>
            </w:pPr>
            <w:r w:rsidRPr="00297A95">
              <w:rPr>
                <w:rFonts w:ascii="Arial" w:hAnsi="Arial" w:cs="Arial"/>
              </w:rPr>
              <w:t>9</w:t>
            </w:r>
            <w:r>
              <w:rPr>
                <w:rFonts w:ascii="Arial" w:hAnsi="Arial" w:cs="Arial"/>
              </w:rPr>
              <w:t>9</w:t>
            </w:r>
            <w:r w:rsidRPr="00297A95">
              <w:rPr>
                <w:rFonts w:ascii="Arial" w:hAnsi="Arial" w:cs="Arial"/>
              </w:rPr>
              <w:t>%</w:t>
            </w:r>
          </w:p>
        </w:tc>
      </w:tr>
    </w:tbl>
    <w:p w:rsidR="00BD084C" w:rsidRDefault="00BD084C" w:rsidP="0085034D">
      <w:pPr>
        <w:pStyle w:val="NoSpacing"/>
        <w:spacing w:line="276" w:lineRule="auto"/>
        <w:jc w:val="both"/>
        <w:rPr>
          <w:rFonts w:ascii="Arial" w:hAnsi="Arial" w:cs="Arial"/>
        </w:rPr>
      </w:pPr>
      <w:proofErr w:type="gramStart"/>
      <w:r>
        <w:rPr>
          <w:rFonts w:ascii="Arial" w:hAnsi="Arial" w:cs="Arial"/>
          <w:b/>
        </w:rPr>
        <w:t>Table 4.</w:t>
      </w:r>
      <w:proofErr w:type="gramEnd"/>
      <w:r>
        <w:rPr>
          <w:rFonts w:ascii="Arial" w:hAnsi="Arial" w:cs="Arial"/>
          <w:b/>
        </w:rPr>
        <w:t xml:space="preserve"> </w:t>
      </w:r>
      <w:r w:rsidRPr="00297A95">
        <w:rPr>
          <w:rFonts w:ascii="Arial" w:hAnsi="Arial" w:cs="Arial"/>
        </w:rPr>
        <w:t>SCORTEN predicted mortality</w:t>
      </w:r>
      <w:r>
        <w:rPr>
          <w:rFonts w:ascii="Arial" w:hAnsi="Arial" w:cs="Arial"/>
        </w:rPr>
        <w:t>.</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A longitudinal assessment of 144 patients demonstrated that SCORTEN rises slightly during hospitalisation, with a significant difference between day 1 and day 4.</w:t>
      </w:r>
      <w:r w:rsidRPr="00FF70EF">
        <w:rPr>
          <w:rFonts w:ascii="Arial" w:hAnsi="Arial" w:cs="Arial"/>
          <w:noProof/>
          <w:vertAlign w:val="superscript"/>
        </w:rPr>
        <w:t>32</w:t>
      </w:r>
      <w:r w:rsidRPr="00297A95">
        <w:rPr>
          <w:rFonts w:ascii="Arial" w:hAnsi="Arial" w:cs="Arial"/>
        </w:rPr>
        <w:t xml:space="preserve"> </w:t>
      </w:r>
      <w:proofErr w:type="gramStart"/>
      <w:r w:rsidRPr="00297A95">
        <w:rPr>
          <w:rFonts w:ascii="Arial" w:hAnsi="Arial" w:cs="Arial"/>
        </w:rPr>
        <w:t>Since</w:t>
      </w:r>
      <w:proofErr w:type="gramEnd"/>
      <w:r w:rsidRPr="00297A95">
        <w:rPr>
          <w:rFonts w:ascii="Arial" w:hAnsi="Arial" w:cs="Arial"/>
        </w:rPr>
        <w:t xml:space="preserve"> the publication of </w:t>
      </w:r>
      <w:proofErr w:type="spellStart"/>
      <w:r w:rsidRPr="00297A95">
        <w:rPr>
          <w:rFonts w:ascii="Arial" w:hAnsi="Arial" w:cs="Arial"/>
        </w:rPr>
        <w:t>Bastuji-Garin</w:t>
      </w:r>
      <w:proofErr w:type="spellEnd"/>
      <w:r w:rsidRPr="00297A95">
        <w:rPr>
          <w:rFonts w:ascii="Arial" w:hAnsi="Arial" w:cs="Arial"/>
        </w:rPr>
        <w:t xml:space="preserve"> </w:t>
      </w:r>
      <w:r w:rsidRPr="00297A95">
        <w:rPr>
          <w:rFonts w:ascii="Arial" w:hAnsi="Arial" w:cs="Arial"/>
          <w:i/>
        </w:rPr>
        <w:t>et al.</w:t>
      </w:r>
      <w:r w:rsidRPr="00297A95">
        <w:rPr>
          <w:rFonts w:ascii="Arial" w:hAnsi="Arial" w:cs="Arial"/>
        </w:rPr>
        <w:t>’s original paper, retrospective analysis of several SJS/TEN case series has confirmed SCORTEN’s ability to predict mortality accurately.</w:t>
      </w:r>
      <w:r w:rsidRPr="00FF70EF">
        <w:rPr>
          <w:rFonts w:ascii="Arial" w:hAnsi="Arial" w:cs="Arial"/>
          <w:noProof/>
          <w:vertAlign w:val="superscript"/>
        </w:rPr>
        <w:t>33-37</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i/>
        </w:rPr>
      </w:pPr>
      <w:r w:rsidRPr="00297A95">
        <w:rPr>
          <w:rFonts w:ascii="Arial" w:hAnsi="Arial" w:cs="Arial"/>
          <w:b/>
        </w:rPr>
        <w:t xml:space="preserve">Recommendation: </w:t>
      </w:r>
      <w:r w:rsidRPr="00297A95">
        <w:rPr>
          <w:rFonts w:ascii="Arial" w:hAnsi="Arial" w:cs="Arial"/>
          <w:b/>
          <w:i/>
        </w:rPr>
        <w:t>(Strength of recommendation C; level of evidence 2+)</w:t>
      </w:r>
    </w:p>
    <w:p w:rsidR="00BD084C" w:rsidRPr="00297A95" w:rsidRDefault="00BD084C" w:rsidP="0085034D">
      <w:pPr>
        <w:pStyle w:val="NoSpacing"/>
        <w:spacing w:line="276" w:lineRule="auto"/>
        <w:jc w:val="both"/>
        <w:rPr>
          <w:rFonts w:ascii="Arial" w:hAnsi="Arial" w:cs="Arial"/>
        </w:rPr>
      </w:pPr>
    </w:p>
    <w:p w:rsidR="00BD084C" w:rsidRPr="00297A95" w:rsidRDefault="00BD084C" w:rsidP="00BD084C">
      <w:pPr>
        <w:pStyle w:val="NoSpacing"/>
        <w:numPr>
          <w:ilvl w:val="0"/>
          <w:numId w:val="6"/>
        </w:numPr>
        <w:spacing w:line="276" w:lineRule="auto"/>
        <w:jc w:val="both"/>
        <w:rPr>
          <w:rFonts w:ascii="Arial" w:hAnsi="Arial" w:cs="Arial"/>
        </w:rPr>
      </w:pPr>
      <w:r w:rsidRPr="00297A95">
        <w:rPr>
          <w:rFonts w:ascii="Arial" w:hAnsi="Arial" w:cs="Arial"/>
        </w:rPr>
        <w:t>SCORTEN should be calculated in all SJS/TEN patients within the first 24 hours of admission.</w:t>
      </w:r>
    </w:p>
    <w:p w:rsidR="00BD084C" w:rsidRPr="00297A95" w:rsidRDefault="00BD084C" w:rsidP="0085034D">
      <w:pPr>
        <w:pStyle w:val="NoSpacing"/>
        <w:spacing w:line="276" w:lineRule="auto"/>
        <w:jc w:val="both"/>
        <w:rPr>
          <w:rFonts w:ascii="Arial" w:hAnsi="Arial" w:cs="Arial"/>
          <w:i/>
        </w:rPr>
      </w:pPr>
    </w:p>
    <w:p w:rsidR="00BD084C" w:rsidRPr="00297A95" w:rsidRDefault="00BD084C" w:rsidP="0085034D">
      <w:pPr>
        <w:pStyle w:val="NoSpacing"/>
        <w:spacing w:line="276" w:lineRule="auto"/>
        <w:jc w:val="both"/>
        <w:rPr>
          <w:rFonts w:ascii="Arial" w:hAnsi="Arial" w:cs="Arial"/>
        </w:rPr>
      </w:pPr>
    </w:p>
    <w:p w:rsidR="00BD084C" w:rsidRPr="006276EE" w:rsidRDefault="00BD084C" w:rsidP="0085034D">
      <w:pPr>
        <w:pStyle w:val="NoSpacing"/>
        <w:spacing w:line="276" w:lineRule="auto"/>
        <w:jc w:val="both"/>
        <w:rPr>
          <w:rFonts w:ascii="Arial" w:hAnsi="Arial" w:cs="Arial"/>
          <w:b/>
          <w:color w:val="00B0F0"/>
        </w:rPr>
      </w:pPr>
      <w:r w:rsidRPr="006276EE">
        <w:rPr>
          <w:rFonts w:ascii="Arial" w:hAnsi="Arial" w:cs="Arial"/>
          <w:b/>
          <w:color w:val="00B0F0"/>
        </w:rPr>
        <w:t>8.0 INITIAL MANAGEMENT AND SUPPORTIVE CARE</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rPr>
      </w:pPr>
      <w:r w:rsidRPr="00297A95">
        <w:rPr>
          <w:rFonts w:ascii="Arial" w:hAnsi="Arial" w:cs="Arial"/>
          <w:b/>
        </w:rPr>
        <w:t>8.1 What care setting is needed for the management of SJS/TEN patients?</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Extensive epidermal detachment in SJS/TEN is accompanied by thermoregulatory dysfunction, large insensible fluid loss and haemodynamic instability. Other sequelae of acute skin failure include anaemia, </w:t>
      </w:r>
      <w:proofErr w:type="spellStart"/>
      <w:r w:rsidRPr="00297A95">
        <w:rPr>
          <w:rFonts w:ascii="Arial" w:hAnsi="Arial" w:cs="Arial"/>
        </w:rPr>
        <w:t>leucopenia</w:t>
      </w:r>
      <w:proofErr w:type="spellEnd"/>
      <w:r w:rsidRPr="00297A95">
        <w:rPr>
          <w:rFonts w:ascii="Arial" w:hAnsi="Arial" w:cs="Arial"/>
        </w:rPr>
        <w:t>, renal impairment, liver dysfunction and systemic sepsis, the last being the most frequent cause of death. It is therefore recommended that patients with large areas of epidermal loss (greater than 10% BSA) are admitted to a</w:t>
      </w:r>
      <w:r>
        <w:rPr>
          <w:rFonts w:ascii="Arial" w:hAnsi="Arial" w:cs="Arial"/>
        </w:rPr>
        <w:t xml:space="preserve"> specialist</w:t>
      </w:r>
      <w:r w:rsidRPr="00297A95">
        <w:rPr>
          <w:rFonts w:ascii="Arial" w:hAnsi="Arial" w:cs="Arial"/>
        </w:rPr>
        <w:t xml:space="preserve"> intensive care unit (ICU) for critical care management and specialist nursing</w:t>
      </w:r>
      <w:r>
        <w:rPr>
          <w:rFonts w:ascii="Arial" w:hAnsi="Arial" w:cs="Arial"/>
        </w:rPr>
        <w:t xml:space="preserve"> (see SJS/TEN Pathway of Care)</w:t>
      </w:r>
      <w:r w:rsidRPr="00297A95">
        <w:rPr>
          <w:rFonts w:ascii="Arial" w:hAnsi="Arial" w:cs="Arial"/>
        </w:rPr>
        <w:t xml:space="preserve">. Since the cutaneous defect in SJS/TEN is analogous to a large superficial burn, many patients are transferred to a </w:t>
      </w:r>
      <w:r>
        <w:rPr>
          <w:rFonts w:ascii="Arial" w:hAnsi="Arial" w:cs="Arial"/>
        </w:rPr>
        <w:t>B</w:t>
      </w:r>
      <w:r w:rsidRPr="00297A95">
        <w:rPr>
          <w:rFonts w:ascii="Arial" w:hAnsi="Arial" w:cs="Arial"/>
        </w:rPr>
        <w:t xml:space="preserve">urn </w:t>
      </w:r>
      <w:r>
        <w:rPr>
          <w:rFonts w:ascii="Arial" w:hAnsi="Arial" w:cs="Arial"/>
        </w:rPr>
        <w:t>Centre</w:t>
      </w:r>
      <w:r w:rsidRPr="00297A95">
        <w:rPr>
          <w:rFonts w:ascii="Arial" w:hAnsi="Arial" w:cs="Arial"/>
        </w:rPr>
        <w:t xml:space="preserve"> which can deliver both intensive supportive management as well as skin-directed therapy. </w:t>
      </w:r>
      <w:r w:rsidRPr="00F71158">
        <w:rPr>
          <w:rFonts w:ascii="Arial" w:hAnsi="Arial" w:cs="Arial"/>
        </w:rPr>
        <w:t xml:space="preserve">Staff, facilities and standard operating procedures on a Burns Centre are well defined for the management of skin failure and extensive skin loss. </w:t>
      </w:r>
      <w:r w:rsidRPr="00297A95">
        <w:rPr>
          <w:rFonts w:ascii="Arial" w:hAnsi="Arial" w:cs="Arial"/>
        </w:rPr>
        <w:t>Three studies</w:t>
      </w:r>
      <w:r>
        <w:rPr>
          <w:rFonts w:ascii="Arial" w:hAnsi="Arial" w:cs="Arial"/>
        </w:rPr>
        <w:t xml:space="preserve"> and a systematic review of TEN cases</w:t>
      </w:r>
      <w:r w:rsidRPr="00297A95">
        <w:rPr>
          <w:rFonts w:ascii="Arial" w:hAnsi="Arial" w:cs="Arial"/>
        </w:rPr>
        <w:t xml:space="preserve"> have demonstrated that rapid admission to a </w:t>
      </w:r>
      <w:r>
        <w:rPr>
          <w:rFonts w:ascii="Arial" w:hAnsi="Arial" w:cs="Arial"/>
        </w:rPr>
        <w:t>Burns Centre</w:t>
      </w:r>
      <w:r w:rsidRPr="00297A95">
        <w:rPr>
          <w:rFonts w:ascii="Arial" w:hAnsi="Arial" w:cs="Arial"/>
        </w:rPr>
        <w:t xml:space="preserve"> is associated with improved survival, whilst delayed transfer is accompanied by increased mortality.</w:t>
      </w:r>
      <w:r w:rsidRPr="00FF70EF">
        <w:rPr>
          <w:rFonts w:ascii="Arial" w:hAnsi="Arial" w:cs="Arial"/>
          <w:noProof/>
          <w:vertAlign w:val="superscript"/>
        </w:rPr>
        <w:t>29,38,39</w:t>
      </w:r>
      <w:r>
        <w:rPr>
          <w:rFonts w:ascii="Arial" w:hAnsi="Arial" w:cs="Arial"/>
        </w:rPr>
        <w:t xml:space="preserve"> </w:t>
      </w:r>
      <w:r w:rsidRPr="00704610">
        <w:rPr>
          <w:rFonts w:ascii="Arial" w:hAnsi="Arial" w:cs="Arial"/>
          <w:noProof/>
          <w:vertAlign w:val="superscript"/>
        </w:rPr>
        <w:t>40</w:t>
      </w:r>
      <w:r w:rsidRPr="00297A95">
        <w:rPr>
          <w:rFonts w:ascii="Arial" w:hAnsi="Arial" w:cs="Arial"/>
        </w:rPr>
        <w:t xml:space="preserve">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Provision of the many specialist services necessary for managing SJS/TEN cases engenders a need for multi-disciplinary team (MDT) working. The SJS/TEN MDT should be co-ordinated by a specialist in skin failure, usually dermatology </w:t>
      </w:r>
      <w:r>
        <w:rPr>
          <w:rFonts w:ascii="Arial" w:hAnsi="Arial" w:cs="Arial"/>
        </w:rPr>
        <w:t>and/</w:t>
      </w:r>
      <w:r w:rsidRPr="00297A95">
        <w:rPr>
          <w:rFonts w:ascii="Arial" w:hAnsi="Arial" w:cs="Arial"/>
        </w:rPr>
        <w:t xml:space="preserve">or plastics, and should include clinicians from intensive care, ophthalmology and skin care nursing. Within an ICU </w:t>
      </w:r>
      <w:r>
        <w:rPr>
          <w:rFonts w:ascii="Arial" w:hAnsi="Arial" w:cs="Arial"/>
        </w:rPr>
        <w:t xml:space="preserve">(Specialist or Burn Centre) </w:t>
      </w:r>
      <w:r w:rsidRPr="00297A95">
        <w:rPr>
          <w:rFonts w:ascii="Arial" w:hAnsi="Arial" w:cs="Arial"/>
        </w:rPr>
        <w:t>the patient should be nursed in a side room to facilitate barrier nursing and</w:t>
      </w:r>
      <w:r>
        <w:rPr>
          <w:rFonts w:ascii="Arial" w:hAnsi="Arial" w:cs="Arial"/>
        </w:rPr>
        <w:t xml:space="preserve"> to</w:t>
      </w:r>
      <w:r w:rsidRPr="00297A95">
        <w:rPr>
          <w:rFonts w:ascii="Arial" w:hAnsi="Arial" w:cs="Arial"/>
        </w:rPr>
        <w:t xml:space="preserve"> allow the immediate environment to be heated. Studies in burns patients have demonstrated that, at room temperature, energy expenditure increases by 40% of basal metabolic rate (BMR) with skin loss of 10% BSA, while at 80% BSA skin loss energy expenditure increases by 120% of BMR.</w:t>
      </w:r>
      <w:r w:rsidRPr="00704610">
        <w:rPr>
          <w:rFonts w:ascii="Arial" w:hAnsi="Arial" w:cs="Arial"/>
          <w:noProof/>
          <w:vertAlign w:val="superscript"/>
        </w:rPr>
        <w:t>41,42</w:t>
      </w:r>
      <w:r w:rsidRPr="00297A95">
        <w:rPr>
          <w:rFonts w:ascii="Arial" w:hAnsi="Arial" w:cs="Arial"/>
        </w:rPr>
        <w:t xml:space="preserve"> The same thermoregulatory dysfunction occurs </w:t>
      </w:r>
      <w:r w:rsidRPr="00297A95">
        <w:rPr>
          <w:rFonts w:ascii="Arial" w:hAnsi="Arial" w:cs="Arial"/>
        </w:rPr>
        <w:lastRenderedPageBreak/>
        <w:t>in extensive epidermal necrolysis and therefore a raised ambient temperature is necessary in SJS/TEN patient care to reduce energy consumption and associated metabolic stresses.</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i/>
        </w:rPr>
      </w:pPr>
      <w:r w:rsidRPr="00297A95">
        <w:rPr>
          <w:rFonts w:ascii="Arial" w:hAnsi="Arial" w:cs="Arial"/>
          <w:b/>
        </w:rPr>
        <w:t xml:space="preserve">Recommendations: </w:t>
      </w:r>
      <w:r w:rsidRPr="00297A95">
        <w:rPr>
          <w:rFonts w:ascii="Arial" w:hAnsi="Arial" w:cs="Arial"/>
          <w:b/>
          <w:i/>
        </w:rPr>
        <w:t xml:space="preserve">(Strength of recommendation D (GPP); level of evidence 4) </w:t>
      </w:r>
    </w:p>
    <w:p w:rsidR="00BD084C" w:rsidRPr="00297A95" w:rsidRDefault="00BD084C" w:rsidP="0085034D">
      <w:pPr>
        <w:pStyle w:val="NoSpacing"/>
        <w:spacing w:line="276" w:lineRule="auto"/>
        <w:jc w:val="both"/>
        <w:rPr>
          <w:rFonts w:ascii="Arial" w:hAnsi="Arial" w:cs="Arial"/>
          <w:i/>
        </w:rPr>
      </w:pPr>
    </w:p>
    <w:p w:rsidR="00624825" w:rsidRPr="00624825" w:rsidRDefault="00624825" w:rsidP="00624825">
      <w:pPr>
        <w:pStyle w:val="NoSpacing"/>
        <w:numPr>
          <w:ilvl w:val="0"/>
          <w:numId w:val="6"/>
        </w:numPr>
        <w:spacing w:line="276" w:lineRule="auto"/>
        <w:jc w:val="both"/>
        <w:rPr>
          <w:rFonts w:ascii="Arial" w:hAnsi="Arial" w:cs="Arial"/>
          <w:u w:val="single"/>
        </w:rPr>
      </w:pPr>
      <w:r w:rsidRPr="00624825">
        <w:rPr>
          <w:rFonts w:ascii="Arial" w:hAnsi="Arial" w:cs="Arial"/>
          <w:u w:val="single"/>
        </w:rPr>
        <w:t xml:space="preserve">SJS/TEN patients with greater than 10% BSA epidermal loss should be admitted without delay to a Burn Centre or to an ICU with experience of treating patients with SJS/TEN and facilities to manage the logistics of extensive skin loss wound care. </w:t>
      </w:r>
    </w:p>
    <w:p w:rsidR="00624825" w:rsidRPr="00297A95" w:rsidRDefault="00624825" w:rsidP="00624825">
      <w:pPr>
        <w:pStyle w:val="NoSpacing"/>
        <w:spacing w:line="276" w:lineRule="auto"/>
        <w:ind w:left="360"/>
        <w:jc w:val="both"/>
        <w:rPr>
          <w:rFonts w:ascii="Arial" w:hAnsi="Arial" w:cs="Arial"/>
        </w:rPr>
      </w:pPr>
    </w:p>
    <w:p w:rsidR="00BD084C" w:rsidRPr="00297A95" w:rsidRDefault="00BD084C" w:rsidP="00BD084C">
      <w:pPr>
        <w:pStyle w:val="NoSpacing"/>
        <w:numPr>
          <w:ilvl w:val="0"/>
          <w:numId w:val="6"/>
        </w:numPr>
        <w:spacing w:line="276" w:lineRule="auto"/>
        <w:jc w:val="both"/>
        <w:rPr>
          <w:rFonts w:ascii="Arial" w:hAnsi="Arial" w:cs="Arial"/>
        </w:rPr>
      </w:pPr>
      <w:r>
        <w:rPr>
          <w:rFonts w:ascii="Arial" w:hAnsi="Arial" w:cs="Arial"/>
        </w:rPr>
        <w:t>The</w:t>
      </w:r>
      <w:r w:rsidRPr="00297A95">
        <w:rPr>
          <w:rFonts w:ascii="Arial" w:hAnsi="Arial" w:cs="Arial"/>
        </w:rPr>
        <w:t xml:space="preserve"> SJS/TEN multi-disciplinary team should be co-ordinated by a specialist in </w:t>
      </w:r>
      <w:r>
        <w:rPr>
          <w:rFonts w:ascii="Arial" w:hAnsi="Arial" w:cs="Arial"/>
        </w:rPr>
        <w:t>skin failure, usually dermatology and/or plastic surgery,</w:t>
      </w:r>
      <w:r w:rsidRPr="00297A95">
        <w:rPr>
          <w:rFonts w:ascii="Arial" w:hAnsi="Arial" w:cs="Arial"/>
        </w:rPr>
        <w:t xml:space="preserve"> and should include clinicians from intensive care, ophthalmology and </w:t>
      </w:r>
      <w:r>
        <w:rPr>
          <w:rFonts w:ascii="Arial" w:hAnsi="Arial" w:cs="Arial"/>
        </w:rPr>
        <w:t xml:space="preserve">specialist </w:t>
      </w:r>
      <w:r w:rsidRPr="00297A95">
        <w:rPr>
          <w:rFonts w:ascii="Arial" w:hAnsi="Arial" w:cs="Arial"/>
        </w:rPr>
        <w:t xml:space="preserve">skin care nursing. Additional clinical input to the MDT may be required from </w:t>
      </w:r>
      <w:r>
        <w:rPr>
          <w:rFonts w:ascii="Arial" w:hAnsi="Arial" w:cs="Arial"/>
        </w:rPr>
        <w:t>respiratory</w:t>
      </w:r>
      <w:r w:rsidRPr="00297A95">
        <w:rPr>
          <w:rFonts w:ascii="Arial" w:hAnsi="Arial" w:cs="Arial"/>
        </w:rPr>
        <w:t xml:space="preserve"> medicine, gastroenterology, gynaecology, urology, oral medicine, microbiology, pain team, dietetics, physiotherapy and pharmacy.  </w:t>
      </w:r>
    </w:p>
    <w:p w:rsidR="00BD084C" w:rsidRPr="00297A95" w:rsidRDefault="00BD084C" w:rsidP="0085034D">
      <w:pPr>
        <w:pStyle w:val="NoSpacing"/>
        <w:spacing w:line="276" w:lineRule="auto"/>
      </w:pPr>
    </w:p>
    <w:p w:rsidR="00BD084C" w:rsidRPr="00297A95" w:rsidRDefault="00BD084C" w:rsidP="00BD084C">
      <w:pPr>
        <w:pStyle w:val="NoSpacing"/>
        <w:numPr>
          <w:ilvl w:val="0"/>
          <w:numId w:val="6"/>
        </w:numPr>
        <w:spacing w:line="276" w:lineRule="auto"/>
        <w:ind w:left="714" w:hanging="357"/>
        <w:jc w:val="both"/>
        <w:rPr>
          <w:rFonts w:ascii="Arial" w:hAnsi="Arial" w:cs="Arial"/>
        </w:rPr>
      </w:pPr>
      <w:r w:rsidRPr="00297A95">
        <w:rPr>
          <w:rFonts w:ascii="Arial" w:hAnsi="Arial" w:cs="Arial"/>
        </w:rPr>
        <w:t>SJS/TEN patients must be</w:t>
      </w:r>
      <w:r>
        <w:rPr>
          <w:rFonts w:ascii="Arial" w:hAnsi="Arial" w:cs="Arial"/>
        </w:rPr>
        <w:t xml:space="preserve"> barrier-</w:t>
      </w:r>
      <w:r w:rsidRPr="00297A95">
        <w:rPr>
          <w:rFonts w:ascii="Arial" w:hAnsi="Arial" w:cs="Arial"/>
        </w:rPr>
        <w:t xml:space="preserve">nursed in a side room </w:t>
      </w:r>
      <w:r>
        <w:rPr>
          <w:rFonts w:ascii="Arial" w:hAnsi="Arial" w:cs="Arial"/>
        </w:rPr>
        <w:t xml:space="preserve">controlled for humidity, </w:t>
      </w:r>
      <w:r w:rsidRPr="00297A95">
        <w:rPr>
          <w:rFonts w:ascii="Arial" w:hAnsi="Arial" w:cs="Arial"/>
        </w:rPr>
        <w:t xml:space="preserve">on a pressure-relieving mattress with the ambient temperature raised to </w:t>
      </w:r>
      <w:r>
        <w:rPr>
          <w:rFonts w:ascii="Arial" w:hAnsi="Arial" w:cs="Arial"/>
        </w:rPr>
        <w:t xml:space="preserve">between </w:t>
      </w:r>
      <w:r w:rsidRPr="00297A95">
        <w:rPr>
          <w:rFonts w:ascii="Arial" w:hAnsi="Arial" w:cs="Arial"/>
        </w:rPr>
        <w:t>25° to 28 °C.</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rPr>
      </w:pPr>
      <w:r w:rsidRPr="00297A95">
        <w:rPr>
          <w:rFonts w:ascii="Arial" w:hAnsi="Arial" w:cs="Arial"/>
          <w:b/>
        </w:rPr>
        <w:t xml:space="preserve">8.2 What skin management regimen should be followed in SJS/TEN? </w:t>
      </w:r>
    </w:p>
    <w:p w:rsidR="00BD084C" w:rsidRPr="00297A95" w:rsidRDefault="00BD084C" w:rsidP="0085034D">
      <w:pPr>
        <w:pStyle w:val="NoSpacing"/>
        <w:spacing w:line="276" w:lineRule="auto"/>
        <w:jc w:val="both"/>
        <w:rPr>
          <w:rFonts w:ascii="Arial" w:hAnsi="Arial" w:cs="Arial"/>
        </w:rPr>
      </w:pPr>
    </w:p>
    <w:p w:rsidR="00BD084C" w:rsidRDefault="00BD084C" w:rsidP="0085034D">
      <w:pPr>
        <w:pStyle w:val="NoSpacing"/>
        <w:spacing w:line="276" w:lineRule="auto"/>
        <w:jc w:val="both"/>
        <w:rPr>
          <w:rFonts w:ascii="Arial" w:hAnsi="Arial" w:cs="Arial"/>
        </w:rPr>
      </w:pPr>
      <w:r w:rsidRPr="00297A95">
        <w:rPr>
          <w:rFonts w:ascii="Arial" w:hAnsi="Arial" w:cs="Arial"/>
        </w:rPr>
        <w:t xml:space="preserve">In SJS/TEN, necrotic epidermis is prone to detach from underlying dermis, therefore careful handling of the skin in these patients is essential. </w:t>
      </w:r>
      <w:r>
        <w:rPr>
          <w:rFonts w:ascii="Arial" w:hAnsi="Arial" w:cs="Arial"/>
        </w:rPr>
        <w:t>In particular, care must be taken to minimize shearing forces applied to the skin, especially when moving and positioning the patient (anti-shear handling).</w:t>
      </w:r>
      <w:r w:rsidRPr="00704610">
        <w:rPr>
          <w:rFonts w:ascii="Arial" w:hAnsi="Arial" w:cs="Arial"/>
          <w:noProof/>
          <w:vertAlign w:val="superscript"/>
        </w:rPr>
        <w:t>43</w:t>
      </w:r>
      <w:r>
        <w:rPr>
          <w:rFonts w:ascii="Arial" w:hAnsi="Arial" w:cs="Arial"/>
        </w:rPr>
        <w:t xml:space="preserve"> </w:t>
      </w:r>
      <w:r w:rsidRPr="00297A95">
        <w:rPr>
          <w:rFonts w:ascii="Arial" w:hAnsi="Arial" w:cs="Arial"/>
        </w:rPr>
        <w:t xml:space="preserve">Day-to-day bedside </w:t>
      </w:r>
      <w:proofErr w:type="gramStart"/>
      <w:r w:rsidRPr="00297A95">
        <w:rPr>
          <w:rFonts w:ascii="Arial" w:hAnsi="Arial" w:cs="Arial"/>
        </w:rPr>
        <w:t>care</w:t>
      </w:r>
      <w:proofErr w:type="gramEnd"/>
      <w:r w:rsidRPr="00297A95">
        <w:rPr>
          <w:rFonts w:ascii="Arial" w:hAnsi="Arial" w:cs="Arial"/>
        </w:rPr>
        <w:t xml:space="preserve"> is preferably undertaken by specialist nurses familiar with skin fragility disorders.</w:t>
      </w:r>
      <w:r w:rsidRPr="00704610">
        <w:rPr>
          <w:rFonts w:ascii="Arial" w:hAnsi="Arial" w:cs="Arial"/>
          <w:noProof/>
          <w:vertAlign w:val="superscript"/>
        </w:rPr>
        <w:t>43</w:t>
      </w:r>
      <w:r w:rsidRPr="00297A95">
        <w:rPr>
          <w:rFonts w:ascii="Arial" w:hAnsi="Arial" w:cs="Arial"/>
        </w:rPr>
        <w:t xml:space="preserve"> </w:t>
      </w:r>
      <w:r>
        <w:rPr>
          <w:rFonts w:ascii="Arial" w:hAnsi="Arial" w:cs="Arial"/>
        </w:rPr>
        <w:t xml:space="preserve">Other attending clinicians, who are unfamiliar with the problems of epidermal detachment, should be warned before examining the patient. </w:t>
      </w:r>
      <w:r w:rsidRPr="00297A95">
        <w:rPr>
          <w:rFonts w:ascii="Arial" w:hAnsi="Arial" w:cs="Arial"/>
        </w:rPr>
        <w:t xml:space="preserve">Despite careful nursing, </w:t>
      </w:r>
      <w:proofErr w:type="spellStart"/>
      <w:r w:rsidRPr="00297A95">
        <w:rPr>
          <w:rFonts w:ascii="Arial" w:hAnsi="Arial" w:cs="Arial"/>
        </w:rPr>
        <w:t>lesional</w:t>
      </w:r>
      <w:proofErr w:type="spellEnd"/>
      <w:r w:rsidRPr="00297A95">
        <w:rPr>
          <w:rFonts w:ascii="Arial" w:hAnsi="Arial" w:cs="Arial"/>
        </w:rPr>
        <w:t xml:space="preserve"> epidermis in SJS/TEN often peels away, especially at pressure areas, to leave zones of denuded dermis. </w:t>
      </w:r>
    </w:p>
    <w:p w:rsidR="00BD084C" w:rsidRPr="00BC703A" w:rsidRDefault="00BD084C" w:rsidP="0085034D">
      <w:pPr>
        <w:pStyle w:val="NoSpacing"/>
        <w:jc w:val="both"/>
        <w:rPr>
          <w:rFonts w:ascii="Arial" w:hAnsi="Arial" w:cs="Arial"/>
        </w:rPr>
      </w:pPr>
    </w:p>
    <w:p w:rsidR="00BD084C" w:rsidRDefault="00BD084C" w:rsidP="0085034D">
      <w:pPr>
        <w:pStyle w:val="NoSpacing"/>
        <w:spacing w:line="276" w:lineRule="auto"/>
        <w:jc w:val="both"/>
        <w:rPr>
          <w:rFonts w:ascii="Arial" w:hAnsi="Arial" w:cs="Arial"/>
        </w:rPr>
      </w:pPr>
      <w:r w:rsidRPr="00BC703A">
        <w:rPr>
          <w:rFonts w:ascii="Arial" w:hAnsi="Arial" w:cs="Arial"/>
        </w:rPr>
        <w:t xml:space="preserve">There are differing approaches to </w:t>
      </w:r>
      <w:r>
        <w:rPr>
          <w:rFonts w:ascii="Arial" w:hAnsi="Arial" w:cs="Arial"/>
        </w:rPr>
        <w:t xml:space="preserve">local management of </w:t>
      </w:r>
      <w:proofErr w:type="spellStart"/>
      <w:r>
        <w:rPr>
          <w:rFonts w:ascii="Arial" w:hAnsi="Arial" w:cs="Arial"/>
        </w:rPr>
        <w:t>lesional</w:t>
      </w:r>
      <w:proofErr w:type="spellEnd"/>
      <w:r>
        <w:rPr>
          <w:rFonts w:ascii="Arial" w:hAnsi="Arial" w:cs="Arial"/>
        </w:rPr>
        <w:t xml:space="preserve"> </w:t>
      </w:r>
      <w:r w:rsidRPr="00BC703A">
        <w:rPr>
          <w:rFonts w:ascii="Arial" w:hAnsi="Arial" w:cs="Arial"/>
        </w:rPr>
        <w:t xml:space="preserve">skin with no good evidence as to which is superior. </w:t>
      </w:r>
    </w:p>
    <w:p w:rsidR="00BD084C" w:rsidRDefault="00BD084C" w:rsidP="0085034D">
      <w:pPr>
        <w:pStyle w:val="NoSpacing"/>
        <w:spacing w:line="276" w:lineRule="auto"/>
        <w:jc w:val="both"/>
        <w:rPr>
          <w:rFonts w:ascii="Arial" w:hAnsi="Arial" w:cs="Arial"/>
        </w:rPr>
      </w:pPr>
    </w:p>
    <w:p w:rsidR="00BD084C" w:rsidRDefault="00BD084C" w:rsidP="0085034D">
      <w:pPr>
        <w:pStyle w:val="NoSpacing"/>
        <w:spacing w:line="276" w:lineRule="auto"/>
        <w:jc w:val="both"/>
        <w:rPr>
          <w:rFonts w:ascii="Arial" w:hAnsi="Arial" w:cs="Arial"/>
        </w:rPr>
      </w:pPr>
      <w:r w:rsidRPr="00297A95">
        <w:rPr>
          <w:rFonts w:ascii="Arial" w:hAnsi="Arial" w:cs="Arial"/>
        </w:rPr>
        <w:t xml:space="preserve">In the conservative approach, detached epidermis is left </w:t>
      </w:r>
      <w:r w:rsidRPr="00297A95">
        <w:rPr>
          <w:rFonts w:ascii="Arial" w:hAnsi="Arial" w:cs="Arial"/>
          <w:i/>
        </w:rPr>
        <w:t>in situ</w:t>
      </w:r>
      <w:r w:rsidRPr="00297A95">
        <w:rPr>
          <w:rFonts w:ascii="Arial" w:hAnsi="Arial" w:cs="Arial"/>
        </w:rPr>
        <w:t xml:space="preserve"> to act as a biological dressing for the underlying dermis. In cases where bullae are prominent, blister fluid should be aspirated </w:t>
      </w:r>
      <w:r>
        <w:rPr>
          <w:rFonts w:ascii="Arial" w:hAnsi="Arial" w:cs="Arial"/>
        </w:rPr>
        <w:t xml:space="preserve">or expressed </w:t>
      </w:r>
      <w:r w:rsidRPr="00297A95">
        <w:rPr>
          <w:rFonts w:ascii="Arial" w:hAnsi="Arial" w:cs="Arial"/>
        </w:rPr>
        <w:t>and the blister roof allowed to</w:t>
      </w:r>
      <w:r>
        <w:rPr>
          <w:rFonts w:ascii="Arial" w:hAnsi="Arial" w:cs="Arial"/>
        </w:rPr>
        <w:t xml:space="preserve"> </w:t>
      </w:r>
      <w:r w:rsidRPr="00297A95">
        <w:rPr>
          <w:rFonts w:ascii="Arial" w:hAnsi="Arial" w:cs="Arial"/>
        </w:rPr>
        <w:t>settle onto the underlying dermis.</w:t>
      </w:r>
      <w:r w:rsidRPr="00704610">
        <w:rPr>
          <w:rFonts w:ascii="Arial" w:hAnsi="Arial" w:cs="Arial"/>
          <w:noProof/>
          <w:vertAlign w:val="superscript"/>
        </w:rPr>
        <w:t>44-46</w:t>
      </w:r>
      <w:r w:rsidRPr="00297A95">
        <w:rPr>
          <w:rFonts w:ascii="Arial" w:hAnsi="Arial" w:cs="Arial"/>
        </w:rPr>
        <w:t xml:space="preserve"> </w:t>
      </w:r>
      <w:r w:rsidRPr="00BC703A">
        <w:rPr>
          <w:rFonts w:ascii="Arial" w:hAnsi="Arial" w:cs="Arial"/>
        </w:rPr>
        <w:t>Frequent application of a bland emollient to the whole skin is helpful during the acute phase of SJS/TEN to support barrier function, reduce transcutaneous water loss and encourage re-epithelialisation.</w:t>
      </w:r>
      <w:r w:rsidRPr="00704610">
        <w:rPr>
          <w:rFonts w:ascii="Arial" w:hAnsi="Arial" w:cs="Arial"/>
          <w:noProof/>
          <w:vertAlign w:val="superscript"/>
        </w:rPr>
        <w:t>44</w:t>
      </w:r>
      <w:r>
        <w:rPr>
          <w:rFonts w:ascii="Arial" w:hAnsi="Arial" w:cs="Arial"/>
        </w:rPr>
        <w:t xml:space="preserve"> </w:t>
      </w:r>
      <w:r w:rsidRPr="005933F8">
        <w:rPr>
          <w:rFonts w:ascii="Arial" w:hAnsi="Arial" w:cs="Arial"/>
        </w:rPr>
        <w:t>The use of an appropriate dressing on exposed dermis will reduce fluid and protein loss, limit microbial colonisation and help pain control. Covering the denuded skin may also accelerate re-epithelialisation.</w:t>
      </w:r>
      <w:r>
        <w:rPr>
          <w:rFonts w:ascii="Arial" w:hAnsi="Arial" w:cs="Arial"/>
        </w:rPr>
        <w:t xml:space="preserve"> Once active blistering and epidermal detachment ceases, re-epithelialisation commences. Healing may occur within a few days or may be protracted and take a number of weeks to attain completion.</w:t>
      </w:r>
    </w:p>
    <w:p w:rsidR="00BD084C" w:rsidRDefault="00BD084C" w:rsidP="0085034D">
      <w:pPr>
        <w:pStyle w:val="NoSpacing"/>
        <w:spacing w:line="276" w:lineRule="auto"/>
        <w:ind w:left="360"/>
        <w:jc w:val="both"/>
        <w:rPr>
          <w:rFonts w:ascii="Arial" w:hAnsi="Arial" w:cs="Arial"/>
        </w:rPr>
      </w:pPr>
    </w:p>
    <w:p w:rsidR="00BD084C" w:rsidRDefault="00BD084C" w:rsidP="0085034D">
      <w:pPr>
        <w:pStyle w:val="NoSpacing"/>
        <w:spacing w:line="276" w:lineRule="auto"/>
        <w:jc w:val="both"/>
        <w:rPr>
          <w:rFonts w:ascii="Arial" w:hAnsi="Arial" w:cs="Arial"/>
        </w:rPr>
      </w:pPr>
      <w:r>
        <w:rPr>
          <w:rFonts w:ascii="Arial" w:hAnsi="Arial" w:cs="Arial"/>
        </w:rPr>
        <w:t>A</w:t>
      </w:r>
      <w:r w:rsidRPr="00297A95">
        <w:rPr>
          <w:rFonts w:ascii="Arial" w:hAnsi="Arial" w:cs="Arial"/>
        </w:rPr>
        <w:t xml:space="preserve"> </w:t>
      </w:r>
      <w:r>
        <w:rPr>
          <w:rFonts w:ascii="Arial" w:hAnsi="Arial" w:cs="Arial"/>
        </w:rPr>
        <w:t>surgical approach</w:t>
      </w:r>
      <w:r w:rsidRPr="00297A95">
        <w:rPr>
          <w:rFonts w:ascii="Arial" w:hAnsi="Arial" w:cs="Arial"/>
        </w:rPr>
        <w:t xml:space="preserve"> involves debridement of detached epidermis to remove potentially infected material</w:t>
      </w:r>
      <w:r>
        <w:rPr>
          <w:rFonts w:ascii="Arial" w:hAnsi="Arial" w:cs="Arial"/>
        </w:rPr>
        <w:t xml:space="preserve"> </w:t>
      </w:r>
      <w:r w:rsidRPr="00BC703A">
        <w:rPr>
          <w:rFonts w:ascii="Arial" w:hAnsi="Arial" w:cs="Arial"/>
        </w:rPr>
        <w:t xml:space="preserve">followed </w:t>
      </w:r>
      <w:r>
        <w:rPr>
          <w:rFonts w:ascii="Arial" w:hAnsi="Arial" w:cs="Arial"/>
        </w:rPr>
        <w:t xml:space="preserve">by </w:t>
      </w:r>
      <w:r w:rsidRPr="00BC703A">
        <w:rPr>
          <w:rFonts w:ascii="Arial" w:hAnsi="Arial" w:cs="Arial"/>
        </w:rPr>
        <w:t xml:space="preserve">physiological wound closure using </w:t>
      </w:r>
      <w:r>
        <w:rPr>
          <w:rFonts w:ascii="Arial" w:hAnsi="Arial" w:cs="Arial"/>
        </w:rPr>
        <w:t>biosynthetic</w:t>
      </w:r>
      <w:r w:rsidRPr="00BC703A">
        <w:rPr>
          <w:rFonts w:ascii="Arial" w:hAnsi="Arial" w:cs="Arial"/>
        </w:rPr>
        <w:t xml:space="preserve"> dressings, </w:t>
      </w:r>
      <w:r w:rsidRPr="00BC703A">
        <w:rPr>
          <w:rFonts w:ascii="Arial" w:hAnsi="Arial" w:cs="Arial"/>
        </w:rPr>
        <w:lastRenderedPageBreak/>
        <w:t>xenograft or allograft</w:t>
      </w:r>
      <w:r w:rsidRPr="00297A95">
        <w:rPr>
          <w:rFonts w:ascii="Arial" w:hAnsi="Arial" w:cs="Arial"/>
        </w:rPr>
        <w:t>.</w:t>
      </w:r>
      <w:r w:rsidRPr="00704610">
        <w:rPr>
          <w:rFonts w:ascii="Arial" w:hAnsi="Arial" w:cs="Arial"/>
          <w:noProof/>
          <w:vertAlign w:val="superscript"/>
        </w:rPr>
        <w:t>40,47</w:t>
      </w:r>
      <w:r>
        <w:rPr>
          <w:rFonts w:ascii="Arial" w:hAnsi="Arial" w:cs="Arial"/>
        </w:rPr>
        <w:t xml:space="preserve"> </w:t>
      </w:r>
      <w:r w:rsidRPr="00BC703A">
        <w:rPr>
          <w:rFonts w:ascii="Arial" w:hAnsi="Arial" w:cs="Arial"/>
        </w:rPr>
        <w:t xml:space="preserve">This more aggressive approach </w:t>
      </w:r>
      <w:r>
        <w:rPr>
          <w:rFonts w:ascii="Arial" w:hAnsi="Arial" w:cs="Arial"/>
        </w:rPr>
        <w:t xml:space="preserve">can </w:t>
      </w:r>
      <w:r w:rsidRPr="00BC703A">
        <w:rPr>
          <w:rFonts w:ascii="Arial" w:hAnsi="Arial" w:cs="Arial"/>
        </w:rPr>
        <w:t>be considered following failure of conservative management</w:t>
      </w:r>
      <w:r>
        <w:rPr>
          <w:rFonts w:ascii="Arial" w:hAnsi="Arial" w:cs="Arial"/>
        </w:rPr>
        <w:t>,</w:t>
      </w:r>
      <w:r w:rsidRPr="00BC703A">
        <w:rPr>
          <w:rFonts w:ascii="Arial" w:hAnsi="Arial" w:cs="Arial"/>
        </w:rPr>
        <w:t xml:space="preserve"> characterized by clinical deterioration, </w:t>
      </w:r>
      <w:r>
        <w:rPr>
          <w:rFonts w:ascii="Arial" w:hAnsi="Arial" w:cs="Arial"/>
        </w:rPr>
        <w:t xml:space="preserve">extension of </w:t>
      </w:r>
      <w:r w:rsidRPr="00BC703A">
        <w:rPr>
          <w:rFonts w:ascii="Arial" w:hAnsi="Arial" w:cs="Arial"/>
        </w:rPr>
        <w:t xml:space="preserve">epidermal </w:t>
      </w:r>
      <w:r>
        <w:rPr>
          <w:rFonts w:ascii="Arial" w:hAnsi="Arial" w:cs="Arial"/>
        </w:rPr>
        <w:t>detachment</w:t>
      </w:r>
      <w:r w:rsidRPr="00BC703A">
        <w:rPr>
          <w:rFonts w:ascii="Arial" w:hAnsi="Arial" w:cs="Arial"/>
        </w:rPr>
        <w:t xml:space="preserve">, </w:t>
      </w:r>
      <w:r>
        <w:rPr>
          <w:rFonts w:ascii="Arial" w:hAnsi="Arial" w:cs="Arial"/>
        </w:rPr>
        <w:t>local sepsis/</w:t>
      </w:r>
      <w:r w:rsidRPr="00BC703A">
        <w:rPr>
          <w:rFonts w:ascii="Arial" w:hAnsi="Arial" w:cs="Arial"/>
        </w:rPr>
        <w:t>sub</w:t>
      </w:r>
      <w:r>
        <w:rPr>
          <w:rFonts w:ascii="Arial" w:hAnsi="Arial" w:cs="Arial"/>
        </w:rPr>
        <w:t>-</w:t>
      </w:r>
      <w:r w:rsidRPr="00BC703A">
        <w:rPr>
          <w:rFonts w:ascii="Arial" w:hAnsi="Arial" w:cs="Arial"/>
        </w:rPr>
        <w:t>epidermal pus</w:t>
      </w:r>
      <w:r>
        <w:rPr>
          <w:rFonts w:ascii="Arial" w:hAnsi="Arial" w:cs="Arial"/>
        </w:rPr>
        <w:t>,</w:t>
      </w:r>
      <w:r w:rsidRPr="00BC703A">
        <w:rPr>
          <w:rFonts w:ascii="Arial" w:hAnsi="Arial" w:cs="Arial"/>
        </w:rPr>
        <w:t xml:space="preserve"> </w:t>
      </w:r>
      <w:r>
        <w:rPr>
          <w:rFonts w:ascii="Arial" w:hAnsi="Arial" w:cs="Arial"/>
        </w:rPr>
        <w:t xml:space="preserve">delayed healing and </w:t>
      </w:r>
      <w:r w:rsidRPr="00BC703A">
        <w:rPr>
          <w:rFonts w:ascii="Arial" w:hAnsi="Arial" w:cs="Arial"/>
        </w:rPr>
        <w:t xml:space="preserve">wound conversion </w:t>
      </w:r>
      <w:r>
        <w:rPr>
          <w:rFonts w:ascii="Arial" w:hAnsi="Arial" w:cs="Arial"/>
        </w:rPr>
        <w:t>(the spontaneous progression of superficial skin loss into a deeper cutaneous defect)</w:t>
      </w:r>
      <w:r w:rsidRPr="00BC703A">
        <w:rPr>
          <w:rFonts w:ascii="Arial" w:hAnsi="Arial" w:cs="Arial"/>
        </w:rPr>
        <w:t>.</w:t>
      </w:r>
      <w:hyperlink w:anchor="_ENREF_40" w:tooltip="Mahar, 2014 #3543" w:history="1"/>
    </w:p>
    <w:p w:rsidR="00BD084C" w:rsidRPr="00520758" w:rsidRDefault="00BD084C" w:rsidP="0085034D">
      <w:pPr>
        <w:pStyle w:val="NoSpacing"/>
        <w:spacing w:line="276" w:lineRule="auto"/>
        <w:ind w:left="360"/>
        <w:jc w:val="both"/>
        <w:rPr>
          <w:rFonts w:ascii="Arial" w:hAnsi="Arial" w:cs="Arial"/>
          <w:b/>
          <w:i/>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Denuded dermis in SJS/TEN exudes serum and becomes coated with necrotic debris. The exposed dermis and haemorrhagic crust act as a substrate for microbial colonisation, initially by</w:t>
      </w:r>
      <w:r w:rsidRPr="00297A95">
        <w:rPr>
          <w:rFonts w:ascii="Arial" w:hAnsi="Arial" w:cs="Arial"/>
          <w:i/>
        </w:rPr>
        <w:t xml:space="preserve"> Staphylococcus aureus</w:t>
      </w:r>
      <w:r w:rsidRPr="00297A95">
        <w:rPr>
          <w:rFonts w:ascii="Arial" w:hAnsi="Arial" w:cs="Arial"/>
        </w:rPr>
        <w:t xml:space="preserve"> and later by gram-negative rods from the digestive flora, especially </w:t>
      </w:r>
      <w:r w:rsidRPr="00297A95">
        <w:rPr>
          <w:rFonts w:ascii="Arial" w:hAnsi="Arial" w:cs="Arial"/>
          <w:i/>
        </w:rPr>
        <w:t>Pseudomonas aeruginosa</w:t>
      </w:r>
      <w:r w:rsidRPr="00297A95">
        <w:rPr>
          <w:rFonts w:ascii="Arial" w:hAnsi="Arial" w:cs="Arial"/>
        </w:rPr>
        <w:t>.</w:t>
      </w:r>
      <w:r w:rsidRPr="00A15AE2">
        <w:rPr>
          <w:rFonts w:ascii="Arial" w:hAnsi="Arial" w:cs="Arial"/>
          <w:noProof/>
          <w:vertAlign w:val="superscript"/>
        </w:rPr>
        <w:t>7</w:t>
      </w:r>
      <w:r w:rsidRPr="00297A95">
        <w:rPr>
          <w:rFonts w:ascii="Arial" w:hAnsi="Arial" w:cs="Arial"/>
        </w:rPr>
        <w:t xml:space="preserve"> </w:t>
      </w:r>
      <w:proofErr w:type="gramStart"/>
      <w:r w:rsidRPr="00297A95">
        <w:rPr>
          <w:rFonts w:ascii="Arial" w:hAnsi="Arial" w:cs="Arial"/>
        </w:rPr>
        <w:t>Cutaneous</w:t>
      </w:r>
      <w:proofErr w:type="gramEnd"/>
      <w:r w:rsidRPr="00297A95">
        <w:rPr>
          <w:rFonts w:ascii="Arial" w:hAnsi="Arial" w:cs="Arial"/>
        </w:rPr>
        <w:t xml:space="preserve"> infection will impair re-epithelialisation and may lead to systemic sepsis, which is the commonest cause of death in </w:t>
      </w:r>
      <w:r>
        <w:rPr>
          <w:rFonts w:ascii="Arial" w:hAnsi="Arial" w:cs="Arial"/>
        </w:rPr>
        <w:t>SJS/</w:t>
      </w:r>
      <w:r w:rsidRPr="00297A95">
        <w:rPr>
          <w:rFonts w:ascii="Arial" w:hAnsi="Arial" w:cs="Arial"/>
        </w:rPr>
        <w:t xml:space="preserve">TEN. Indiscriminate administration of prophylactic systemic antibiotics may increase skin colonisation, particularly with </w:t>
      </w:r>
      <w:r w:rsidRPr="00297A95">
        <w:rPr>
          <w:rFonts w:ascii="Arial" w:hAnsi="Arial" w:cs="Arial"/>
          <w:i/>
        </w:rPr>
        <w:t xml:space="preserve">Candida </w:t>
      </w:r>
      <w:proofErr w:type="spellStart"/>
      <w:r w:rsidRPr="00297A95">
        <w:rPr>
          <w:rFonts w:ascii="Arial" w:hAnsi="Arial" w:cs="Arial"/>
          <w:i/>
        </w:rPr>
        <w:t>albicans</w:t>
      </w:r>
      <w:proofErr w:type="spellEnd"/>
      <w:r w:rsidRPr="00297A95">
        <w:rPr>
          <w:rFonts w:ascii="Arial" w:hAnsi="Arial" w:cs="Arial"/>
          <w:i/>
        </w:rPr>
        <w:t>,</w:t>
      </w:r>
      <w:r w:rsidRPr="00297A95">
        <w:rPr>
          <w:rFonts w:ascii="Arial" w:hAnsi="Arial" w:cs="Arial"/>
        </w:rPr>
        <w:t xml:space="preserve"> therefore</w:t>
      </w:r>
      <w:r w:rsidRPr="00297A95">
        <w:rPr>
          <w:rFonts w:ascii="Arial" w:hAnsi="Arial" w:cs="Arial"/>
          <w:i/>
        </w:rPr>
        <w:t xml:space="preserve"> </w:t>
      </w:r>
      <w:r w:rsidRPr="00297A95">
        <w:rPr>
          <w:rFonts w:ascii="Arial" w:hAnsi="Arial" w:cs="Arial"/>
        </w:rPr>
        <w:t>antimicrobial therapy should only be instituted if there are clinical signs of infection.</w:t>
      </w:r>
      <w:r w:rsidRPr="00A15AE2">
        <w:rPr>
          <w:rFonts w:ascii="Arial" w:hAnsi="Arial" w:cs="Arial"/>
          <w:noProof/>
          <w:vertAlign w:val="superscript"/>
        </w:rPr>
        <w:t>7</w:t>
      </w:r>
      <w:r w:rsidRPr="00297A95">
        <w:rPr>
          <w:rFonts w:ascii="Arial" w:hAnsi="Arial" w:cs="Arial"/>
        </w:rPr>
        <w:t xml:space="preserve"> </w:t>
      </w:r>
      <w:r>
        <w:rPr>
          <w:rFonts w:ascii="Arial" w:hAnsi="Arial" w:cs="Arial"/>
        </w:rPr>
        <w:t>The SJS/TEN disease process may be accompanied by a fever which complicates detection of secondary sepsis; therefore</w:t>
      </w:r>
      <w:r w:rsidRPr="00297A95">
        <w:rPr>
          <w:rFonts w:ascii="Arial" w:hAnsi="Arial" w:cs="Arial"/>
        </w:rPr>
        <w:t xml:space="preserve"> patient</w:t>
      </w:r>
      <w:r>
        <w:rPr>
          <w:rFonts w:ascii="Arial" w:hAnsi="Arial" w:cs="Arial"/>
        </w:rPr>
        <w:t>s</w:t>
      </w:r>
      <w:r w:rsidRPr="00297A95">
        <w:rPr>
          <w:rFonts w:ascii="Arial" w:hAnsi="Arial" w:cs="Arial"/>
        </w:rPr>
        <w:t xml:space="preserve"> should be monitored carefully for other signs</w:t>
      </w:r>
      <w:r>
        <w:rPr>
          <w:rFonts w:ascii="Arial" w:hAnsi="Arial" w:cs="Arial"/>
        </w:rPr>
        <w:t xml:space="preserve"> of systemic infection</w:t>
      </w:r>
      <w:r w:rsidRPr="00297A95">
        <w:rPr>
          <w:rFonts w:ascii="Arial" w:hAnsi="Arial" w:cs="Arial"/>
        </w:rPr>
        <w:t xml:space="preserve"> such as confusion, hypotension, reduced urine output </w:t>
      </w:r>
      <w:r>
        <w:rPr>
          <w:rFonts w:ascii="Arial" w:hAnsi="Arial" w:cs="Arial"/>
        </w:rPr>
        <w:t>and</w:t>
      </w:r>
      <w:r w:rsidRPr="00297A95">
        <w:rPr>
          <w:rFonts w:ascii="Arial" w:hAnsi="Arial" w:cs="Arial"/>
        </w:rPr>
        <w:t xml:space="preserve"> reduced oxygen saturation</w:t>
      </w:r>
      <w:r>
        <w:rPr>
          <w:rFonts w:ascii="Arial" w:hAnsi="Arial" w:cs="Arial"/>
        </w:rPr>
        <w:t>.</w:t>
      </w:r>
      <w:r w:rsidRPr="00FF70EF">
        <w:rPr>
          <w:rFonts w:ascii="Arial" w:hAnsi="Arial" w:cs="Arial"/>
          <w:noProof/>
          <w:vertAlign w:val="superscript"/>
        </w:rPr>
        <w:t>48</w:t>
      </w:r>
      <w:r>
        <w:rPr>
          <w:rFonts w:ascii="Arial" w:hAnsi="Arial" w:cs="Arial"/>
        </w:rPr>
        <w:t xml:space="preserve"> Cutaneous infection may be accompanied by</w:t>
      </w:r>
      <w:r w:rsidRPr="00297A95">
        <w:rPr>
          <w:rFonts w:ascii="Arial" w:hAnsi="Arial" w:cs="Arial"/>
        </w:rPr>
        <w:t xml:space="preserve"> an increase in skin pain. The detection of sepsis may also be indicated by a rise in CRP and neutrophilia. If a monoculture of organisms is detected on culture of swabs taken from multiple sites, which had previously showed mixed growth, this sign indicates that one particular strain of organism is becoming predominant and increases the likelihood of invasive infection.</w:t>
      </w:r>
      <w:r w:rsidRPr="00FF70EF">
        <w:rPr>
          <w:rFonts w:ascii="Arial" w:hAnsi="Arial" w:cs="Arial"/>
          <w:noProof/>
          <w:vertAlign w:val="superscript"/>
        </w:rPr>
        <w:t>48</w:t>
      </w:r>
      <w:r w:rsidRPr="00297A95">
        <w:rPr>
          <w:rFonts w:ascii="Arial" w:hAnsi="Arial" w:cs="Arial"/>
        </w:rPr>
        <w:t xml:space="preserve"> </w:t>
      </w:r>
      <w:r>
        <w:rPr>
          <w:rFonts w:ascii="Arial" w:hAnsi="Arial" w:cs="Arial"/>
        </w:rPr>
        <w:t>Consider activation of HSV in eroded or vesicular areas which are slow to heal, particularly in genital and oral sites.</w:t>
      </w:r>
    </w:p>
    <w:p w:rsidR="00BD084C" w:rsidRPr="00297A95" w:rsidRDefault="00BD084C" w:rsidP="0085034D">
      <w:pPr>
        <w:pStyle w:val="NoSpacing"/>
        <w:spacing w:line="276" w:lineRule="auto"/>
        <w:ind w:left="360"/>
        <w:jc w:val="both"/>
        <w:rPr>
          <w:rFonts w:ascii="Arial" w:hAnsi="Arial" w:cs="Arial"/>
        </w:rPr>
      </w:pPr>
    </w:p>
    <w:p w:rsidR="00BD084C" w:rsidRDefault="00BD084C" w:rsidP="0085034D">
      <w:pPr>
        <w:pStyle w:val="NoSpacing"/>
        <w:spacing w:line="276" w:lineRule="auto"/>
        <w:jc w:val="both"/>
        <w:rPr>
          <w:rFonts w:ascii="Arial" w:hAnsi="Arial" w:cs="Arial"/>
          <w:b/>
        </w:rPr>
      </w:pPr>
      <w:r w:rsidRPr="00297A95">
        <w:rPr>
          <w:rFonts w:ascii="Arial" w:hAnsi="Arial" w:cs="Arial"/>
          <w:b/>
        </w:rPr>
        <w:t>Recommendation</w:t>
      </w:r>
      <w:r>
        <w:rPr>
          <w:rFonts w:ascii="Arial" w:hAnsi="Arial" w:cs="Arial"/>
          <w:b/>
        </w:rPr>
        <w:t>s</w:t>
      </w:r>
      <w:r w:rsidRPr="00297A95">
        <w:rPr>
          <w:rFonts w:ascii="Arial" w:hAnsi="Arial" w:cs="Arial"/>
          <w:b/>
        </w:rPr>
        <w:t xml:space="preserve">: </w:t>
      </w:r>
      <w:r w:rsidRPr="00297A95">
        <w:rPr>
          <w:rFonts w:ascii="Arial" w:hAnsi="Arial" w:cs="Arial"/>
          <w:b/>
          <w:i/>
        </w:rPr>
        <w:t>(Strength of recommendation D (GPP); level of evidence 4</w:t>
      </w:r>
      <w:r w:rsidRPr="00297A95">
        <w:rPr>
          <w:rFonts w:ascii="Arial" w:hAnsi="Arial" w:cs="Arial"/>
          <w:b/>
        </w:rPr>
        <w:t>)</w:t>
      </w:r>
    </w:p>
    <w:p w:rsidR="00BD084C" w:rsidRDefault="00BD084C" w:rsidP="0085034D">
      <w:pPr>
        <w:pStyle w:val="NoSpacing"/>
        <w:spacing w:line="276" w:lineRule="auto"/>
        <w:jc w:val="both"/>
        <w:rPr>
          <w:rFonts w:ascii="Arial" w:hAnsi="Arial" w:cs="Arial"/>
          <w:b/>
        </w:rPr>
      </w:pPr>
    </w:p>
    <w:p w:rsidR="00BD084C" w:rsidRPr="00297A95" w:rsidRDefault="00BD084C" w:rsidP="0085034D">
      <w:pPr>
        <w:pStyle w:val="NoSpacing"/>
        <w:spacing w:line="276" w:lineRule="auto"/>
        <w:jc w:val="both"/>
        <w:rPr>
          <w:rFonts w:ascii="Arial" w:hAnsi="Arial" w:cs="Arial"/>
          <w:b/>
        </w:rPr>
      </w:pPr>
      <w:r>
        <w:rPr>
          <w:rFonts w:ascii="Arial" w:hAnsi="Arial" w:cs="Arial"/>
          <w:b/>
        </w:rPr>
        <w:t>General principles applicable to all patients with SJS/TEN and in all settings:</w:t>
      </w:r>
    </w:p>
    <w:p w:rsidR="00BD084C" w:rsidRDefault="00BD084C" w:rsidP="00BD084C">
      <w:pPr>
        <w:numPr>
          <w:ilvl w:val="0"/>
          <w:numId w:val="39"/>
        </w:numPr>
        <w:autoSpaceDE w:val="0"/>
        <w:autoSpaceDN w:val="0"/>
        <w:adjustRightInd w:val="0"/>
        <w:spacing w:after="0"/>
        <w:ind w:left="714" w:hanging="357"/>
        <w:jc w:val="both"/>
        <w:rPr>
          <w:rFonts w:ascii="Arial" w:hAnsi="Arial" w:cs="Arial"/>
        </w:rPr>
      </w:pPr>
      <w:r w:rsidRPr="00F62959">
        <w:rPr>
          <w:rFonts w:ascii="Arial" w:hAnsi="Arial" w:cs="Arial"/>
        </w:rPr>
        <w:t>Employ strict barrier nursing to reduce nosocomial infections.</w:t>
      </w:r>
    </w:p>
    <w:p w:rsidR="00BD084C" w:rsidRPr="00F62959" w:rsidRDefault="00BD084C" w:rsidP="0085034D">
      <w:pPr>
        <w:autoSpaceDE w:val="0"/>
        <w:autoSpaceDN w:val="0"/>
        <w:adjustRightInd w:val="0"/>
        <w:spacing w:after="0"/>
        <w:ind w:left="714"/>
        <w:jc w:val="both"/>
        <w:rPr>
          <w:rFonts w:ascii="Arial" w:hAnsi="Arial" w:cs="Arial"/>
        </w:rPr>
      </w:pPr>
    </w:p>
    <w:p w:rsidR="00BD084C" w:rsidRDefault="00BD084C" w:rsidP="00BD084C">
      <w:pPr>
        <w:numPr>
          <w:ilvl w:val="0"/>
          <w:numId w:val="39"/>
        </w:numPr>
        <w:autoSpaceDE w:val="0"/>
        <w:autoSpaceDN w:val="0"/>
        <w:adjustRightInd w:val="0"/>
        <w:spacing w:after="0"/>
        <w:ind w:left="714" w:hanging="357"/>
        <w:jc w:val="both"/>
        <w:rPr>
          <w:rFonts w:ascii="Arial" w:hAnsi="Arial" w:cs="Arial"/>
        </w:rPr>
      </w:pPr>
      <w:r w:rsidRPr="00F62959">
        <w:rPr>
          <w:rFonts w:ascii="Arial" w:hAnsi="Arial" w:cs="Arial"/>
        </w:rPr>
        <w:t xml:space="preserve">Careful handling of the patient’s skin and reduction of shearing forces will lessen the extent of epidermal detachment. </w:t>
      </w:r>
    </w:p>
    <w:p w:rsidR="00BD084C" w:rsidRPr="00F62959" w:rsidRDefault="00BD084C" w:rsidP="0085034D">
      <w:pPr>
        <w:autoSpaceDE w:val="0"/>
        <w:autoSpaceDN w:val="0"/>
        <w:adjustRightInd w:val="0"/>
        <w:spacing w:after="0"/>
        <w:ind w:left="714"/>
        <w:jc w:val="both"/>
        <w:rPr>
          <w:rFonts w:ascii="Arial" w:hAnsi="Arial" w:cs="Arial"/>
        </w:rPr>
      </w:pPr>
    </w:p>
    <w:p w:rsidR="00BD084C" w:rsidRDefault="00BD084C" w:rsidP="00BD084C">
      <w:pPr>
        <w:numPr>
          <w:ilvl w:val="0"/>
          <w:numId w:val="39"/>
        </w:numPr>
        <w:autoSpaceDE w:val="0"/>
        <w:autoSpaceDN w:val="0"/>
        <w:adjustRightInd w:val="0"/>
        <w:spacing w:after="0"/>
        <w:ind w:left="714" w:hanging="357"/>
        <w:jc w:val="both"/>
        <w:rPr>
          <w:rFonts w:ascii="Arial" w:hAnsi="Arial" w:cs="Arial"/>
        </w:rPr>
      </w:pPr>
      <w:r w:rsidRPr="00F62959">
        <w:rPr>
          <w:rFonts w:ascii="Arial" w:hAnsi="Arial" w:cs="Arial"/>
        </w:rPr>
        <w:t>Limit epidermal trauma by avoiding the use of sphygmomanometer cuffs, adhesive ECG leads, adhesive dressings, identification wrist tags.</w:t>
      </w:r>
    </w:p>
    <w:p w:rsidR="00BD084C" w:rsidRPr="00F62959" w:rsidRDefault="00BD084C" w:rsidP="0085034D">
      <w:pPr>
        <w:autoSpaceDE w:val="0"/>
        <w:autoSpaceDN w:val="0"/>
        <w:adjustRightInd w:val="0"/>
        <w:spacing w:after="0"/>
        <w:ind w:left="714"/>
        <w:jc w:val="both"/>
        <w:rPr>
          <w:rFonts w:ascii="Arial" w:hAnsi="Arial" w:cs="Arial"/>
        </w:rPr>
      </w:pPr>
    </w:p>
    <w:p w:rsidR="00BD084C" w:rsidRDefault="00BD084C" w:rsidP="00BD084C">
      <w:pPr>
        <w:pStyle w:val="NoSpacing"/>
        <w:numPr>
          <w:ilvl w:val="0"/>
          <w:numId w:val="39"/>
        </w:numPr>
        <w:spacing w:line="276" w:lineRule="auto"/>
        <w:ind w:left="714" w:hanging="357"/>
        <w:jc w:val="both"/>
        <w:rPr>
          <w:rFonts w:ascii="Arial" w:hAnsi="Arial" w:cs="Arial"/>
        </w:rPr>
      </w:pPr>
      <w:r w:rsidRPr="004C0172">
        <w:rPr>
          <w:rFonts w:ascii="Arial" w:hAnsi="Arial" w:cs="Arial"/>
        </w:rPr>
        <w:t xml:space="preserve">Take swabs for bacterial and </w:t>
      </w:r>
      <w:proofErr w:type="spellStart"/>
      <w:r w:rsidRPr="004C0172">
        <w:rPr>
          <w:rFonts w:ascii="Arial" w:hAnsi="Arial" w:cs="Arial"/>
        </w:rPr>
        <w:t>candida</w:t>
      </w:r>
      <w:r>
        <w:rPr>
          <w:rFonts w:ascii="Arial" w:hAnsi="Arial" w:cs="Arial"/>
        </w:rPr>
        <w:t>l</w:t>
      </w:r>
      <w:proofErr w:type="spellEnd"/>
      <w:r w:rsidRPr="004C0172">
        <w:rPr>
          <w:rFonts w:ascii="Arial" w:hAnsi="Arial" w:cs="Arial"/>
        </w:rPr>
        <w:t xml:space="preserve"> culture from three areas of </w:t>
      </w:r>
      <w:proofErr w:type="spellStart"/>
      <w:r w:rsidRPr="004C0172">
        <w:rPr>
          <w:rFonts w:ascii="Arial" w:hAnsi="Arial" w:cs="Arial"/>
        </w:rPr>
        <w:t>lesional</w:t>
      </w:r>
      <w:proofErr w:type="spellEnd"/>
      <w:r w:rsidRPr="004C0172">
        <w:rPr>
          <w:rFonts w:ascii="Arial" w:hAnsi="Arial" w:cs="Arial"/>
        </w:rPr>
        <w:t xml:space="preserve"> skin, particularly sloughy or crusted areas, on alternate days throughout the acute phase of SJS/TEN. </w:t>
      </w:r>
    </w:p>
    <w:p w:rsidR="00BD084C" w:rsidRDefault="00BD084C" w:rsidP="0085034D">
      <w:pPr>
        <w:pStyle w:val="NoSpacing"/>
        <w:spacing w:line="276" w:lineRule="auto"/>
        <w:ind w:left="714"/>
        <w:jc w:val="both"/>
        <w:rPr>
          <w:rFonts w:ascii="Arial" w:hAnsi="Arial" w:cs="Arial"/>
        </w:rPr>
      </w:pPr>
    </w:p>
    <w:p w:rsidR="00BD084C" w:rsidRDefault="00BD084C" w:rsidP="00BD084C">
      <w:pPr>
        <w:pStyle w:val="NoSpacing"/>
        <w:numPr>
          <w:ilvl w:val="0"/>
          <w:numId w:val="39"/>
        </w:numPr>
        <w:spacing w:line="276" w:lineRule="auto"/>
        <w:ind w:left="714" w:hanging="357"/>
        <w:jc w:val="both"/>
        <w:rPr>
          <w:rFonts w:ascii="Arial" w:hAnsi="Arial" w:cs="Arial"/>
        </w:rPr>
      </w:pPr>
      <w:r>
        <w:rPr>
          <w:rFonts w:ascii="Arial" w:hAnsi="Arial" w:cs="Arial"/>
        </w:rPr>
        <w:t>Take v</w:t>
      </w:r>
      <w:r w:rsidRPr="004C0172">
        <w:rPr>
          <w:rFonts w:ascii="Arial" w:hAnsi="Arial" w:cs="Arial"/>
        </w:rPr>
        <w:t xml:space="preserve">iral swabs if herpes virus infection is suspected. </w:t>
      </w:r>
    </w:p>
    <w:p w:rsidR="00BD084C" w:rsidRPr="004C0172" w:rsidRDefault="00BD084C" w:rsidP="0085034D">
      <w:pPr>
        <w:pStyle w:val="NoSpacing"/>
        <w:spacing w:line="276" w:lineRule="auto"/>
        <w:ind w:left="714"/>
        <w:jc w:val="both"/>
        <w:rPr>
          <w:rFonts w:ascii="Arial" w:hAnsi="Arial" w:cs="Arial"/>
        </w:rPr>
      </w:pPr>
    </w:p>
    <w:p w:rsidR="00BD084C" w:rsidRPr="00F62959" w:rsidRDefault="00BD084C" w:rsidP="00BD084C">
      <w:pPr>
        <w:pStyle w:val="NoSpacing"/>
        <w:numPr>
          <w:ilvl w:val="0"/>
          <w:numId w:val="39"/>
        </w:numPr>
        <w:autoSpaceDE w:val="0"/>
        <w:autoSpaceDN w:val="0"/>
        <w:adjustRightInd w:val="0"/>
        <w:spacing w:line="276" w:lineRule="auto"/>
        <w:ind w:left="714" w:hanging="357"/>
        <w:jc w:val="both"/>
        <w:rPr>
          <w:rFonts w:ascii="Arial" w:hAnsi="Arial" w:cs="Arial"/>
          <w:i/>
          <w:iCs/>
        </w:rPr>
      </w:pPr>
      <w:r w:rsidRPr="003D5D5C">
        <w:rPr>
          <w:rFonts w:ascii="Arial" w:hAnsi="Arial" w:cs="Arial"/>
        </w:rPr>
        <w:t>Administer systemic antibiotics only if there are clinical signs of infection. The choice of systemic antibiotic should be guided by local microbiological advice.</w:t>
      </w:r>
    </w:p>
    <w:p w:rsidR="00BD084C" w:rsidRPr="003D5D5C" w:rsidRDefault="00BD084C" w:rsidP="0085034D">
      <w:pPr>
        <w:pStyle w:val="NoSpacing"/>
        <w:autoSpaceDE w:val="0"/>
        <w:autoSpaceDN w:val="0"/>
        <w:adjustRightInd w:val="0"/>
        <w:spacing w:line="276" w:lineRule="auto"/>
        <w:ind w:left="714"/>
        <w:jc w:val="both"/>
        <w:rPr>
          <w:rFonts w:ascii="Arial" w:hAnsi="Arial" w:cs="Arial"/>
          <w:i/>
          <w:iCs/>
        </w:rPr>
      </w:pPr>
    </w:p>
    <w:p w:rsidR="00BD084C" w:rsidRPr="00F62959" w:rsidRDefault="00BD084C" w:rsidP="00BD084C">
      <w:pPr>
        <w:numPr>
          <w:ilvl w:val="0"/>
          <w:numId w:val="39"/>
        </w:numPr>
        <w:autoSpaceDE w:val="0"/>
        <w:autoSpaceDN w:val="0"/>
        <w:adjustRightInd w:val="0"/>
        <w:spacing w:after="0"/>
        <w:ind w:left="714" w:hanging="357"/>
        <w:jc w:val="both"/>
        <w:rPr>
          <w:rFonts w:ascii="Arial" w:hAnsi="Arial" w:cs="Arial"/>
          <w:i/>
          <w:iCs/>
        </w:rPr>
      </w:pPr>
      <w:r w:rsidRPr="00E43B3A">
        <w:rPr>
          <w:rFonts w:ascii="Arial" w:hAnsi="Arial" w:cs="Arial"/>
        </w:rPr>
        <w:t>In patients with diarrhoea who are immobile consider a faecal management system to prevent faecal soiling of wounds.</w:t>
      </w:r>
    </w:p>
    <w:p w:rsidR="00BD084C" w:rsidRPr="00E43B3A" w:rsidRDefault="00BD084C" w:rsidP="0085034D">
      <w:pPr>
        <w:autoSpaceDE w:val="0"/>
        <w:autoSpaceDN w:val="0"/>
        <w:adjustRightInd w:val="0"/>
        <w:spacing w:after="0"/>
        <w:ind w:left="714"/>
        <w:jc w:val="both"/>
        <w:rPr>
          <w:rFonts w:ascii="Arial" w:hAnsi="Arial" w:cs="Arial"/>
          <w:i/>
          <w:iCs/>
        </w:rPr>
      </w:pPr>
    </w:p>
    <w:p w:rsidR="00BD084C" w:rsidRPr="00E43B3A" w:rsidRDefault="00BD084C" w:rsidP="00BD084C">
      <w:pPr>
        <w:numPr>
          <w:ilvl w:val="0"/>
          <w:numId w:val="39"/>
        </w:numPr>
        <w:spacing w:after="0"/>
        <w:ind w:left="714" w:hanging="357"/>
        <w:jc w:val="both"/>
        <w:rPr>
          <w:rFonts w:ascii="Arial" w:hAnsi="Arial" w:cs="Arial"/>
        </w:rPr>
      </w:pPr>
      <w:r>
        <w:rPr>
          <w:rFonts w:ascii="Arial" w:hAnsi="Arial" w:cs="Arial"/>
        </w:rPr>
        <w:lastRenderedPageBreak/>
        <w:t>Pay s</w:t>
      </w:r>
      <w:r w:rsidRPr="00E43B3A">
        <w:rPr>
          <w:rFonts w:ascii="Arial" w:hAnsi="Arial" w:cs="Arial"/>
        </w:rPr>
        <w:t>trict attention to background and procedural pain / sedation requirements.</w:t>
      </w:r>
    </w:p>
    <w:p w:rsidR="00BD084C" w:rsidRDefault="00BD084C" w:rsidP="0085034D">
      <w:pPr>
        <w:autoSpaceDE w:val="0"/>
        <w:autoSpaceDN w:val="0"/>
        <w:adjustRightInd w:val="0"/>
        <w:spacing w:after="0" w:line="240" w:lineRule="auto"/>
        <w:jc w:val="both"/>
        <w:rPr>
          <w:rFonts w:ascii="Arial" w:hAnsi="Arial" w:cs="Arial"/>
        </w:rPr>
      </w:pPr>
    </w:p>
    <w:p w:rsidR="00BD084C" w:rsidRDefault="00BD084C" w:rsidP="0085034D">
      <w:pPr>
        <w:autoSpaceDE w:val="0"/>
        <w:autoSpaceDN w:val="0"/>
        <w:adjustRightInd w:val="0"/>
        <w:spacing w:after="0" w:line="240" w:lineRule="auto"/>
        <w:rPr>
          <w:rFonts w:ascii="Arial" w:hAnsi="Arial" w:cs="Arial"/>
        </w:rPr>
      </w:pPr>
    </w:p>
    <w:p w:rsidR="00BD084C" w:rsidRDefault="00BD084C" w:rsidP="0085034D">
      <w:pPr>
        <w:autoSpaceDE w:val="0"/>
        <w:autoSpaceDN w:val="0"/>
        <w:adjustRightInd w:val="0"/>
        <w:spacing w:after="0" w:line="240" w:lineRule="auto"/>
        <w:rPr>
          <w:rFonts w:ascii="Arial" w:hAnsi="Arial" w:cs="Arial"/>
        </w:rPr>
      </w:pPr>
      <w:r>
        <w:rPr>
          <w:rFonts w:ascii="Arial" w:hAnsi="Arial" w:cs="Arial"/>
          <w:b/>
        </w:rPr>
        <w:t>Specific measures to manage necrotic and /or denuded areas of skin</w:t>
      </w:r>
      <w:r w:rsidRPr="00F62959">
        <w:rPr>
          <w:rFonts w:ascii="Arial" w:hAnsi="Arial" w:cs="Arial"/>
        </w:rPr>
        <w:t xml:space="preserve"> </w:t>
      </w:r>
    </w:p>
    <w:p w:rsidR="00BD084C" w:rsidRDefault="00BD084C" w:rsidP="0085034D">
      <w:pPr>
        <w:autoSpaceDE w:val="0"/>
        <w:autoSpaceDN w:val="0"/>
        <w:adjustRightInd w:val="0"/>
        <w:spacing w:after="0" w:line="240" w:lineRule="auto"/>
        <w:rPr>
          <w:rFonts w:ascii="Arial" w:hAnsi="Arial" w:cs="Arial"/>
        </w:rPr>
      </w:pPr>
    </w:p>
    <w:p w:rsidR="00BD084C" w:rsidRPr="00F62959" w:rsidRDefault="00BD084C" w:rsidP="0085034D">
      <w:pPr>
        <w:pStyle w:val="ListParagraph"/>
        <w:autoSpaceDE w:val="0"/>
        <w:autoSpaceDN w:val="0"/>
        <w:adjustRightInd w:val="0"/>
        <w:spacing w:after="0"/>
        <w:ind w:left="0"/>
        <w:jc w:val="both"/>
        <w:rPr>
          <w:rFonts w:ascii="Arial" w:hAnsi="Arial" w:cs="Arial"/>
          <w:b/>
        </w:rPr>
      </w:pPr>
      <w:r w:rsidRPr="00F62959">
        <w:rPr>
          <w:rFonts w:ascii="Arial" w:hAnsi="Arial" w:cs="Arial"/>
        </w:rPr>
        <w:t xml:space="preserve">Skin management may involve a conservative and/or surgical approach based on the specialist multi-disciplinary team’s daily review of the individual needs of the patient </w:t>
      </w:r>
    </w:p>
    <w:p w:rsidR="00BD084C" w:rsidRDefault="00BD084C" w:rsidP="0085034D">
      <w:pPr>
        <w:autoSpaceDE w:val="0"/>
        <w:autoSpaceDN w:val="0"/>
        <w:adjustRightInd w:val="0"/>
        <w:spacing w:after="0"/>
        <w:jc w:val="both"/>
        <w:rPr>
          <w:rFonts w:ascii="Arial" w:hAnsi="Arial" w:cs="Arial"/>
          <w:b/>
        </w:rPr>
      </w:pPr>
    </w:p>
    <w:p w:rsidR="00BD084C" w:rsidRPr="00F62959" w:rsidRDefault="00BD084C" w:rsidP="0085034D">
      <w:pPr>
        <w:pStyle w:val="ListParagraph"/>
        <w:autoSpaceDE w:val="0"/>
        <w:autoSpaceDN w:val="0"/>
        <w:adjustRightInd w:val="0"/>
        <w:spacing w:after="0"/>
        <w:ind w:left="0"/>
        <w:jc w:val="both"/>
        <w:rPr>
          <w:rFonts w:ascii="Arial" w:hAnsi="Arial" w:cs="Arial"/>
        </w:rPr>
      </w:pPr>
      <w:r w:rsidRPr="00F62959">
        <w:rPr>
          <w:rFonts w:ascii="Arial" w:hAnsi="Arial" w:cs="Arial"/>
        </w:rPr>
        <w:t>Institute a conservative approach in all patients as follows:</w:t>
      </w:r>
    </w:p>
    <w:p w:rsidR="00BD084C" w:rsidRDefault="00BD084C" w:rsidP="0085034D">
      <w:pPr>
        <w:autoSpaceDE w:val="0"/>
        <w:autoSpaceDN w:val="0"/>
        <w:adjustRightInd w:val="0"/>
        <w:spacing w:after="0"/>
        <w:jc w:val="both"/>
        <w:rPr>
          <w:rFonts w:ascii="Arial" w:hAnsi="Arial" w:cs="Arial"/>
        </w:rPr>
      </w:pPr>
    </w:p>
    <w:p w:rsidR="00BD084C" w:rsidRDefault="00BD084C" w:rsidP="00BD084C">
      <w:pPr>
        <w:numPr>
          <w:ilvl w:val="0"/>
          <w:numId w:val="40"/>
        </w:numPr>
        <w:autoSpaceDE w:val="0"/>
        <w:autoSpaceDN w:val="0"/>
        <w:adjustRightInd w:val="0"/>
        <w:spacing w:after="0"/>
        <w:jc w:val="both"/>
        <w:rPr>
          <w:rFonts w:ascii="Arial" w:hAnsi="Arial" w:cs="Arial"/>
        </w:rPr>
      </w:pPr>
      <w:r w:rsidRPr="00F62959">
        <w:rPr>
          <w:rFonts w:ascii="Arial" w:hAnsi="Arial" w:cs="Arial"/>
        </w:rPr>
        <w:t>Regularly cleanse wounds and intact skin by irrigating gently using warmed sterile water or saline or an antimicrobial such as chlorhexidine (1/5000).</w:t>
      </w:r>
    </w:p>
    <w:p w:rsidR="00BD084C" w:rsidRPr="00F62959" w:rsidRDefault="00BD084C" w:rsidP="0085034D">
      <w:pPr>
        <w:autoSpaceDE w:val="0"/>
        <w:autoSpaceDN w:val="0"/>
        <w:adjustRightInd w:val="0"/>
        <w:spacing w:after="0"/>
        <w:ind w:left="720"/>
        <w:jc w:val="both"/>
        <w:rPr>
          <w:rFonts w:ascii="Arial" w:hAnsi="Arial" w:cs="Arial"/>
        </w:rPr>
      </w:pPr>
    </w:p>
    <w:p w:rsidR="00BD084C" w:rsidRDefault="00BD084C" w:rsidP="00BD084C">
      <w:pPr>
        <w:numPr>
          <w:ilvl w:val="0"/>
          <w:numId w:val="40"/>
        </w:numPr>
        <w:autoSpaceDE w:val="0"/>
        <w:autoSpaceDN w:val="0"/>
        <w:adjustRightInd w:val="0"/>
        <w:spacing w:after="0"/>
        <w:jc w:val="both"/>
        <w:rPr>
          <w:rFonts w:ascii="Arial" w:hAnsi="Arial" w:cs="Arial"/>
        </w:rPr>
      </w:pPr>
      <w:r w:rsidRPr="00F62959">
        <w:rPr>
          <w:rFonts w:ascii="Arial" w:hAnsi="Arial" w:cs="Arial"/>
        </w:rPr>
        <w:t>Apply a greasy emollient, such as 50% white soft paraffin with 50% liquid paraffin (50/50 WSP/LP), over the whole epidermis, including denuded areas; consider using aerosolized formulations to minimize shearing forces associated with topical applications. Avoid preparations containing sensitizers or irritants.</w:t>
      </w:r>
    </w:p>
    <w:p w:rsidR="00BD084C" w:rsidRPr="00F62959" w:rsidRDefault="00BD084C" w:rsidP="0085034D">
      <w:pPr>
        <w:autoSpaceDE w:val="0"/>
        <w:autoSpaceDN w:val="0"/>
        <w:adjustRightInd w:val="0"/>
        <w:spacing w:after="0"/>
        <w:ind w:left="720"/>
        <w:jc w:val="both"/>
        <w:rPr>
          <w:rFonts w:ascii="Arial" w:hAnsi="Arial" w:cs="Arial"/>
        </w:rPr>
      </w:pPr>
    </w:p>
    <w:p w:rsidR="00BD084C" w:rsidRDefault="00BD084C" w:rsidP="00BD084C">
      <w:pPr>
        <w:pStyle w:val="NoSpacing"/>
        <w:numPr>
          <w:ilvl w:val="0"/>
          <w:numId w:val="40"/>
        </w:numPr>
        <w:spacing w:line="276" w:lineRule="auto"/>
        <w:jc w:val="both"/>
        <w:rPr>
          <w:rFonts w:ascii="Arial" w:hAnsi="Arial" w:cs="Arial"/>
        </w:rPr>
      </w:pPr>
      <w:r w:rsidRPr="00F62959">
        <w:rPr>
          <w:rFonts w:ascii="Arial" w:hAnsi="Arial" w:cs="Arial"/>
        </w:rPr>
        <w:t>Apply a topical antimicrobial agent to sloughy areas only. The choice of topical antibiotic should be guided by local microbiological advice. Consider Ag-containing products/dressings</w:t>
      </w:r>
      <w:r>
        <w:rPr>
          <w:rFonts w:ascii="Arial" w:hAnsi="Arial" w:cs="Arial"/>
        </w:rPr>
        <w:t xml:space="preserve"> (use of Ag-containing products should be limited if extensive areas are being treated due to risk of absorption)</w:t>
      </w:r>
      <w:r w:rsidRPr="00F62959">
        <w:rPr>
          <w:rFonts w:ascii="Arial" w:hAnsi="Arial" w:cs="Arial"/>
        </w:rPr>
        <w:t>.</w:t>
      </w:r>
    </w:p>
    <w:p w:rsidR="00BD084C" w:rsidRPr="00F62959" w:rsidRDefault="00BD084C" w:rsidP="0085034D">
      <w:pPr>
        <w:pStyle w:val="NoSpacing"/>
        <w:spacing w:line="276" w:lineRule="auto"/>
        <w:ind w:left="720"/>
        <w:jc w:val="both"/>
        <w:rPr>
          <w:rFonts w:ascii="Arial" w:hAnsi="Arial" w:cs="Arial"/>
        </w:rPr>
      </w:pPr>
    </w:p>
    <w:p w:rsidR="00BD084C" w:rsidRPr="00F62959" w:rsidRDefault="00BD084C" w:rsidP="00BD084C">
      <w:pPr>
        <w:pStyle w:val="NoSpacing"/>
        <w:numPr>
          <w:ilvl w:val="0"/>
          <w:numId w:val="40"/>
        </w:numPr>
        <w:autoSpaceDE w:val="0"/>
        <w:autoSpaceDN w:val="0"/>
        <w:adjustRightInd w:val="0"/>
        <w:spacing w:line="276" w:lineRule="auto"/>
        <w:jc w:val="both"/>
        <w:rPr>
          <w:rFonts w:ascii="Arial" w:hAnsi="Arial" w:cs="Arial"/>
          <w:i/>
          <w:iCs/>
        </w:rPr>
      </w:pPr>
      <w:r w:rsidRPr="00F62959">
        <w:rPr>
          <w:rFonts w:ascii="Arial" w:hAnsi="Arial" w:cs="Arial"/>
        </w:rPr>
        <w:t xml:space="preserve">The detached, </w:t>
      </w:r>
      <w:proofErr w:type="spellStart"/>
      <w:r w:rsidRPr="00F62959">
        <w:rPr>
          <w:rFonts w:ascii="Arial" w:hAnsi="Arial" w:cs="Arial"/>
        </w:rPr>
        <w:t>lesional</w:t>
      </w:r>
      <w:proofErr w:type="spellEnd"/>
      <w:r w:rsidRPr="00F62959">
        <w:rPr>
          <w:rFonts w:ascii="Arial" w:hAnsi="Arial" w:cs="Arial"/>
        </w:rPr>
        <w:t xml:space="preserve"> epidermis may be left </w:t>
      </w:r>
      <w:r w:rsidRPr="00F62959">
        <w:rPr>
          <w:rFonts w:ascii="Arial" w:hAnsi="Arial" w:cs="Arial"/>
          <w:i/>
          <w:iCs/>
        </w:rPr>
        <w:t xml:space="preserve">in situ </w:t>
      </w:r>
      <w:r w:rsidRPr="00F62959">
        <w:rPr>
          <w:rFonts w:ascii="Arial" w:hAnsi="Arial" w:cs="Arial"/>
        </w:rPr>
        <w:t>to act as a biological dressing. Blisters should be</w:t>
      </w:r>
      <w:r w:rsidRPr="00F62959">
        <w:rPr>
          <w:rFonts w:ascii="Arial" w:hAnsi="Arial" w:cs="Arial"/>
          <w:i/>
          <w:iCs/>
        </w:rPr>
        <w:t xml:space="preserve"> </w:t>
      </w:r>
      <w:r w:rsidRPr="00F62959">
        <w:rPr>
          <w:rFonts w:ascii="Arial" w:hAnsi="Arial" w:cs="Arial"/>
        </w:rPr>
        <w:t>decompressed by piercing and expression or aspiration of tissue fluid.</w:t>
      </w:r>
    </w:p>
    <w:p w:rsidR="00BD084C" w:rsidRPr="00F62959" w:rsidRDefault="00BD084C" w:rsidP="0085034D">
      <w:pPr>
        <w:pStyle w:val="NoSpacing"/>
        <w:autoSpaceDE w:val="0"/>
        <w:autoSpaceDN w:val="0"/>
        <w:adjustRightInd w:val="0"/>
        <w:spacing w:line="276" w:lineRule="auto"/>
        <w:ind w:left="720"/>
        <w:jc w:val="both"/>
        <w:rPr>
          <w:rFonts w:ascii="Arial" w:hAnsi="Arial" w:cs="Arial"/>
          <w:i/>
          <w:iCs/>
        </w:rPr>
      </w:pPr>
    </w:p>
    <w:p w:rsidR="00BD084C" w:rsidRDefault="00BD084C" w:rsidP="00BD084C">
      <w:pPr>
        <w:pStyle w:val="PlainText"/>
        <w:numPr>
          <w:ilvl w:val="0"/>
          <w:numId w:val="40"/>
        </w:numPr>
        <w:spacing w:line="276" w:lineRule="auto"/>
        <w:jc w:val="both"/>
        <w:rPr>
          <w:sz w:val="22"/>
          <w:szCs w:val="22"/>
        </w:rPr>
      </w:pPr>
      <w:r w:rsidRPr="00F62959">
        <w:rPr>
          <w:rFonts w:ascii="Arial" w:hAnsi="Arial" w:cs="Arial"/>
          <w:sz w:val="22"/>
          <w:szCs w:val="22"/>
        </w:rPr>
        <w:t>Apply non</w:t>
      </w:r>
      <w:r>
        <w:rPr>
          <w:rFonts w:ascii="Arial" w:hAnsi="Arial" w:cs="Arial"/>
          <w:sz w:val="22"/>
          <w:szCs w:val="22"/>
        </w:rPr>
        <w:t>-</w:t>
      </w:r>
      <w:r w:rsidRPr="00F62959">
        <w:rPr>
          <w:rFonts w:ascii="Arial" w:hAnsi="Arial" w:cs="Arial"/>
          <w:sz w:val="22"/>
          <w:szCs w:val="22"/>
        </w:rPr>
        <w:t xml:space="preserve">adherent dressings to denuded dermis </w:t>
      </w:r>
      <w:r>
        <w:rPr>
          <w:rFonts w:ascii="Arial" w:hAnsi="Arial" w:cs="Arial"/>
          <w:sz w:val="22"/>
          <w:szCs w:val="22"/>
        </w:rPr>
        <w:t>(suitable dressings include</w:t>
      </w:r>
      <w:r w:rsidRPr="00F62959">
        <w:rPr>
          <w:rFonts w:ascii="Arial" w:hAnsi="Arial" w:cs="Arial"/>
          <w:sz w:val="22"/>
          <w:szCs w:val="22"/>
        </w:rPr>
        <w:t xml:space="preserve"> </w:t>
      </w:r>
      <w:proofErr w:type="spellStart"/>
      <w:r w:rsidRPr="00F62959">
        <w:rPr>
          <w:rFonts w:ascii="Arial" w:hAnsi="Arial" w:cs="Arial"/>
          <w:sz w:val="22"/>
          <w:szCs w:val="22"/>
        </w:rPr>
        <w:t>Mepitel</w:t>
      </w:r>
      <w:proofErr w:type="spellEnd"/>
      <w:r w:rsidRPr="00F62959">
        <w:rPr>
          <w:rFonts w:ascii="Arial" w:hAnsi="Arial" w:cs="Arial"/>
          <w:sz w:val="22"/>
          <w:szCs w:val="22"/>
        </w:rPr>
        <w:t xml:space="preserve">™ or </w:t>
      </w:r>
      <w:proofErr w:type="spellStart"/>
      <w:r w:rsidRPr="00F62959">
        <w:rPr>
          <w:rFonts w:ascii="Arial" w:hAnsi="Arial" w:cs="Arial"/>
          <w:sz w:val="22"/>
          <w:szCs w:val="22"/>
        </w:rPr>
        <w:t>Telfa</w:t>
      </w:r>
      <w:proofErr w:type="spellEnd"/>
      <w:r w:rsidRPr="00F62959">
        <w:rPr>
          <w:rFonts w:ascii="Arial" w:hAnsi="Arial" w:cs="Arial"/>
          <w:sz w:val="22"/>
          <w:szCs w:val="22"/>
        </w:rPr>
        <w:t>™</w:t>
      </w:r>
      <w:r>
        <w:rPr>
          <w:rFonts w:ascii="Arial" w:hAnsi="Arial" w:cs="Arial"/>
          <w:sz w:val="22"/>
          <w:szCs w:val="22"/>
        </w:rPr>
        <w:t>)</w:t>
      </w:r>
      <w:r w:rsidRPr="00F62959">
        <w:rPr>
          <w:rFonts w:ascii="Arial" w:hAnsi="Arial" w:cs="Arial"/>
          <w:sz w:val="22"/>
          <w:szCs w:val="22"/>
        </w:rPr>
        <w:t>.</w:t>
      </w:r>
      <w:r w:rsidRPr="00F62959">
        <w:rPr>
          <w:sz w:val="22"/>
          <w:szCs w:val="22"/>
        </w:rPr>
        <w:t xml:space="preserve"> </w:t>
      </w:r>
    </w:p>
    <w:p w:rsidR="00BD084C" w:rsidRPr="00F62959" w:rsidRDefault="00BD084C" w:rsidP="0085034D">
      <w:pPr>
        <w:pStyle w:val="PlainText"/>
        <w:spacing w:line="276" w:lineRule="auto"/>
        <w:ind w:left="720"/>
        <w:jc w:val="both"/>
        <w:rPr>
          <w:sz w:val="22"/>
          <w:szCs w:val="22"/>
        </w:rPr>
      </w:pPr>
    </w:p>
    <w:p w:rsidR="00BD084C" w:rsidRPr="00F62959" w:rsidRDefault="00BD084C" w:rsidP="00BD084C">
      <w:pPr>
        <w:numPr>
          <w:ilvl w:val="0"/>
          <w:numId w:val="40"/>
        </w:numPr>
        <w:autoSpaceDE w:val="0"/>
        <w:autoSpaceDN w:val="0"/>
        <w:adjustRightInd w:val="0"/>
        <w:spacing w:after="0"/>
        <w:jc w:val="both"/>
        <w:rPr>
          <w:rFonts w:ascii="Arial" w:hAnsi="Arial" w:cs="Arial"/>
          <w:i/>
          <w:iCs/>
        </w:rPr>
      </w:pPr>
      <w:r w:rsidRPr="00F62959">
        <w:rPr>
          <w:rFonts w:ascii="Arial" w:hAnsi="Arial" w:cs="Arial"/>
        </w:rPr>
        <w:t>A secondary foam or burn dressing should be used to collect exudate</w:t>
      </w:r>
      <w:r>
        <w:rPr>
          <w:rFonts w:ascii="Arial" w:hAnsi="Arial" w:cs="Arial"/>
        </w:rPr>
        <w:t xml:space="preserve"> (suitable dressings include</w:t>
      </w:r>
      <w:r w:rsidRPr="00F62959">
        <w:rPr>
          <w:rFonts w:ascii="Arial" w:hAnsi="Arial" w:cs="Arial"/>
        </w:rPr>
        <w:t xml:space="preserve"> </w:t>
      </w:r>
      <w:proofErr w:type="spellStart"/>
      <w:r w:rsidRPr="00F62959">
        <w:rPr>
          <w:rFonts w:ascii="Arial" w:hAnsi="Arial" w:cs="Arial"/>
        </w:rPr>
        <w:t>Exu</w:t>
      </w:r>
      <w:proofErr w:type="spellEnd"/>
      <w:r w:rsidRPr="00F62959">
        <w:rPr>
          <w:rFonts w:ascii="Arial" w:hAnsi="Arial" w:cs="Arial"/>
        </w:rPr>
        <w:t>-Dry®</w:t>
      </w:r>
      <w:r>
        <w:rPr>
          <w:rFonts w:ascii="Arial" w:hAnsi="Arial" w:cs="Arial"/>
        </w:rPr>
        <w:t>)</w:t>
      </w:r>
      <w:r w:rsidRPr="00F62959">
        <w:rPr>
          <w:rFonts w:ascii="Arial" w:hAnsi="Arial" w:cs="Arial"/>
        </w:rPr>
        <w:t>.</w:t>
      </w:r>
    </w:p>
    <w:p w:rsidR="00BD084C" w:rsidRDefault="00BD084C" w:rsidP="0085034D">
      <w:pPr>
        <w:jc w:val="center"/>
        <w:rPr>
          <w:rFonts w:ascii="Arial" w:hAnsi="Arial" w:cs="Arial"/>
        </w:rPr>
      </w:pPr>
    </w:p>
    <w:p w:rsidR="00BD084C" w:rsidRDefault="00BD084C" w:rsidP="0085034D">
      <w:pPr>
        <w:jc w:val="both"/>
        <w:rPr>
          <w:rFonts w:ascii="Arial" w:hAnsi="Arial" w:cs="Arial"/>
        </w:rPr>
      </w:pPr>
      <w:r w:rsidRPr="00E26768">
        <w:rPr>
          <w:rFonts w:ascii="Arial" w:hAnsi="Arial" w:cs="Arial"/>
        </w:rPr>
        <w:t xml:space="preserve">Consider transfer to a Burn Centre in patients with TEN (&gt;30% BSA epidermal loss) and evidence of the following: clinical deterioration, extension of epidermal detachment, sub-epidermal pus, local sepsis, wound conversion and/or delayed healing. In a Burn Centre conservative measures may be supplemented with a surgical approach: </w:t>
      </w:r>
    </w:p>
    <w:p w:rsidR="00BD084C" w:rsidRPr="00F976EA" w:rsidRDefault="00BD084C" w:rsidP="00BD084C">
      <w:pPr>
        <w:numPr>
          <w:ilvl w:val="0"/>
          <w:numId w:val="36"/>
        </w:numPr>
        <w:jc w:val="both"/>
        <w:rPr>
          <w:rFonts w:ascii="Arial" w:hAnsi="Arial" w:cs="Arial"/>
        </w:rPr>
      </w:pPr>
      <w:r w:rsidRPr="00F62959">
        <w:rPr>
          <w:rFonts w:ascii="Arial" w:hAnsi="Arial" w:cs="Arial"/>
        </w:rPr>
        <w:t xml:space="preserve">Remove necrotic/loose infected epidermis </w:t>
      </w:r>
      <w:r>
        <w:rPr>
          <w:rFonts w:ascii="Arial" w:hAnsi="Arial" w:cs="Arial"/>
        </w:rPr>
        <w:t xml:space="preserve">and </w:t>
      </w:r>
      <w:r w:rsidRPr="00F976EA">
        <w:rPr>
          <w:rFonts w:ascii="Arial" w:hAnsi="Arial" w:cs="Arial"/>
        </w:rPr>
        <w:t>clean wounds using a topical antimicrobial agent (for example, betadine or chlorhex</w:t>
      </w:r>
      <w:r>
        <w:rPr>
          <w:rFonts w:ascii="Arial" w:hAnsi="Arial" w:cs="Arial"/>
        </w:rPr>
        <w:t>i</w:t>
      </w:r>
      <w:r w:rsidRPr="00F976EA">
        <w:rPr>
          <w:rFonts w:ascii="Arial" w:hAnsi="Arial" w:cs="Arial"/>
        </w:rPr>
        <w:t>dine) under general anaesthetic</w:t>
      </w:r>
      <w:r>
        <w:rPr>
          <w:rFonts w:ascii="Arial" w:hAnsi="Arial" w:cs="Arial"/>
        </w:rPr>
        <w:t>.</w:t>
      </w:r>
    </w:p>
    <w:p w:rsidR="00BD084C" w:rsidRDefault="00BD084C" w:rsidP="00BD084C">
      <w:pPr>
        <w:pStyle w:val="ListParagraph"/>
        <w:numPr>
          <w:ilvl w:val="0"/>
          <w:numId w:val="38"/>
        </w:numPr>
        <w:rPr>
          <w:rFonts w:ascii="Arial" w:hAnsi="Arial" w:cs="Arial"/>
        </w:rPr>
      </w:pPr>
      <w:r w:rsidRPr="00F62959">
        <w:rPr>
          <w:rFonts w:ascii="Arial" w:hAnsi="Arial" w:cs="Arial"/>
        </w:rPr>
        <w:t xml:space="preserve">Consider debridement with </w:t>
      </w:r>
      <w:proofErr w:type="spellStart"/>
      <w:r w:rsidRPr="00F62959">
        <w:rPr>
          <w:rFonts w:ascii="Arial" w:hAnsi="Arial" w:cs="Arial"/>
        </w:rPr>
        <w:t>Versajet</w:t>
      </w:r>
      <w:r w:rsidRPr="00F62959">
        <w:rPr>
          <w:rFonts w:ascii="Arial" w:hAnsi="Arial" w:cs="Arial"/>
          <w:vertAlign w:val="superscript"/>
        </w:rPr>
        <w:t>TM</w:t>
      </w:r>
      <w:proofErr w:type="spellEnd"/>
      <w:r>
        <w:rPr>
          <w:rFonts w:ascii="Arial" w:hAnsi="Arial" w:cs="Arial"/>
        </w:rPr>
        <w:t>.</w:t>
      </w:r>
      <w:r w:rsidRPr="00F62959">
        <w:rPr>
          <w:rFonts w:ascii="Arial" w:hAnsi="Arial" w:cs="Arial"/>
        </w:rPr>
        <w:t xml:space="preserve"> </w:t>
      </w:r>
    </w:p>
    <w:p w:rsidR="00BD084C" w:rsidRPr="00F62959" w:rsidRDefault="00BD084C" w:rsidP="0085034D">
      <w:pPr>
        <w:pStyle w:val="ListParagraph"/>
        <w:rPr>
          <w:rFonts w:ascii="Arial" w:hAnsi="Arial" w:cs="Arial"/>
        </w:rPr>
      </w:pPr>
    </w:p>
    <w:p w:rsidR="00BD084C" w:rsidRPr="00F62959" w:rsidRDefault="00BD084C" w:rsidP="00BD084C">
      <w:pPr>
        <w:pStyle w:val="ListParagraph"/>
        <w:numPr>
          <w:ilvl w:val="0"/>
          <w:numId w:val="38"/>
        </w:numPr>
        <w:rPr>
          <w:rFonts w:ascii="Arial" w:hAnsi="Arial" w:cs="Arial"/>
        </w:rPr>
      </w:pPr>
      <w:r w:rsidRPr="00F62959">
        <w:rPr>
          <w:rFonts w:ascii="Arial" w:hAnsi="Arial" w:cs="Arial"/>
        </w:rPr>
        <w:t xml:space="preserve">Physiological closure with </w:t>
      </w:r>
      <w:proofErr w:type="spellStart"/>
      <w:r w:rsidRPr="00F62959">
        <w:rPr>
          <w:rFonts w:ascii="Arial" w:hAnsi="Arial" w:cs="Arial"/>
        </w:rPr>
        <w:t>Biobrane</w:t>
      </w:r>
      <w:proofErr w:type="spellEnd"/>
      <w:r w:rsidRPr="00F62959">
        <w:rPr>
          <w:rFonts w:ascii="Arial" w:hAnsi="Arial" w:cs="Arial"/>
        </w:rPr>
        <w:t>/ allograft /xenograft skin in patients with early presentation involving non infected and large confluent areas</w:t>
      </w:r>
      <w:r>
        <w:rPr>
          <w:rFonts w:ascii="Arial" w:hAnsi="Arial" w:cs="Arial"/>
        </w:rPr>
        <w:t>.</w:t>
      </w:r>
      <w:r w:rsidRPr="00F62959">
        <w:rPr>
          <w:rFonts w:ascii="Arial" w:hAnsi="Arial" w:cs="Arial"/>
        </w:rPr>
        <w:t xml:space="preserve"> </w:t>
      </w:r>
    </w:p>
    <w:p w:rsidR="00BD084C" w:rsidRDefault="00BD084C" w:rsidP="0085034D">
      <w:pPr>
        <w:pStyle w:val="NoSpacing"/>
        <w:spacing w:line="276" w:lineRule="auto"/>
        <w:ind w:left="360"/>
        <w:jc w:val="both"/>
        <w:rPr>
          <w:rFonts w:ascii="Arial" w:hAnsi="Arial" w:cs="Arial"/>
          <w:b/>
        </w:rPr>
      </w:pPr>
    </w:p>
    <w:p w:rsidR="00BD084C" w:rsidRPr="00297A95" w:rsidRDefault="00BD084C" w:rsidP="0085034D">
      <w:pPr>
        <w:pStyle w:val="NoSpacing"/>
        <w:spacing w:line="276" w:lineRule="auto"/>
        <w:jc w:val="both"/>
        <w:rPr>
          <w:rFonts w:ascii="Arial" w:hAnsi="Arial" w:cs="Arial"/>
          <w:b/>
        </w:rPr>
      </w:pPr>
      <w:r w:rsidRPr="00297A95">
        <w:rPr>
          <w:rFonts w:ascii="Arial" w:hAnsi="Arial" w:cs="Arial"/>
          <w:b/>
        </w:rPr>
        <w:t xml:space="preserve">8.3 What fluid replacement regimen should be followed in SJS/TEN? </w:t>
      </w:r>
    </w:p>
    <w:p w:rsidR="00BD084C" w:rsidRPr="00297A95" w:rsidRDefault="00BD084C" w:rsidP="0085034D">
      <w:pPr>
        <w:pStyle w:val="NoSpacing"/>
        <w:spacing w:line="276" w:lineRule="auto"/>
        <w:jc w:val="both"/>
        <w:rPr>
          <w:rFonts w:ascii="Arial" w:hAnsi="Arial" w:cs="Arial"/>
        </w:rPr>
      </w:pPr>
    </w:p>
    <w:p w:rsidR="00BD084C" w:rsidRDefault="00BD084C" w:rsidP="0085034D">
      <w:pPr>
        <w:pStyle w:val="NoSpacing"/>
        <w:spacing w:line="276" w:lineRule="auto"/>
        <w:jc w:val="both"/>
        <w:rPr>
          <w:rFonts w:ascii="Arial" w:hAnsi="Arial" w:cs="Arial"/>
        </w:rPr>
      </w:pPr>
      <w:r w:rsidRPr="00297A95">
        <w:rPr>
          <w:rFonts w:ascii="Arial" w:hAnsi="Arial" w:cs="Arial"/>
        </w:rPr>
        <w:t xml:space="preserve">A major goal of supportive care in SJS/TEN is fluid resuscitation to prevent end-organ </w:t>
      </w:r>
      <w:proofErr w:type="spellStart"/>
      <w:r w:rsidRPr="00297A95">
        <w:rPr>
          <w:rFonts w:ascii="Arial" w:hAnsi="Arial" w:cs="Arial"/>
        </w:rPr>
        <w:t>hypoperfusion</w:t>
      </w:r>
      <w:proofErr w:type="spellEnd"/>
      <w:r w:rsidRPr="00297A95">
        <w:rPr>
          <w:rFonts w:ascii="Arial" w:hAnsi="Arial" w:cs="Arial"/>
        </w:rPr>
        <w:t xml:space="preserve"> and shock. Extensive epidermal detachment will result in large insensible, transcutaneous fluid losses, </w:t>
      </w:r>
      <w:r>
        <w:rPr>
          <w:rFonts w:ascii="Arial" w:hAnsi="Arial" w:cs="Arial"/>
        </w:rPr>
        <w:t xml:space="preserve">which is </w:t>
      </w:r>
      <w:r w:rsidRPr="00297A95">
        <w:rPr>
          <w:rFonts w:ascii="Arial" w:hAnsi="Arial" w:cs="Arial"/>
        </w:rPr>
        <w:t>compounded by decreased oral intake due to disease involvement of the mouth. In burns patients the predicted volume of fluid replacement is proportional to the surface area of burn involvement: the Parkland formula is generally used, with fluid resuscitation in adults being commenced at 15% BSA involvement.</w:t>
      </w:r>
      <w:r w:rsidRPr="00FF70EF">
        <w:rPr>
          <w:rFonts w:ascii="Arial" w:hAnsi="Arial" w:cs="Arial"/>
          <w:noProof/>
          <w:vertAlign w:val="superscript"/>
        </w:rPr>
        <w:t>49</w:t>
      </w:r>
      <w:r w:rsidRPr="00297A95">
        <w:rPr>
          <w:rFonts w:ascii="Arial" w:hAnsi="Arial" w:cs="Arial"/>
        </w:rPr>
        <w:t xml:space="preserve"> In SJS/TEN, requirements are lower than those predicted by Parkland; over-aggressive fluid resuscitation may be associated with pulmonary, cutaneous and intestinal oedema. A study by Shiga </w:t>
      </w:r>
      <w:r w:rsidRPr="00297A95">
        <w:rPr>
          <w:rFonts w:ascii="Arial" w:hAnsi="Arial" w:cs="Arial"/>
          <w:i/>
        </w:rPr>
        <w:t>et al.</w:t>
      </w:r>
      <w:r w:rsidRPr="00297A95">
        <w:rPr>
          <w:rFonts w:ascii="Arial" w:hAnsi="Arial" w:cs="Arial"/>
        </w:rPr>
        <w:t xml:space="preserve"> of 21 TEN patients with extensive epidermal loss recorded fluid requirements over the first 3 days of admission</w:t>
      </w:r>
      <w:r>
        <w:rPr>
          <w:rFonts w:ascii="Arial" w:hAnsi="Arial" w:cs="Arial"/>
        </w:rPr>
        <w:t xml:space="preserve"> and estimated that replacement volumes can be determined by the following formula: 2 ml/kg body weight/% BSA epidermal detachment.</w:t>
      </w:r>
      <w:r w:rsidRPr="00FF70EF">
        <w:rPr>
          <w:rFonts w:ascii="Arial" w:hAnsi="Arial" w:cs="Arial"/>
          <w:noProof/>
          <w:vertAlign w:val="superscript"/>
        </w:rPr>
        <w:t>50</w:t>
      </w:r>
      <w:r w:rsidRPr="00297A95">
        <w:rPr>
          <w:rFonts w:ascii="Arial" w:hAnsi="Arial" w:cs="Arial"/>
        </w:rPr>
        <w:t xml:space="preserve">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i/>
        </w:rPr>
      </w:pPr>
      <w:r w:rsidRPr="00297A95">
        <w:rPr>
          <w:rFonts w:ascii="Arial" w:hAnsi="Arial" w:cs="Arial"/>
          <w:b/>
        </w:rPr>
        <w:t>Recommendations:</w:t>
      </w:r>
      <w:r>
        <w:rPr>
          <w:rFonts w:ascii="Arial" w:hAnsi="Arial" w:cs="Arial"/>
          <w:b/>
        </w:rPr>
        <w:t xml:space="preserve"> </w:t>
      </w:r>
      <w:r w:rsidRPr="00297A95">
        <w:rPr>
          <w:rFonts w:ascii="Arial" w:hAnsi="Arial" w:cs="Arial"/>
          <w:b/>
          <w:i/>
        </w:rPr>
        <w:t>(Strength of recommendation D; level of evidence 3)</w:t>
      </w:r>
    </w:p>
    <w:p w:rsidR="00BD084C" w:rsidRPr="00297A95" w:rsidRDefault="00BD084C" w:rsidP="0085034D">
      <w:pPr>
        <w:pStyle w:val="NoSpacing"/>
        <w:spacing w:line="276" w:lineRule="auto"/>
        <w:jc w:val="both"/>
        <w:rPr>
          <w:rFonts w:ascii="Arial" w:hAnsi="Arial" w:cs="Arial"/>
        </w:rPr>
      </w:pPr>
    </w:p>
    <w:p w:rsidR="00BD084C" w:rsidRPr="00297A95" w:rsidRDefault="00BD084C" w:rsidP="00BD084C">
      <w:pPr>
        <w:pStyle w:val="NoSpacing"/>
        <w:numPr>
          <w:ilvl w:val="0"/>
          <w:numId w:val="7"/>
        </w:numPr>
        <w:spacing w:line="276" w:lineRule="auto"/>
        <w:ind w:left="714" w:hanging="357"/>
        <w:jc w:val="both"/>
        <w:rPr>
          <w:rFonts w:ascii="Arial" w:hAnsi="Arial" w:cs="Arial"/>
          <w:i/>
        </w:rPr>
      </w:pPr>
      <w:r>
        <w:rPr>
          <w:rFonts w:ascii="Arial" w:hAnsi="Arial" w:cs="Arial"/>
        </w:rPr>
        <w:t xml:space="preserve">Insert </w:t>
      </w:r>
      <w:r w:rsidRPr="00297A95">
        <w:rPr>
          <w:rFonts w:ascii="Arial" w:hAnsi="Arial" w:cs="Arial"/>
        </w:rPr>
        <w:t>peripheral and central venous lines through non-</w:t>
      </w:r>
      <w:proofErr w:type="spellStart"/>
      <w:r w:rsidRPr="00297A95">
        <w:rPr>
          <w:rFonts w:ascii="Arial" w:hAnsi="Arial" w:cs="Arial"/>
        </w:rPr>
        <w:t>lesional</w:t>
      </w:r>
      <w:proofErr w:type="spellEnd"/>
      <w:r w:rsidRPr="00297A95">
        <w:rPr>
          <w:rFonts w:ascii="Arial" w:hAnsi="Arial" w:cs="Arial"/>
        </w:rPr>
        <w:t xml:space="preserve"> skin, whenever possible, and change peripheral venous cannulas every 48 hours</w:t>
      </w:r>
      <w:r>
        <w:rPr>
          <w:rFonts w:ascii="Arial" w:hAnsi="Arial" w:cs="Arial"/>
        </w:rPr>
        <w:t>, if possible</w:t>
      </w:r>
      <w:r w:rsidRPr="00297A95">
        <w:rPr>
          <w:rFonts w:ascii="Arial" w:hAnsi="Arial" w:cs="Arial"/>
        </w:rPr>
        <w:t xml:space="preserve">. </w:t>
      </w:r>
    </w:p>
    <w:p w:rsidR="00BD084C" w:rsidRPr="00297A95" w:rsidRDefault="00BD084C" w:rsidP="0085034D">
      <w:pPr>
        <w:pStyle w:val="NoSpacing"/>
        <w:spacing w:line="276" w:lineRule="auto"/>
        <w:ind w:left="714" w:hanging="357"/>
        <w:jc w:val="both"/>
        <w:rPr>
          <w:rFonts w:ascii="Arial" w:hAnsi="Arial" w:cs="Arial"/>
          <w:i/>
        </w:rPr>
      </w:pPr>
    </w:p>
    <w:p w:rsidR="00BD084C" w:rsidRDefault="00E100FC" w:rsidP="00BD084C">
      <w:pPr>
        <w:pStyle w:val="NoSpacing"/>
        <w:numPr>
          <w:ilvl w:val="0"/>
          <w:numId w:val="7"/>
        </w:numPr>
        <w:spacing w:line="276" w:lineRule="auto"/>
        <w:ind w:left="714" w:hanging="357"/>
        <w:jc w:val="both"/>
        <w:rPr>
          <w:rFonts w:ascii="Arial" w:hAnsi="Arial" w:cs="Arial"/>
        </w:rPr>
      </w:pPr>
      <w:r>
        <w:rPr>
          <w:rFonts w:ascii="Arial" w:hAnsi="Arial" w:cs="Arial"/>
        </w:rPr>
        <w:t xml:space="preserve">Monitor </w:t>
      </w:r>
      <w:r w:rsidR="00BD084C">
        <w:rPr>
          <w:rFonts w:ascii="Arial" w:hAnsi="Arial" w:cs="Arial"/>
        </w:rPr>
        <w:t>fluid balance carefully; catheterize if appropriate/necessary</w:t>
      </w:r>
      <w:r w:rsidR="00BD084C" w:rsidRPr="00297A95">
        <w:rPr>
          <w:rFonts w:ascii="Arial" w:hAnsi="Arial" w:cs="Arial"/>
        </w:rPr>
        <w:t xml:space="preserve">. </w:t>
      </w:r>
    </w:p>
    <w:p w:rsidR="00BD084C" w:rsidRDefault="00BD084C" w:rsidP="0085034D">
      <w:pPr>
        <w:pStyle w:val="NoSpacing"/>
        <w:spacing w:line="276" w:lineRule="auto"/>
        <w:ind w:left="714"/>
        <w:jc w:val="both"/>
        <w:rPr>
          <w:rFonts w:ascii="Arial" w:hAnsi="Arial" w:cs="Arial"/>
        </w:rPr>
      </w:pPr>
    </w:p>
    <w:p w:rsidR="00BD084C" w:rsidRDefault="00BD084C" w:rsidP="00BD084C">
      <w:pPr>
        <w:pStyle w:val="NoSpacing"/>
        <w:numPr>
          <w:ilvl w:val="2"/>
          <w:numId w:val="7"/>
        </w:numPr>
        <w:spacing w:line="276" w:lineRule="auto"/>
        <w:jc w:val="both"/>
        <w:rPr>
          <w:rFonts w:ascii="Arial" w:hAnsi="Arial" w:cs="Arial"/>
        </w:rPr>
      </w:pPr>
      <w:r w:rsidRPr="00297A95">
        <w:rPr>
          <w:rFonts w:ascii="Arial" w:hAnsi="Arial" w:cs="Arial"/>
        </w:rPr>
        <w:t>Fluid replacement can be guided by urine output and other endpoint measurements</w:t>
      </w:r>
      <w:r>
        <w:rPr>
          <w:rFonts w:ascii="Arial" w:hAnsi="Arial" w:cs="Arial"/>
        </w:rPr>
        <w:t xml:space="preserve"> (see below)</w:t>
      </w:r>
      <w:r w:rsidRPr="00297A95">
        <w:rPr>
          <w:rFonts w:ascii="Arial" w:hAnsi="Arial" w:cs="Arial"/>
        </w:rPr>
        <w:t>.</w:t>
      </w:r>
      <w:r w:rsidRPr="00D41C9F">
        <w:t xml:space="preserve"> </w:t>
      </w:r>
      <w:r>
        <w:t>I</w:t>
      </w:r>
      <w:r w:rsidRPr="00D41C9F">
        <w:rPr>
          <w:rFonts w:ascii="Arial" w:hAnsi="Arial" w:cs="Arial"/>
        </w:rPr>
        <w:t>ndividualized fluid management</w:t>
      </w:r>
      <w:r>
        <w:rPr>
          <w:rFonts w:ascii="Arial" w:hAnsi="Arial" w:cs="Arial"/>
        </w:rPr>
        <w:t xml:space="preserve"> should be</w:t>
      </w:r>
      <w:r w:rsidRPr="00D41C9F">
        <w:rPr>
          <w:rFonts w:ascii="Arial" w:hAnsi="Arial" w:cs="Arial"/>
        </w:rPr>
        <w:t xml:space="preserve"> adjusted on a daily basis</w:t>
      </w:r>
    </w:p>
    <w:p w:rsidR="00BD084C" w:rsidRDefault="00BD084C" w:rsidP="0085034D">
      <w:pPr>
        <w:pStyle w:val="ListParagraph"/>
        <w:spacing w:after="0"/>
        <w:ind w:left="714" w:hanging="357"/>
        <w:rPr>
          <w:rFonts w:ascii="Arial" w:hAnsi="Arial" w:cs="Arial"/>
        </w:rPr>
      </w:pPr>
    </w:p>
    <w:p w:rsidR="00BD084C" w:rsidRPr="00297A95" w:rsidRDefault="00BD084C" w:rsidP="00BD084C">
      <w:pPr>
        <w:pStyle w:val="NoSpacing"/>
        <w:numPr>
          <w:ilvl w:val="0"/>
          <w:numId w:val="7"/>
        </w:numPr>
        <w:spacing w:line="276" w:lineRule="auto"/>
        <w:ind w:left="714" w:hanging="357"/>
        <w:jc w:val="both"/>
        <w:rPr>
          <w:rFonts w:ascii="Arial" w:hAnsi="Arial" w:cs="Arial"/>
          <w:i/>
        </w:rPr>
      </w:pPr>
      <w:r w:rsidRPr="00297A95">
        <w:rPr>
          <w:rFonts w:ascii="Arial" w:hAnsi="Arial" w:cs="Arial"/>
        </w:rPr>
        <w:t xml:space="preserve">When necessary, use continuous invasive haemodynamic monitoring through a central line to guide fluid resuscitation. Where estimation of fluid balance is challenging in severely affected patients, use central venous saturation and flow monitoring based on pulse contour analysis of arterial waveforms. Serial serum lactate measurements may also help to detect tissue </w:t>
      </w:r>
      <w:proofErr w:type="spellStart"/>
      <w:r w:rsidRPr="00297A95">
        <w:rPr>
          <w:rFonts w:ascii="Arial" w:hAnsi="Arial" w:cs="Arial"/>
        </w:rPr>
        <w:t>hypoperfusion</w:t>
      </w:r>
      <w:proofErr w:type="spellEnd"/>
      <w:r w:rsidRPr="00297A95">
        <w:rPr>
          <w:rFonts w:ascii="Arial" w:hAnsi="Arial" w:cs="Arial"/>
        </w:rPr>
        <w:t>.</w:t>
      </w:r>
    </w:p>
    <w:p w:rsidR="00BD084C" w:rsidRPr="00297A95"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7"/>
        </w:numPr>
        <w:spacing w:line="276" w:lineRule="auto"/>
        <w:ind w:left="714" w:hanging="357"/>
        <w:jc w:val="both"/>
        <w:rPr>
          <w:rFonts w:ascii="Arial" w:hAnsi="Arial" w:cs="Arial"/>
        </w:rPr>
      </w:pPr>
      <w:r w:rsidRPr="00297A95">
        <w:rPr>
          <w:rFonts w:ascii="Arial" w:hAnsi="Arial" w:cs="Arial"/>
        </w:rPr>
        <w:t>After establishing adequate intravenous fluid replacement initially, oral administration of fluids should be progressively increased, if tolerated.</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rPr>
      </w:pPr>
      <w:r w:rsidRPr="00297A95">
        <w:rPr>
          <w:rFonts w:ascii="Arial" w:hAnsi="Arial" w:cs="Arial"/>
          <w:b/>
        </w:rPr>
        <w:t xml:space="preserve">8.4 What nutrition regimen should be followed in SJS/TEN?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SJS/TEN is characterized by a hypermetabolic response with energy expenditure approximately twice the predicted resting value.</w:t>
      </w:r>
      <w:r w:rsidRPr="00FF70EF">
        <w:rPr>
          <w:rFonts w:ascii="Arial" w:hAnsi="Arial" w:cs="Arial"/>
          <w:noProof/>
          <w:vertAlign w:val="superscript"/>
        </w:rPr>
        <w:t>51-53</w:t>
      </w:r>
      <w:r w:rsidRPr="00297A95">
        <w:rPr>
          <w:rFonts w:ascii="Arial" w:hAnsi="Arial" w:cs="Arial"/>
        </w:rPr>
        <w:t xml:space="preserve"> Extensive epidermal detachment is also associated with loss of large amounts of albumin and protein from blister fluid. Therefore in SJS/TEN cases with significant areas of skin involvement a nutritional regimen must be initiated early to support metabolic disturbances, minimize protein losses and promote healing. As in other intensive care s</w:t>
      </w:r>
      <w:r>
        <w:rPr>
          <w:rFonts w:ascii="Arial" w:hAnsi="Arial" w:cs="Arial"/>
        </w:rPr>
        <w:t>ituations</w:t>
      </w:r>
      <w:r w:rsidRPr="00297A95">
        <w:rPr>
          <w:rFonts w:ascii="Arial" w:hAnsi="Arial" w:cs="Arial"/>
        </w:rPr>
        <w:t xml:space="preserve">, enteral nutrition is preferable to parenteral nutrition to reduce peptic ulceration and limit translocation of gut bacteria. Since buccal mucositis in SJS/TEN often precludes normal oral intake, nasogastric feeding with a silicone tube should be instituted when necessary. General principles of intensive care nutrition are </w:t>
      </w:r>
      <w:r w:rsidRPr="00297A95">
        <w:rPr>
          <w:rFonts w:ascii="Arial" w:hAnsi="Arial" w:cs="Arial"/>
        </w:rPr>
        <w:lastRenderedPageBreak/>
        <w:t xml:space="preserve">applicable and these are summarized in the </w:t>
      </w:r>
      <w:r>
        <w:rPr>
          <w:rFonts w:ascii="Arial" w:hAnsi="Arial" w:cs="Arial"/>
        </w:rPr>
        <w:t>European Society of Parenteral &amp; Enteral Nutrition (</w:t>
      </w:r>
      <w:r w:rsidRPr="00297A95">
        <w:rPr>
          <w:rFonts w:ascii="Arial" w:hAnsi="Arial" w:cs="Arial"/>
        </w:rPr>
        <w:t>ESPEN</w:t>
      </w:r>
      <w:r>
        <w:rPr>
          <w:rFonts w:ascii="Arial" w:hAnsi="Arial" w:cs="Arial"/>
        </w:rPr>
        <w:t>)</w:t>
      </w:r>
      <w:r w:rsidRPr="00297A95">
        <w:rPr>
          <w:rFonts w:ascii="Arial" w:hAnsi="Arial" w:cs="Arial"/>
        </w:rPr>
        <w:t xml:space="preserve"> guidelines.</w:t>
      </w:r>
      <w:r w:rsidRPr="00704610">
        <w:rPr>
          <w:rFonts w:ascii="Arial" w:hAnsi="Arial" w:cs="Arial"/>
          <w:noProof/>
          <w:vertAlign w:val="superscript"/>
        </w:rPr>
        <w:t>42,54</w:t>
      </w:r>
      <w:r w:rsidRPr="00297A95">
        <w:rPr>
          <w:rFonts w:ascii="Arial" w:hAnsi="Arial" w:cs="Arial"/>
        </w:rPr>
        <w:t xml:space="preserve">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i/>
        </w:rPr>
      </w:pPr>
      <w:r w:rsidRPr="00297A95">
        <w:rPr>
          <w:rFonts w:ascii="Arial" w:hAnsi="Arial" w:cs="Arial"/>
          <w:b/>
        </w:rPr>
        <w:t>Recommendations:</w:t>
      </w:r>
      <w:r>
        <w:rPr>
          <w:rFonts w:ascii="Arial" w:hAnsi="Arial" w:cs="Arial"/>
          <w:b/>
        </w:rPr>
        <w:t xml:space="preserve"> </w:t>
      </w:r>
      <w:r w:rsidRPr="00297A95">
        <w:rPr>
          <w:rFonts w:ascii="Arial" w:hAnsi="Arial" w:cs="Arial"/>
          <w:b/>
          <w:i/>
        </w:rPr>
        <w:t>(Strength of recommendation C; level of evidence 3)</w:t>
      </w:r>
    </w:p>
    <w:p w:rsidR="00BD084C" w:rsidRPr="00297A95" w:rsidRDefault="00BD084C" w:rsidP="0085034D">
      <w:pPr>
        <w:pStyle w:val="NoSpacing"/>
        <w:spacing w:line="276" w:lineRule="auto"/>
        <w:jc w:val="both"/>
        <w:rPr>
          <w:rFonts w:ascii="Arial" w:hAnsi="Arial" w:cs="Arial"/>
        </w:rPr>
      </w:pPr>
    </w:p>
    <w:p w:rsidR="00BD084C" w:rsidRPr="00297A95" w:rsidRDefault="00BD084C" w:rsidP="00BD084C">
      <w:pPr>
        <w:pStyle w:val="NoSpacing"/>
        <w:numPr>
          <w:ilvl w:val="0"/>
          <w:numId w:val="8"/>
        </w:numPr>
        <w:spacing w:line="276" w:lineRule="auto"/>
        <w:ind w:left="714" w:hanging="357"/>
        <w:jc w:val="both"/>
        <w:rPr>
          <w:rFonts w:ascii="Arial" w:hAnsi="Arial" w:cs="Arial"/>
        </w:rPr>
      </w:pPr>
      <w:r w:rsidRPr="00297A95">
        <w:rPr>
          <w:rFonts w:ascii="Arial" w:hAnsi="Arial" w:cs="Arial"/>
        </w:rPr>
        <w:t>Provide continuous enteral nutrition throughout the acute phase of SJS/TEN, either by the oral route or via nasogastric feeding if the former is precluded by buccal mucositis.</w:t>
      </w:r>
    </w:p>
    <w:p w:rsidR="00BD084C" w:rsidRPr="00297A95"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8"/>
        </w:numPr>
        <w:spacing w:line="276" w:lineRule="auto"/>
        <w:ind w:left="714" w:hanging="357"/>
        <w:jc w:val="both"/>
        <w:rPr>
          <w:rFonts w:ascii="Arial" w:hAnsi="Arial" w:cs="Arial"/>
        </w:rPr>
      </w:pPr>
      <w:r w:rsidRPr="00297A95">
        <w:rPr>
          <w:rFonts w:ascii="Arial" w:hAnsi="Arial" w:cs="Arial"/>
        </w:rPr>
        <w:t xml:space="preserve">Deliver up to 20 </w:t>
      </w:r>
      <w:proofErr w:type="gramStart"/>
      <w:r w:rsidRPr="00297A95">
        <w:rPr>
          <w:rFonts w:ascii="Arial" w:hAnsi="Arial" w:cs="Arial"/>
        </w:rPr>
        <w:t>to 25 kcal/kg/day</w:t>
      </w:r>
      <w:proofErr w:type="gramEnd"/>
      <w:r w:rsidRPr="00297A95">
        <w:rPr>
          <w:rFonts w:ascii="Arial" w:hAnsi="Arial" w:cs="Arial"/>
        </w:rPr>
        <w:t xml:space="preserve"> during the early, catabolic phase of SJS/TEN. During the anabolic, recovery phase, the aim should be to provide between 25 to 30 kcal/kg/day. </w:t>
      </w:r>
    </w:p>
    <w:p w:rsidR="00BD084C" w:rsidRPr="00297A95" w:rsidRDefault="00BD084C" w:rsidP="0085034D">
      <w:pPr>
        <w:pStyle w:val="NoSpacing"/>
        <w:spacing w:line="276" w:lineRule="auto"/>
        <w:jc w:val="both"/>
        <w:rPr>
          <w:rFonts w:ascii="Arial" w:hAnsi="Arial" w:cs="Arial"/>
          <w:i/>
        </w:rPr>
      </w:pPr>
    </w:p>
    <w:p w:rsidR="00BD084C" w:rsidRPr="00297A95" w:rsidRDefault="00BD084C" w:rsidP="0085034D">
      <w:pPr>
        <w:pStyle w:val="NoSpacing"/>
        <w:spacing w:line="276" w:lineRule="auto"/>
        <w:jc w:val="both"/>
        <w:rPr>
          <w:rFonts w:ascii="Arial" w:hAnsi="Arial" w:cs="Arial"/>
          <w:b/>
        </w:rPr>
      </w:pPr>
      <w:r w:rsidRPr="00297A95">
        <w:rPr>
          <w:rFonts w:ascii="Arial" w:hAnsi="Arial" w:cs="Arial"/>
          <w:b/>
        </w:rPr>
        <w:t>8.5 What analgesia is required in SJS/TEN?</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SJS/TEN is characterized by cutaneous pain, which is most severe at sites of epidermal detachment. There are no studies investigating different analgesic regimens in SJS/TEN. In the absence of disease-specific evidence, patient comfort should be ensured using the principles of the WHO analgesic ladder</w:t>
      </w:r>
      <w:r>
        <w:rPr>
          <w:rFonts w:ascii="Arial" w:hAnsi="Arial" w:cs="Arial"/>
        </w:rPr>
        <w:t xml:space="preserve"> (</w:t>
      </w:r>
      <w:hyperlink r:id="rId17" w:history="1">
        <w:r w:rsidRPr="003443EF">
          <w:rPr>
            <w:rStyle w:val="Hyperlink"/>
            <w:rFonts w:ascii="Arial" w:hAnsi="Arial" w:cs="Arial"/>
          </w:rPr>
          <w:t>www.who.int/cancer/palliative/painladder/en/</w:t>
        </w:r>
      </w:hyperlink>
      <w:r>
        <w:rPr>
          <w:rFonts w:ascii="Arial" w:hAnsi="Arial" w:cs="Arial"/>
        </w:rPr>
        <w:t>)</w:t>
      </w:r>
      <w:r w:rsidRPr="00297A95">
        <w:rPr>
          <w:rFonts w:ascii="Arial" w:hAnsi="Arial" w:cs="Arial"/>
        </w:rPr>
        <w:t>.</w:t>
      </w:r>
      <w:r w:rsidRPr="00FF70EF">
        <w:rPr>
          <w:rFonts w:ascii="Arial" w:hAnsi="Arial" w:cs="Arial"/>
          <w:noProof/>
          <w:vertAlign w:val="superscript"/>
        </w:rPr>
        <w:t>55</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Patients should receive adequate background simple analgesia to ensure comfort at rest, with the addition of opiates, as required, delivered </w:t>
      </w:r>
      <w:proofErr w:type="spellStart"/>
      <w:r>
        <w:rPr>
          <w:rFonts w:ascii="Arial" w:hAnsi="Arial" w:cs="Arial"/>
        </w:rPr>
        <w:t>enterally</w:t>
      </w:r>
      <w:proofErr w:type="spellEnd"/>
      <w:r>
        <w:rPr>
          <w:rFonts w:ascii="Arial" w:hAnsi="Arial" w:cs="Arial"/>
        </w:rPr>
        <w:t>,</w:t>
      </w:r>
      <w:r w:rsidRPr="00297A95">
        <w:rPr>
          <w:rFonts w:ascii="Arial" w:hAnsi="Arial" w:cs="Arial"/>
        </w:rPr>
        <w:t xml:space="preserve"> </w:t>
      </w:r>
      <w:r>
        <w:rPr>
          <w:rFonts w:ascii="Arial" w:hAnsi="Arial" w:cs="Arial"/>
        </w:rPr>
        <w:t xml:space="preserve">or </w:t>
      </w:r>
      <w:r w:rsidRPr="00297A95">
        <w:rPr>
          <w:rFonts w:ascii="Arial" w:hAnsi="Arial" w:cs="Arial"/>
        </w:rPr>
        <w:t>by patient-controlled analgesia (PCA)</w:t>
      </w:r>
      <w:r>
        <w:rPr>
          <w:rFonts w:ascii="Arial" w:hAnsi="Arial" w:cs="Arial"/>
        </w:rPr>
        <w:t>,</w:t>
      </w:r>
      <w:r w:rsidRPr="00297A95">
        <w:rPr>
          <w:rFonts w:ascii="Arial" w:hAnsi="Arial" w:cs="Arial"/>
        </w:rPr>
        <w:t xml:space="preserve"> or </w:t>
      </w:r>
      <w:r>
        <w:rPr>
          <w:rFonts w:ascii="Arial" w:hAnsi="Arial" w:cs="Arial"/>
        </w:rPr>
        <w:t xml:space="preserve">via </w:t>
      </w:r>
      <w:r w:rsidRPr="00297A95">
        <w:rPr>
          <w:rFonts w:ascii="Arial" w:hAnsi="Arial" w:cs="Arial"/>
        </w:rPr>
        <w:t xml:space="preserve">infusion. Involvement of the skin of the hands by SJS/TEN may limit the ability of the patient to operate a PCA device. If the patient is in </w:t>
      </w:r>
      <w:r>
        <w:rPr>
          <w:rFonts w:ascii="Arial" w:hAnsi="Arial" w:cs="Arial"/>
        </w:rPr>
        <w:t xml:space="preserve">moderate to </w:t>
      </w:r>
      <w:r w:rsidRPr="00297A95">
        <w:rPr>
          <w:rFonts w:ascii="Arial" w:hAnsi="Arial" w:cs="Arial"/>
        </w:rPr>
        <w:t xml:space="preserve">severe pain, </w:t>
      </w:r>
      <w:r>
        <w:rPr>
          <w:rFonts w:ascii="Arial" w:hAnsi="Arial" w:cs="Arial"/>
        </w:rPr>
        <w:t xml:space="preserve">which is uncontrolled by simple analgesia, </w:t>
      </w:r>
      <w:r w:rsidRPr="00297A95">
        <w:rPr>
          <w:rFonts w:ascii="Arial" w:hAnsi="Arial" w:cs="Arial"/>
        </w:rPr>
        <w:t xml:space="preserve">then an opiate-based regimen using morphine should be </w:t>
      </w:r>
      <w:r>
        <w:rPr>
          <w:rFonts w:ascii="Arial" w:hAnsi="Arial" w:cs="Arial"/>
        </w:rPr>
        <w:t>initiated</w:t>
      </w:r>
      <w:r w:rsidRPr="00297A95">
        <w:rPr>
          <w:rFonts w:ascii="Arial" w:hAnsi="Arial" w:cs="Arial"/>
        </w:rPr>
        <w:t>. Careful monitoring of level of consciousness</w:t>
      </w:r>
      <w:r>
        <w:rPr>
          <w:rFonts w:ascii="Arial" w:hAnsi="Arial" w:cs="Arial"/>
        </w:rPr>
        <w:t>, respiratory rate</w:t>
      </w:r>
      <w:r w:rsidRPr="00297A95">
        <w:rPr>
          <w:rFonts w:ascii="Arial" w:hAnsi="Arial" w:cs="Arial"/>
        </w:rPr>
        <w:t xml:space="preserve"> and oxygen saturation is essential for safe delivery of opiate infusions. Additional analgesia is often needed to address increased pain associated with patient handling, re-positioning, dressing changes and physiotherapy.</w:t>
      </w:r>
      <w:r w:rsidRPr="00FF70EF">
        <w:rPr>
          <w:rFonts w:ascii="Arial" w:hAnsi="Arial" w:cs="Arial"/>
          <w:noProof/>
          <w:vertAlign w:val="superscript"/>
        </w:rPr>
        <w:t>56</w:t>
      </w:r>
      <w:r>
        <w:rPr>
          <w:rFonts w:ascii="Arial" w:hAnsi="Arial" w:cs="Arial"/>
        </w:rPr>
        <w:t xml:space="preserve"> </w:t>
      </w:r>
      <w:r w:rsidRPr="006B37D3">
        <w:rPr>
          <w:rFonts w:ascii="Arial" w:hAnsi="Arial" w:cs="Arial"/>
        </w:rPr>
        <w:t>Intra-nasal diamorphine or sub-lingual fentanyl can be useful for more limited procedures.</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Adjuvants, including GABA analogues, may have an opiate-sparing role.</w:t>
      </w:r>
      <w:r>
        <w:rPr>
          <w:rFonts w:ascii="Arial" w:hAnsi="Arial" w:cs="Arial"/>
        </w:rPr>
        <w:t xml:space="preserve"> </w:t>
      </w:r>
      <w:r w:rsidRPr="00297A95">
        <w:rPr>
          <w:rFonts w:ascii="Arial" w:hAnsi="Arial" w:cs="Arial"/>
        </w:rPr>
        <w:t>Topical anaesthesia of mucous membranes may facilitate placement of nasogastric tubes and urinary catheters.</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i/>
        </w:rPr>
      </w:pPr>
      <w:r w:rsidRPr="00297A95">
        <w:rPr>
          <w:rFonts w:ascii="Arial" w:hAnsi="Arial" w:cs="Arial"/>
          <w:b/>
        </w:rPr>
        <w:t>Recommendations:</w:t>
      </w:r>
      <w:r>
        <w:rPr>
          <w:rFonts w:ascii="Arial" w:hAnsi="Arial" w:cs="Arial"/>
          <w:b/>
        </w:rPr>
        <w:t xml:space="preserve"> </w:t>
      </w:r>
      <w:r w:rsidRPr="00297A95">
        <w:rPr>
          <w:rFonts w:ascii="Arial" w:hAnsi="Arial" w:cs="Arial"/>
          <w:b/>
          <w:i/>
        </w:rPr>
        <w:t>(Strength of recommendation D (GPP); level of evidence 4)</w:t>
      </w:r>
    </w:p>
    <w:p w:rsidR="00BD084C" w:rsidRPr="00297A95" w:rsidRDefault="00BD084C" w:rsidP="0085034D">
      <w:pPr>
        <w:pStyle w:val="NoSpacing"/>
        <w:spacing w:line="276" w:lineRule="auto"/>
        <w:jc w:val="both"/>
        <w:rPr>
          <w:rFonts w:ascii="Arial" w:hAnsi="Arial" w:cs="Arial"/>
        </w:rPr>
      </w:pPr>
    </w:p>
    <w:p w:rsidR="00BD084C" w:rsidRPr="00297A95" w:rsidRDefault="00BD084C" w:rsidP="00BD084C">
      <w:pPr>
        <w:pStyle w:val="NoSpacing"/>
        <w:numPr>
          <w:ilvl w:val="0"/>
          <w:numId w:val="9"/>
        </w:numPr>
        <w:spacing w:line="276" w:lineRule="auto"/>
        <w:ind w:left="714" w:hanging="357"/>
        <w:jc w:val="both"/>
        <w:rPr>
          <w:rFonts w:ascii="Arial" w:hAnsi="Arial" w:cs="Arial"/>
        </w:rPr>
      </w:pPr>
      <w:r w:rsidRPr="00297A95">
        <w:rPr>
          <w:rFonts w:ascii="Arial" w:hAnsi="Arial" w:cs="Arial"/>
        </w:rPr>
        <w:t xml:space="preserve">Use a </w:t>
      </w:r>
      <w:r>
        <w:rPr>
          <w:rFonts w:ascii="Arial" w:hAnsi="Arial" w:cs="Arial"/>
        </w:rPr>
        <w:t>patient appropriate validated pain tool</w:t>
      </w:r>
      <w:r w:rsidRPr="00297A95">
        <w:rPr>
          <w:rFonts w:ascii="Arial" w:hAnsi="Arial" w:cs="Arial"/>
        </w:rPr>
        <w:t xml:space="preserve"> to assess pain in all conscious patients at least once </w:t>
      </w:r>
      <w:r>
        <w:rPr>
          <w:rFonts w:ascii="Arial" w:hAnsi="Arial" w:cs="Arial"/>
        </w:rPr>
        <w:t>a day</w:t>
      </w:r>
      <w:r w:rsidRPr="00297A95">
        <w:rPr>
          <w:rFonts w:ascii="Arial" w:hAnsi="Arial" w:cs="Arial"/>
        </w:rPr>
        <w:t>.</w:t>
      </w:r>
      <w:r w:rsidRPr="00FF70EF">
        <w:rPr>
          <w:rFonts w:ascii="Arial" w:hAnsi="Arial" w:cs="Arial"/>
          <w:noProof/>
          <w:vertAlign w:val="superscript"/>
        </w:rPr>
        <w:t>56</w:t>
      </w:r>
      <w:r w:rsidRPr="00297A95">
        <w:rPr>
          <w:rFonts w:ascii="Arial" w:hAnsi="Arial" w:cs="Arial"/>
        </w:rPr>
        <w:t xml:space="preserve"> If the score is </w:t>
      </w:r>
      <w:r>
        <w:rPr>
          <w:rFonts w:ascii="Arial" w:hAnsi="Arial" w:cs="Arial"/>
        </w:rPr>
        <w:t>mild</w:t>
      </w:r>
      <w:r w:rsidRPr="00297A95">
        <w:rPr>
          <w:rFonts w:ascii="Arial" w:hAnsi="Arial" w:cs="Arial"/>
        </w:rPr>
        <w:t>, pain control with regular paracetamol (acetaminophen) should be introduced, supplemented if required with oral opiate-based therapy such as codeine, or synthetic opiate such as tramadol. Non-steroidal anti-inflammatory drugs (NSAIDs) should be avoided because of the potential for renal and gastric injury.</w:t>
      </w:r>
    </w:p>
    <w:p w:rsidR="00BD084C" w:rsidRPr="00297A95"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9"/>
        </w:numPr>
        <w:spacing w:line="276" w:lineRule="auto"/>
        <w:ind w:left="714" w:hanging="357"/>
        <w:jc w:val="both"/>
        <w:rPr>
          <w:rFonts w:ascii="Arial" w:hAnsi="Arial" w:cs="Arial"/>
        </w:rPr>
      </w:pPr>
      <w:r w:rsidRPr="00297A95">
        <w:rPr>
          <w:rFonts w:ascii="Arial" w:hAnsi="Arial" w:cs="Arial"/>
        </w:rPr>
        <w:t xml:space="preserve">If the </w:t>
      </w:r>
      <w:r>
        <w:rPr>
          <w:rFonts w:ascii="Arial" w:hAnsi="Arial" w:cs="Arial"/>
        </w:rPr>
        <w:t>pain</w:t>
      </w:r>
      <w:r w:rsidRPr="00297A95">
        <w:rPr>
          <w:rFonts w:ascii="Arial" w:hAnsi="Arial" w:cs="Arial"/>
        </w:rPr>
        <w:t xml:space="preserve"> score </w:t>
      </w:r>
      <w:r w:rsidRPr="004001C0">
        <w:rPr>
          <w:rFonts w:ascii="Arial" w:hAnsi="Arial" w:cs="Arial"/>
        </w:rPr>
        <w:t xml:space="preserve">equates to moderate or severe pain </w:t>
      </w:r>
      <w:r w:rsidRPr="00297A95">
        <w:rPr>
          <w:rFonts w:ascii="Arial" w:hAnsi="Arial" w:cs="Arial"/>
        </w:rPr>
        <w:t xml:space="preserve">then prescribe </w:t>
      </w:r>
      <w:r>
        <w:rPr>
          <w:rFonts w:ascii="Arial" w:hAnsi="Arial" w:cs="Arial"/>
        </w:rPr>
        <w:t xml:space="preserve">regular </w:t>
      </w:r>
      <w:r w:rsidRPr="00297A95">
        <w:rPr>
          <w:rFonts w:ascii="Arial" w:hAnsi="Arial" w:cs="Arial"/>
        </w:rPr>
        <w:t>opiate-based analgesia (</w:t>
      </w:r>
      <w:r>
        <w:rPr>
          <w:rFonts w:ascii="Arial" w:hAnsi="Arial" w:cs="Arial"/>
        </w:rPr>
        <w:t xml:space="preserve">e.g. </w:t>
      </w:r>
      <w:r w:rsidRPr="00297A95">
        <w:rPr>
          <w:rFonts w:ascii="Arial" w:hAnsi="Arial" w:cs="Arial"/>
        </w:rPr>
        <w:t xml:space="preserve">morphine or fentanyl) delivered </w:t>
      </w:r>
      <w:proofErr w:type="spellStart"/>
      <w:r w:rsidRPr="00297A95">
        <w:rPr>
          <w:rFonts w:ascii="Arial" w:hAnsi="Arial" w:cs="Arial"/>
        </w:rPr>
        <w:t>e</w:t>
      </w:r>
      <w:r>
        <w:rPr>
          <w:rFonts w:ascii="Arial" w:hAnsi="Arial" w:cs="Arial"/>
        </w:rPr>
        <w:t>nterally</w:t>
      </w:r>
      <w:proofErr w:type="spellEnd"/>
      <w:r>
        <w:rPr>
          <w:rFonts w:ascii="Arial" w:hAnsi="Arial" w:cs="Arial"/>
        </w:rPr>
        <w:t>, or</w:t>
      </w:r>
      <w:r w:rsidRPr="00297A95">
        <w:rPr>
          <w:rFonts w:ascii="Arial" w:hAnsi="Arial" w:cs="Arial"/>
        </w:rPr>
        <w:t xml:space="preserve"> by patient-</w:t>
      </w:r>
      <w:r w:rsidRPr="00297A95">
        <w:rPr>
          <w:rFonts w:ascii="Arial" w:hAnsi="Arial" w:cs="Arial"/>
        </w:rPr>
        <w:lastRenderedPageBreak/>
        <w:t>controlled analgesia (PCA)</w:t>
      </w:r>
      <w:r>
        <w:rPr>
          <w:rFonts w:ascii="Arial" w:hAnsi="Arial" w:cs="Arial"/>
        </w:rPr>
        <w:t>,</w:t>
      </w:r>
      <w:r w:rsidRPr="00297A95">
        <w:rPr>
          <w:rFonts w:ascii="Arial" w:hAnsi="Arial" w:cs="Arial"/>
        </w:rPr>
        <w:t xml:space="preserve"> or </w:t>
      </w:r>
      <w:r>
        <w:rPr>
          <w:rFonts w:ascii="Arial" w:hAnsi="Arial" w:cs="Arial"/>
        </w:rPr>
        <w:t xml:space="preserve">via </w:t>
      </w:r>
      <w:r w:rsidRPr="00297A95">
        <w:rPr>
          <w:rFonts w:ascii="Arial" w:hAnsi="Arial" w:cs="Arial"/>
        </w:rPr>
        <w:t xml:space="preserve">infusion. </w:t>
      </w:r>
      <w:r>
        <w:rPr>
          <w:rFonts w:ascii="Arial" w:hAnsi="Arial" w:cs="Arial"/>
        </w:rPr>
        <w:t xml:space="preserve">Intravenous opiates </w:t>
      </w:r>
      <w:r w:rsidRPr="00297A95">
        <w:rPr>
          <w:rFonts w:ascii="Arial" w:hAnsi="Arial" w:cs="Arial"/>
        </w:rPr>
        <w:t xml:space="preserve">may be safely delivered in dedicated skin failure </w:t>
      </w:r>
      <w:r>
        <w:rPr>
          <w:rFonts w:ascii="Arial" w:hAnsi="Arial" w:cs="Arial"/>
        </w:rPr>
        <w:t>Burn Centres</w:t>
      </w:r>
      <w:r w:rsidRPr="00297A95">
        <w:rPr>
          <w:rFonts w:ascii="Arial" w:hAnsi="Arial" w:cs="Arial"/>
        </w:rPr>
        <w:t xml:space="preserve"> or ICU</w:t>
      </w:r>
      <w:r>
        <w:rPr>
          <w:rFonts w:ascii="Arial" w:hAnsi="Arial" w:cs="Arial"/>
        </w:rPr>
        <w:t>s</w:t>
      </w:r>
      <w:r w:rsidRPr="00297A95">
        <w:rPr>
          <w:rFonts w:ascii="Arial" w:hAnsi="Arial" w:cs="Arial"/>
        </w:rPr>
        <w:t xml:space="preserve">, with appropriate nursing levels. </w:t>
      </w:r>
      <w:r w:rsidRPr="00FA5603">
        <w:rPr>
          <w:rFonts w:ascii="Arial" w:hAnsi="Arial" w:cs="Arial"/>
        </w:rPr>
        <w:t xml:space="preserve">In patients needing opiate-based analgesia, pain should be re-evaluated using the pain score </w:t>
      </w:r>
      <w:r w:rsidRPr="00297A95">
        <w:rPr>
          <w:rFonts w:ascii="Arial" w:hAnsi="Arial" w:cs="Arial"/>
        </w:rPr>
        <w:t>on a 4-hourly basis</w:t>
      </w:r>
      <w:r w:rsidRPr="00FA5603">
        <w:rPr>
          <w:rFonts w:ascii="Arial" w:hAnsi="Arial" w:cs="Arial"/>
        </w:rPr>
        <w:t xml:space="preserve"> and prior to any interventions. Involve the hospital acute pain team early</w:t>
      </w:r>
      <w:r w:rsidRPr="00297A95">
        <w:rPr>
          <w:rFonts w:ascii="Arial" w:hAnsi="Arial" w:cs="Arial"/>
        </w:rPr>
        <w:t>.</w:t>
      </w:r>
    </w:p>
    <w:p w:rsidR="00BD084C" w:rsidRPr="00297A95"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9"/>
        </w:numPr>
        <w:spacing w:line="276" w:lineRule="auto"/>
        <w:ind w:left="714" w:hanging="357"/>
        <w:jc w:val="both"/>
        <w:rPr>
          <w:rFonts w:ascii="Arial" w:hAnsi="Arial" w:cs="Arial"/>
        </w:rPr>
      </w:pPr>
      <w:r>
        <w:rPr>
          <w:rFonts w:ascii="Arial" w:hAnsi="Arial" w:cs="Arial"/>
        </w:rPr>
        <w:t>Procedures</w:t>
      </w:r>
      <w:r w:rsidRPr="00297A95">
        <w:rPr>
          <w:rFonts w:ascii="Arial" w:hAnsi="Arial" w:cs="Arial"/>
        </w:rPr>
        <w:t xml:space="preserve"> such as dressing changes and bathing may require supplementary analgesia. Entonox™ (50% nitrous oxide, 50% oxygen) may be useful for this purpose</w:t>
      </w:r>
      <w:r>
        <w:rPr>
          <w:rFonts w:ascii="Arial" w:hAnsi="Arial" w:cs="Arial"/>
        </w:rPr>
        <w:t xml:space="preserve"> </w:t>
      </w:r>
      <w:r w:rsidRPr="00FA5603">
        <w:rPr>
          <w:rFonts w:ascii="Arial" w:hAnsi="Arial" w:cs="Arial"/>
        </w:rPr>
        <w:t xml:space="preserve">when the area of cutaneous involvement is small (&lt; 10% BSA).  Patients with significant areas of epidermal detachment will require additional pain relief for procedures. Practitioners trained in sedation techniques should deliver this in a safe monitored environment, such as an ICU, theatre or </w:t>
      </w:r>
      <w:r>
        <w:rPr>
          <w:rFonts w:ascii="Arial" w:hAnsi="Arial" w:cs="Arial"/>
        </w:rPr>
        <w:t>B</w:t>
      </w:r>
      <w:r w:rsidRPr="00FA5603">
        <w:rPr>
          <w:rFonts w:ascii="Arial" w:hAnsi="Arial" w:cs="Arial"/>
        </w:rPr>
        <w:t xml:space="preserve">urn </w:t>
      </w:r>
      <w:r>
        <w:rPr>
          <w:rFonts w:ascii="Arial" w:hAnsi="Arial" w:cs="Arial"/>
        </w:rPr>
        <w:t>Centre</w:t>
      </w:r>
      <w:r w:rsidRPr="00FA5603">
        <w:rPr>
          <w:rFonts w:ascii="Arial" w:hAnsi="Arial" w:cs="Arial"/>
        </w:rPr>
        <w:t xml:space="preserve">. Techniques to consider include target-controlled remifentanil infusions or bolus ketamine based </w:t>
      </w:r>
      <w:proofErr w:type="spellStart"/>
      <w:r w:rsidRPr="00FA5603">
        <w:rPr>
          <w:rFonts w:ascii="Arial" w:hAnsi="Arial" w:cs="Arial"/>
        </w:rPr>
        <w:t>analgo</w:t>
      </w:r>
      <w:proofErr w:type="spellEnd"/>
      <w:r w:rsidRPr="00FA5603">
        <w:rPr>
          <w:rFonts w:ascii="Arial" w:hAnsi="Arial" w:cs="Arial"/>
        </w:rPr>
        <w:t>-sedation. Some patients may require general anaesthesia.</w:t>
      </w:r>
      <w:r w:rsidRPr="00297A95">
        <w:rPr>
          <w:rFonts w:ascii="Arial" w:hAnsi="Arial" w:cs="Arial"/>
        </w:rPr>
        <w:t xml:space="preserve">  </w:t>
      </w:r>
    </w:p>
    <w:p w:rsidR="00BD084C" w:rsidRPr="00297A95" w:rsidRDefault="00BD084C" w:rsidP="0085034D">
      <w:pPr>
        <w:pStyle w:val="NoSpacing"/>
        <w:spacing w:line="276" w:lineRule="auto"/>
        <w:ind w:left="360"/>
        <w:jc w:val="both"/>
        <w:rPr>
          <w:rFonts w:ascii="Arial" w:hAnsi="Arial" w:cs="Arial"/>
        </w:rPr>
      </w:pPr>
    </w:p>
    <w:p w:rsidR="00BD084C" w:rsidRPr="00297A95" w:rsidRDefault="00BD084C" w:rsidP="0085034D">
      <w:pPr>
        <w:pStyle w:val="NoSpacing"/>
        <w:spacing w:line="276" w:lineRule="auto"/>
        <w:jc w:val="both"/>
        <w:rPr>
          <w:rFonts w:ascii="Arial" w:hAnsi="Arial" w:cs="Arial"/>
          <w:b/>
        </w:rPr>
      </w:pPr>
      <w:r w:rsidRPr="00297A95">
        <w:rPr>
          <w:rFonts w:ascii="Arial" w:hAnsi="Arial" w:cs="Arial"/>
          <w:b/>
        </w:rPr>
        <w:t>8.6 What additional supportive medication is advisable in a patient with SJS/TEN?</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As in other critical care situations, patients with SJS/TEN are subject to stress-related gastric or duodenal ulceration and, if immobile, at risk of venous thromboembolism. </w:t>
      </w:r>
      <w:r>
        <w:rPr>
          <w:rFonts w:ascii="Arial" w:hAnsi="Arial" w:cs="Arial"/>
        </w:rPr>
        <w:t>G</w:t>
      </w:r>
      <w:r w:rsidRPr="00297A95">
        <w:rPr>
          <w:rFonts w:ascii="Arial" w:hAnsi="Arial" w:cs="Arial"/>
        </w:rPr>
        <w:t xml:space="preserve">astric protection with a proton pump inhibitor is recommended, </w:t>
      </w:r>
      <w:r>
        <w:rPr>
          <w:rFonts w:ascii="Arial" w:hAnsi="Arial" w:cs="Arial"/>
        </w:rPr>
        <w:t>in the minority in whom enteral nutrition cannot be established.</w:t>
      </w:r>
      <w:r w:rsidRPr="00FF70EF">
        <w:rPr>
          <w:rFonts w:ascii="Arial" w:hAnsi="Arial" w:cs="Arial"/>
          <w:noProof/>
          <w:vertAlign w:val="superscript"/>
        </w:rPr>
        <w:t>57</w:t>
      </w:r>
      <w:r w:rsidRPr="00297A95">
        <w:rPr>
          <w:rFonts w:ascii="Arial" w:hAnsi="Arial" w:cs="Arial"/>
        </w:rPr>
        <w:t xml:space="preserve"> </w:t>
      </w:r>
      <w:r>
        <w:rPr>
          <w:rFonts w:ascii="Arial" w:hAnsi="Arial" w:cs="Arial"/>
        </w:rPr>
        <w:t>P</w:t>
      </w:r>
      <w:r w:rsidRPr="00297A95">
        <w:rPr>
          <w:rFonts w:ascii="Arial" w:hAnsi="Arial" w:cs="Arial"/>
        </w:rPr>
        <w:t xml:space="preserve">rophylactic anticoagulation with low molecular weight heparin is necessary, unless contraindicated.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Anaemia and </w:t>
      </w:r>
      <w:proofErr w:type="spellStart"/>
      <w:r w:rsidRPr="00297A95">
        <w:rPr>
          <w:rFonts w:ascii="Arial" w:hAnsi="Arial" w:cs="Arial"/>
        </w:rPr>
        <w:t>leucopenia</w:t>
      </w:r>
      <w:proofErr w:type="spellEnd"/>
      <w:r w:rsidRPr="00297A95">
        <w:rPr>
          <w:rFonts w:ascii="Arial" w:hAnsi="Arial" w:cs="Arial"/>
        </w:rPr>
        <w:t xml:space="preserve"> are common complications of the acute phase of SJS/TEN. Neutropenia will increase the risk of life-threatening sepsis and therefore administration of recombinant human G-CSF has been used to resist infectious complications.</w:t>
      </w:r>
      <w:r w:rsidRPr="00FF70EF">
        <w:rPr>
          <w:rFonts w:ascii="Arial" w:hAnsi="Arial" w:cs="Arial"/>
          <w:noProof/>
          <w:vertAlign w:val="superscript"/>
        </w:rPr>
        <w:t>58</w:t>
      </w:r>
      <w:hyperlink w:anchor="_ENREF_54" w:tooltip="De Sica Chapman, 2010 #970" w:history="1"/>
      <w:r w:rsidRPr="00297A95">
        <w:rPr>
          <w:rFonts w:ascii="Arial" w:hAnsi="Arial" w:cs="Arial"/>
        </w:rPr>
        <w:t xml:space="preserve"> </w:t>
      </w:r>
      <w:proofErr w:type="gramStart"/>
      <w:r w:rsidRPr="00297A95">
        <w:rPr>
          <w:rFonts w:ascii="Arial" w:hAnsi="Arial" w:cs="Arial"/>
        </w:rPr>
        <w:t>It</w:t>
      </w:r>
      <w:proofErr w:type="gramEnd"/>
      <w:r w:rsidRPr="00297A95">
        <w:rPr>
          <w:rFonts w:ascii="Arial" w:hAnsi="Arial" w:cs="Arial"/>
        </w:rPr>
        <w:t xml:space="preserve"> has also been suggested that the use of G-CSF in SJS/TEN may be immunomodulatory and enhance re-epithelialisation.</w:t>
      </w:r>
      <w:r w:rsidRPr="00FF70EF">
        <w:rPr>
          <w:rFonts w:ascii="Arial" w:hAnsi="Arial" w:cs="Arial"/>
          <w:noProof/>
          <w:vertAlign w:val="superscript"/>
        </w:rPr>
        <w:t>58</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i/>
        </w:rPr>
      </w:pPr>
      <w:r w:rsidRPr="00297A95">
        <w:rPr>
          <w:rFonts w:ascii="Arial" w:hAnsi="Arial" w:cs="Arial"/>
          <w:b/>
        </w:rPr>
        <w:t>Recommendations:</w:t>
      </w:r>
      <w:r>
        <w:rPr>
          <w:rFonts w:ascii="Arial" w:hAnsi="Arial" w:cs="Arial"/>
          <w:b/>
        </w:rPr>
        <w:t xml:space="preserve"> </w:t>
      </w:r>
      <w:r w:rsidRPr="00297A95">
        <w:rPr>
          <w:rFonts w:ascii="Arial" w:hAnsi="Arial" w:cs="Arial"/>
          <w:b/>
          <w:i/>
        </w:rPr>
        <w:t>(Strength</w:t>
      </w:r>
      <w:r>
        <w:rPr>
          <w:rFonts w:ascii="Arial" w:hAnsi="Arial" w:cs="Arial"/>
          <w:b/>
          <w:i/>
        </w:rPr>
        <w:t xml:space="preserve"> </w:t>
      </w:r>
      <w:r w:rsidRPr="00297A95">
        <w:rPr>
          <w:rFonts w:ascii="Arial" w:hAnsi="Arial" w:cs="Arial"/>
          <w:b/>
          <w:i/>
        </w:rPr>
        <w:t>of recommendation C; level of evidence 3)</w:t>
      </w:r>
    </w:p>
    <w:p w:rsidR="00BD084C" w:rsidRPr="00297A95" w:rsidRDefault="00BD084C" w:rsidP="0085034D">
      <w:pPr>
        <w:pStyle w:val="NoSpacing"/>
        <w:spacing w:line="276" w:lineRule="auto"/>
        <w:jc w:val="both"/>
        <w:rPr>
          <w:rFonts w:ascii="Arial" w:hAnsi="Arial" w:cs="Arial"/>
        </w:rPr>
      </w:pPr>
    </w:p>
    <w:p w:rsidR="00BD084C" w:rsidRPr="00297A95" w:rsidRDefault="00BD084C" w:rsidP="00BD084C">
      <w:pPr>
        <w:pStyle w:val="NoSpacing"/>
        <w:numPr>
          <w:ilvl w:val="0"/>
          <w:numId w:val="10"/>
        </w:numPr>
        <w:spacing w:line="276" w:lineRule="auto"/>
        <w:ind w:left="714" w:hanging="357"/>
        <w:jc w:val="both"/>
        <w:rPr>
          <w:rFonts w:ascii="Arial" w:hAnsi="Arial" w:cs="Arial"/>
        </w:rPr>
      </w:pPr>
      <w:r w:rsidRPr="00297A95">
        <w:rPr>
          <w:rFonts w:ascii="Arial" w:hAnsi="Arial" w:cs="Arial"/>
        </w:rPr>
        <w:t>SJS/TEN patients who are immobile in bed should receive low molecular weight heparin as prophylactic anticoagulation against venous thromboembolism.</w:t>
      </w:r>
    </w:p>
    <w:p w:rsidR="00BD084C" w:rsidRPr="00297A95"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10"/>
        </w:numPr>
        <w:spacing w:line="276" w:lineRule="auto"/>
        <w:ind w:left="714" w:hanging="357"/>
        <w:jc w:val="both"/>
        <w:rPr>
          <w:rFonts w:ascii="Arial" w:hAnsi="Arial" w:cs="Arial"/>
        </w:rPr>
      </w:pPr>
      <w:r w:rsidRPr="00297A95">
        <w:rPr>
          <w:rFonts w:ascii="Arial" w:hAnsi="Arial" w:cs="Arial"/>
        </w:rPr>
        <w:t xml:space="preserve">During the acute phase of SJS/TEN, patients </w:t>
      </w:r>
      <w:r>
        <w:rPr>
          <w:rFonts w:ascii="Arial" w:hAnsi="Arial" w:cs="Arial"/>
        </w:rPr>
        <w:t xml:space="preserve">in whom enteral nutrition cannot be established </w:t>
      </w:r>
      <w:r w:rsidRPr="00297A95">
        <w:rPr>
          <w:rFonts w:ascii="Arial" w:hAnsi="Arial" w:cs="Arial"/>
        </w:rPr>
        <w:t>may benefit from a proton pump inhibitor to protect against upper gastro-intestinal stress ulceration.</w:t>
      </w:r>
    </w:p>
    <w:p w:rsidR="00BD084C" w:rsidRPr="00297A95"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10"/>
        </w:numPr>
        <w:spacing w:line="276" w:lineRule="auto"/>
        <w:ind w:left="714" w:hanging="357"/>
        <w:jc w:val="both"/>
        <w:rPr>
          <w:rFonts w:ascii="Arial" w:hAnsi="Arial" w:cs="Arial"/>
        </w:rPr>
      </w:pPr>
      <w:r w:rsidRPr="00297A95">
        <w:rPr>
          <w:rFonts w:ascii="Arial" w:hAnsi="Arial" w:cs="Arial"/>
        </w:rPr>
        <w:t>SJS/TEN patients who are neutropenic may benefit from the administration of recombinant human G-CSF.</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color w:val="0070C0"/>
        </w:rPr>
      </w:pPr>
      <w:r w:rsidRPr="00297A95">
        <w:rPr>
          <w:rFonts w:ascii="Arial" w:hAnsi="Arial" w:cs="Arial"/>
          <w:b/>
          <w:color w:val="0070C0"/>
        </w:rPr>
        <w:t xml:space="preserve"> </w:t>
      </w:r>
    </w:p>
    <w:p w:rsidR="00BD084C" w:rsidRPr="006276EE" w:rsidRDefault="00BD084C" w:rsidP="0085034D">
      <w:pPr>
        <w:pStyle w:val="NoSpacing"/>
        <w:spacing w:line="276" w:lineRule="auto"/>
        <w:jc w:val="both"/>
        <w:rPr>
          <w:rFonts w:ascii="Arial" w:hAnsi="Arial" w:cs="Arial"/>
          <w:color w:val="00B0F0"/>
        </w:rPr>
      </w:pPr>
      <w:r w:rsidRPr="006276EE">
        <w:rPr>
          <w:rFonts w:ascii="Arial" w:hAnsi="Arial" w:cs="Arial"/>
          <w:b/>
          <w:color w:val="00B0F0"/>
        </w:rPr>
        <w:t>9.0 TREATMENT OF EYE INVOLVEMENT IN SJS/TEN</w:t>
      </w:r>
    </w:p>
    <w:p w:rsidR="00BD084C" w:rsidRPr="00297A95" w:rsidRDefault="00BD084C" w:rsidP="0085034D">
      <w:pPr>
        <w:pStyle w:val="NoSpacing"/>
        <w:spacing w:line="276" w:lineRule="auto"/>
        <w:jc w:val="both"/>
        <w:rPr>
          <w:rFonts w:ascii="Arial" w:hAnsi="Arial" w:cs="Arial"/>
        </w:rPr>
      </w:pPr>
    </w:p>
    <w:p w:rsidR="00BD084C" w:rsidRDefault="00BD084C" w:rsidP="0085034D">
      <w:pPr>
        <w:pStyle w:val="NoSpacing"/>
        <w:spacing w:line="276" w:lineRule="auto"/>
        <w:jc w:val="both"/>
        <w:rPr>
          <w:rFonts w:ascii="Arial" w:hAnsi="Arial" w:cs="Arial"/>
        </w:rPr>
      </w:pPr>
      <w:r w:rsidRPr="00297A95">
        <w:rPr>
          <w:rFonts w:ascii="Arial" w:hAnsi="Arial" w:cs="Arial"/>
        </w:rPr>
        <w:t xml:space="preserve">Acute ocular involvement in SJS/TEN usually occurs concurrently with skin disease, but may develop before or after the appearance of cutaneous signs. A longitudinal study by </w:t>
      </w:r>
      <w:proofErr w:type="spellStart"/>
      <w:r w:rsidRPr="00297A95">
        <w:rPr>
          <w:rFonts w:ascii="Arial" w:hAnsi="Arial" w:cs="Arial"/>
        </w:rPr>
        <w:t>Gueudry</w:t>
      </w:r>
      <w:proofErr w:type="spellEnd"/>
      <w:r w:rsidRPr="00297A95">
        <w:rPr>
          <w:rFonts w:ascii="Arial" w:hAnsi="Arial" w:cs="Arial"/>
        </w:rPr>
        <w:t xml:space="preserve"> </w:t>
      </w:r>
      <w:r w:rsidRPr="00297A95">
        <w:rPr>
          <w:rFonts w:ascii="Arial" w:hAnsi="Arial" w:cs="Arial"/>
          <w:i/>
        </w:rPr>
        <w:lastRenderedPageBreak/>
        <w:t>et al.</w:t>
      </w:r>
      <w:r w:rsidRPr="00297A95">
        <w:rPr>
          <w:rFonts w:ascii="Arial" w:hAnsi="Arial" w:cs="Arial"/>
        </w:rPr>
        <w:t xml:space="preserve"> of 159 SJS/TEN patients demonstrated that 74% (117/159) suffered eye involvement during the acute phase of the illness.</w:t>
      </w:r>
      <w:r w:rsidRPr="00FF70EF">
        <w:rPr>
          <w:rFonts w:ascii="Arial" w:hAnsi="Arial" w:cs="Arial"/>
          <w:noProof/>
          <w:vertAlign w:val="superscript"/>
        </w:rPr>
        <w:t>59</w:t>
      </w:r>
      <w:r w:rsidRPr="00297A95">
        <w:rPr>
          <w:rFonts w:ascii="Arial" w:hAnsi="Arial" w:cs="Arial"/>
        </w:rPr>
        <w:t xml:space="preserve"> Inflammation of the mucosal surfaces of the eye and eyelids is accompanied by </w:t>
      </w:r>
      <w:proofErr w:type="spellStart"/>
      <w:r w:rsidRPr="00297A95">
        <w:rPr>
          <w:rFonts w:ascii="Arial" w:hAnsi="Arial" w:cs="Arial"/>
        </w:rPr>
        <w:t>chemosis</w:t>
      </w:r>
      <w:proofErr w:type="spellEnd"/>
      <w:r w:rsidRPr="00297A95">
        <w:rPr>
          <w:rFonts w:ascii="Arial" w:hAnsi="Arial" w:cs="Arial"/>
        </w:rPr>
        <w:t xml:space="preserve">, conjunctivitis, </w:t>
      </w:r>
      <w:proofErr w:type="spellStart"/>
      <w:r w:rsidRPr="00297A95">
        <w:rPr>
          <w:rFonts w:ascii="Arial" w:hAnsi="Arial" w:cs="Arial"/>
        </w:rPr>
        <w:t>pseudomembrane</w:t>
      </w:r>
      <w:proofErr w:type="spellEnd"/>
      <w:r w:rsidRPr="00297A95">
        <w:rPr>
          <w:rFonts w:ascii="Arial" w:hAnsi="Arial" w:cs="Arial"/>
        </w:rPr>
        <w:t xml:space="preserve"> formation and corneal and conjunctival epithelial defects. Power </w:t>
      </w:r>
      <w:r w:rsidRPr="00297A95">
        <w:rPr>
          <w:rFonts w:ascii="Arial" w:hAnsi="Arial" w:cs="Arial"/>
          <w:i/>
        </w:rPr>
        <w:t>et al.</w:t>
      </w:r>
      <w:r w:rsidRPr="00297A95">
        <w:rPr>
          <w:rFonts w:ascii="Arial" w:hAnsi="Arial" w:cs="Arial"/>
        </w:rPr>
        <w:t xml:space="preserve"> </w:t>
      </w:r>
      <w:r>
        <w:rPr>
          <w:rFonts w:ascii="Arial" w:hAnsi="Arial" w:cs="Arial"/>
        </w:rPr>
        <w:t>described a grading system for</w:t>
      </w:r>
      <w:r w:rsidRPr="00297A95">
        <w:rPr>
          <w:rFonts w:ascii="Arial" w:hAnsi="Arial" w:cs="Arial"/>
        </w:rPr>
        <w:t xml:space="preserve"> ocular SJS/TEN </w:t>
      </w:r>
      <w:r>
        <w:rPr>
          <w:rFonts w:ascii="Arial" w:hAnsi="Arial" w:cs="Arial"/>
        </w:rPr>
        <w:t>which describes the acute eye complications</w:t>
      </w:r>
      <w:r w:rsidRPr="00297A95">
        <w:rPr>
          <w:rFonts w:ascii="Arial" w:hAnsi="Arial" w:cs="Arial"/>
        </w:rPr>
        <w:t xml:space="preserve"> (see Table </w:t>
      </w:r>
      <w:r>
        <w:rPr>
          <w:rFonts w:ascii="Arial" w:hAnsi="Arial" w:cs="Arial"/>
        </w:rPr>
        <w:t>5</w:t>
      </w:r>
      <w:r w:rsidRPr="00297A95">
        <w:rPr>
          <w:rFonts w:ascii="Arial" w:hAnsi="Arial" w:cs="Arial"/>
        </w:rPr>
        <w:t>).</w:t>
      </w:r>
      <w:r w:rsidRPr="00FF70EF">
        <w:rPr>
          <w:rFonts w:ascii="Arial" w:hAnsi="Arial" w:cs="Arial"/>
          <w:noProof/>
          <w:vertAlign w:val="superscript"/>
        </w:rPr>
        <w:t>60</w:t>
      </w:r>
      <w:r w:rsidRPr="00297A95">
        <w:rPr>
          <w:rFonts w:ascii="Arial" w:hAnsi="Arial" w:cs="Arial"/>
        </w:rPr>
        <w:t xml:space="preserve"> Of the 159 patients in </w:t>
      </w:r>
      <w:proofErr w:type="spellStart"/>
      <w:r w:rsidRPr="00297A95">
        <w:rPr>
          <w:rFonts w:ascii="Arial" w:hAnsi="Arial" w:cs="Arial"/>
        </w:rPr>
        <w:t>Gueudry</w:t>
      </w:r>
      <w:proofErr w:type="spellEnd"/>
      <w:r w:rsidRPr="00297A95">
        <w:rPr>
          <w:rFonts w:ascii="Arial" w:hAnsi="Arial" w:cs="Arial"/>
          <w:i/>
        </w:rPr>
        <w:t xml:space="preserve"> et al.</w:t>
      </w:r>
      <w:r w:rsidRPr="00297A95">
        <w:rPr>
          <w:rFonts w:ascii="Arial" w:hAnsi="Arial" w:cs="Arial"/>
        </w:rPr>
        <w:t>’s study 58% (92/159) had mild involvement, 8% (12/159) moderate and 8% (13/159) severe; in the remaining 26% (42/159) of patients there was either no acute eye involvement or no recording of acute eye features.</w:t>
      </w:r>
      <w:r w:rsidRPr="00FF70EF">
        <w:rPr>
          <w:rFonts w:ascii="Arial" w:hAnsi="Arial" w:cs="Arial"/>
          <w:noProof/>
          <w:vertAlign w:val="superscript"/>
        </w:rPr>
        <w:t>59</w:t>
      </w:r>
      <w:r w:rsidRPr="00297A95">
        <w:rPr>
          <w:rFonts w:ascii="Arial" w:hAnsi="Arial" w:cs="Arial"/>
        </w:rPr>
        <w:t xml:space="preserve"> Patients with TEN had more frequent, but not more severe, acute ocular involvement than patients with SJS. </w:t>
      </w:r>
      <w:r>
        <w:rPr>
          <w:rFonts w:ascii="Arial" w:hAnsi="Arial" w:cs="Arial"/>
        </w:rPr>
        <w:t>Sixty three percent</w:t>
      </w:r>
      <w:r w:rsidRPr="00297A95">
        <w:rPr>
          <w:rFonts w:ascii="Arial" w:hAnsi="Arial" w:cs="Arial"/>
        </w:rPr>
        <w:t xml:space="preserve"> (31/49) of those with acute ocular involvement went on to develop chronic complications.</w:t>
      </w:r>
      <w:r w:rsidRPr="00FF70EF">
        <w:rPr>
          <w:rFonts w:ascii="Arial" w:hAnsi="Arial" w:cs="Arial"/>
          <w:noProof/>
          <w:vertAlign w:val="superscript"/>
        </w:rPr>
        <w:t>59</w:t>
      </w:r>
      <w:hyperlink w:anchor="_ENREF_55" w:tooltip="Gueudry, 2009 #358" w:history="1"/>
      <w:r w:rsidRPr="00297A95">
        <w:rPr>
          <w:rFonts w:ascii="Arial" w:hAnsi="Arial" w:cs="Arial"/>
        </w:rPr>
        <w:t xml:space="preserve"> </w:t>
      </w:r>
      <w:r>
        <w:rPr>
          <w:rFonts w:ascii="Arial" w:hAnsi="Arial" w:cs="Arial"/>
        </w:rPr>
        <w:t xml:space="preserve">Yip </w:t>
      </w:r>
      <w:r>
        <w:rPr>
          <w:rFonts w:ascii="Arial" w:hAnsi="Arial" w:cs="Arial"/>
          <w:i/>
        </w:rPr>
        <w:t xml:space="preserve">et al. </w:t>
      </w:r>
      <w:r w:rsidRPr="001F5903">
        <w:rPr>
          <w:rFonts w:ascii="Arial" w:hAnsi="Arial" w:cs="Arial"/>
        </w:rPr>
        <w:t>also used the Power</w:t>
      </w:r>
      <w:r>
        <w:rPr>
          <w:rFonts w:ascii="Arial" w:hAnsi="Arial" w:cs="Arial"/>
        </w:rPr>
        <w:t xml:space="preserve"> </w:t>
      </w:r>
      <w:r>
        <w:rPr>
          <w:rFonts w:ascii="Arial" w:hAnsi="Arial" w:cs="Arial"/>
          <w:i/>
        </w:rPr>
        <w:t>et al.</w:t>
      </w:r>
      <w:r w:rsidRPr="001F5903">
        <w:rPr>
          <w:rFonts w:ascii="Arial" w:hAnsi="Arial" w:cs="Arial"/>
        </w:rPr>
        <w:t xml:space="preserve"> classification to assess the outcomes of 117 patients with SJS/TEN of whom</w:t>
      </w:r>
      <w:r>
        <w:rPr>
          <w:rFonts w:ascii="Arial" w:hAnsi="Arial" w:cs="Arial"/>
        </w:rPr>
        <w:t xml:space="preserve"> 81</w:t>
      </w:r>
      <w:r w:rsidRPr="001F5903">
        <w:rPr>
          <w:rFonts w:ascii="Arial" w:hAnsi="Arial" w:cs="Arial"/>
        </w:rPr>
        <w:t xml:space="preserve"> (69%) had acute ocular involvement.</w:t>
      </w:r>
      <w:r w:rsidRPr="00FF70EF">
        <w:rPr>
          <w:rFonts w:ascii="Arial" w:hAnsi="Arial" w:cs="Arial"/>
          <w:noProof/>
          <w:vertAlign w:val="superscript"/>
        </w:rPr>
        <w:t>61</w:t>
      </w:r>
      <w:r w:rsidRPr="001F5903">
        <w:rPr>
          <w:rFonts w:ascii="Arial" w:hAnsi="Arial" w:cs="Arial"/>
        </w:rPr>
        <w:t xml:space="preserve"> This was mild in 40%, moderate in 25% and severe in 4%. Forty-four patients had a minimum of 6 months of follow-up</w:t>
      </w:r>
      <w:r>
        <w:rPr>
          <w:rFonts w:ascii="Arial" w:hAnsi="Arial" w:cs="Arial"/>
        </w:rPr>
        <w:t>;</w:t>
      </w:r>
      <w:r w:rsidRPr="001F5903">
        <w:rPr>
          <w:rFonts w:ascii="Arial" w:hAnsi="Arial" w:cs="Arial"/>
        </w:rPr>
        <w:t xml:space="preserve"> 50% developed late complications, of which the commonest were severe dry eyes and </w:t>
      </w:r>
      <w:proofErr w:type="spellStart"/>
      <w:r w:rsidRPr="001F5903">
        <w:rPr>
          <w:rFonts w:ascii="Arial" w:hAnsi="Arial" w:cs="Arial"/>
        </w:rPr>
        <w:t>trichiasis</w:t>
      </w:r>
      <w:proofErr w:type="spellEnd"/>
      <w:r w:rsidRPr="001F5903">
        <w:rPr>
          <w:rFonts w:ascii="Arial" w:hAnsi="Arial" w:cs="Arial"/>
        </w:rPr>
        <w:t xml:space="preserve">. There was no difference in the severity of acute eye involvement or late complications when SJS and TEN patients were compared. In addition the severity of the acute ocular disease was not a risk factor for late complications. The conclusions that can be drawn from these studies </w:t>
      </w:r>
      <w:proofErr w:type="gramStart"/>
      <w:r>
        <w:rPr>
          <w:rFonts w:ascii="Arial" w:hAnsi="Arial" w:cs="Arial"/>
        </w:rPr>
        <w:t>are</w:t>
      </w:r>
      <w:r w:rsidRPr="001F5903">
        <w:rPr>
          <w:rFonts w:ascii="Arial" w:hAnsi="Arial" w:cs="Arial"/>
        </w:rPr>
        <w:t xml:space="preserve"> that</w:t>
      </w:r>
      <w:proofErr w:type="gramEnd"/>
      <w:r w:rsidRPr="001F5903">
        <w:rPr>
          <w:rFonts w:ascii="Arial" w:hAnsi="Arial" w:cs="Arial"/>
        </w:rPr>
        <w:t xml:space="preserve"> neither the severity of the systemic disease, nor the grade of the acute ocular disease, is predictive for late ocular complications. Because the latter may not become apparent until late after the acute episode</w:t>
      </w:r>
      <w:r>
        <w:rPr>
          <w:rFonts w:ascii="Arial" w:hAnsi="Arial" w:cs="Arial"/>
        </w:rPr>
        <w:t>,</w:t>
      </w:r>
      <w:r w:rsidRPr="001F5903">
        <w:rPr>
          <w:rFonts w:ascii="Arial" w:hAnsi="Arial" w:cs="Arial"/>
        </w:rPr>
        <w:t xml:space="preserve"> clinicians should be aware of this and make appropriate follow up arrangements.</w:t>
      </w:r>
      <w:hyperlink w:anchor="_ENREF_55" w:tooltip="Gueudry, 2009 #358" w:history="1"/>
      <w:r w:rsidRPr="00297A95">
        <w:rPr>
          <w:rFonts w:ascii="Arial" w:hAnsi="Arial" w:cs="Arial"/>
        </w:rPr>
        <w:t xml:space="preserve"> </w:t>
      </w:r>
      <w:r>
        <w:rPr>
          <w:rFonts w:ascii="Arial" w:hAnsi="Arial" w:cs="Arial"/>
        </w:rPr>
        <w:t>However,</w:t>
      </w:r>
      <w:r w:rsidRPr="00297A95">
        <w:rPr>
          <w:rFonts w:ascii="Arial" w:hAnsi="Arial" w:cs="Arial"/>
        </w:rPr>
        <w:t xml:space="preserve"> effective management of ocular inflammation in the acute stages of SJS/TEN</w:t>
      </w:r>
      <w:r>
        <w:rPr>
          <w:rFonts w:ascii="Arial" w:hAnsi="Arial" w:cs="Arial"/>
        </w:rPr>
        <w:t>, summarized in Table 5, will prevent or mitigate acute blinding, corneal complications and</w:t>
      </w:r>
      <w:r w:rsidRPr="00297A95">
        <w:rPr>
          <w:rFonts w:ascii="Arial" w:hAnsi="Arial" w:cs="Arial"/>
        </w:rPr>
        <w:t xml:space="preserve"> may reduce the severity of </w:t>
      </w:r>
      <w:r>
        <w:rPr>
          <w:rFonts w:ascii="Arial" w:hAnsi="Arial" w:cs="Arial"/>
        </w:rPr>
        <w:t xml:space="preserve">the </w:t>
      </w:r>
      <w:r w:rsidRPr="00297A95">
        <w:rPr>
          <w:rFonts w:ascii="Arial" w:hAnsi="Arial" w:cs="Arial"/>
        </w:rPr>
        <w:t xml:space="preserve">chronic eye disease. </w:t>
      </w:r>
    </w:p>
    <w:p w:rsidR="00BD084C" w:rsidRPr="00297A95" w:rsidRDefault="00BD084C" w:rsidP="0085034D">
      <w:pPr>
        <w:pStyle w:val="NoSpacing"/>
        <w:spacing w:line="276"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6576"/>
      </w:tblGrid>
      <w:tr w:rsidR="00BD084C" w:rsidRPr="00297A95" w:rsidTr="0085034D">
        <w:tc>
          <w:tcPr>
            <w:tcW w:w="1099" w:type="dxa"/>
            <w:vMerge w:val="restart"/>
            <w:tcBorders>
              <w:top w:val="nil"/>
              <w:left w:val="nil"/>
              <w:right w:val="single" w:sz="8" w:space="0" w:color="FFFFFF"/>
            </w:tcBorders>
            <w:shd w:val="clear" w:color="auto" w:fill="00B0F0"/>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Mild:</w:t>
            </w:r>
          </w:p>
        </w:tc>
        <w:tc>
          <w:tcPr>
            <w:tcW w:w="0" w:type="auto"/>
            <w:tcBorders>
              <w:top w:val="single" w:sz="8" w:space="0" w:color="00B0F0"/>
              <w:left w:val="single" w:sz="8" w:space="0" w:color="FFFFFF"/>
              <w:bottom w:val="single" w:sz="8" w:space="0" w:color="00B0F0"/>
              <w:right w:val="single" w:sz="8" w:space="0" w:color="00B0F0"/>
            </w:tcBorders>
            <w:shd w:val="clear" w:color="auto" w:fill="E5F4F7"/>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eyelid oedema</w:t>
            </w:r>
          </w:p>
        </w:tc>
      </w:tr>
      <w:tr w:rsidR="00BD084C" w:rsidRPr="00297A95" w:rsidTr="0085034D">
        <w:tc>
          <w:tcPr>
            <w:tcW w:w="1099" w:type="dxa"/>
            <w:vMerge/>
            <w:tcBorders>
              <w:left w:val="nil"/>
              <w:right w:val="single" w:sz="8" w:space="0" w:color="FFFFFF"/>
            </w:tcBorders>
            <w:shd w:val="clear" w:color="auto" w:fill="00B0F0"/>
          </w:tcPr>
          <w:p w:rsidR="00BD084C" w:rsidRPr="00297A95" w:rsidRDefault="00BD084C" w:rsidP="0085034D">
            <w:pPr>
              <w:pStyle w:val="NoSpacing"/>
              <w:spacing w:line="276" w:lineRule="auto"/>
              <w:jc w:val="both"/>
              <w:rPr>
                <w:rFonts w:ascii="Arial" w:hAnsi="Arial" w:cs="Arial"/>
              </w:rPr>
            </w:pPr>
          </w:p>
        </w:tc>
        <w:tc>
          <w:tcPr>
            <w:tcW w:w="0" w:type="auto"/>
            <w:tcBorders>
              <w:top w:val="single" w:sz="8" w:space="0" w:color="00B0F0"/>
              <w:left w:val="single" w:sz="8" w:space="0" w:color="FFFFFF"/>
              <w:bottom w:val="single" w:sz="8" w:space="0" w:color="00B0F0"/>
              <w:right w:val="single" w:sz="8" w:space="0" w:color="00B0F0"/>
            </w:tcBorders>
            <w:shd w:val="clear" w:color="auto" w:fill="E5F4F7"/>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 mild conjunctival injection</w:t>
            </w:r>
          </w:p>
        </w:tc>
      </w:tr>
      <w:tr w:rsidR="00BD084C" w:rsidRPr="00297A95" w:rsidTr="0085034D">
        <w:tc>
          <w:tcPr>
            <w:tcW w:w="1099" w:type="dxa"/>
            <w:vMerge/>
            <w:tcBorders>
              <w:left w:val="nil"/>
              <w:bottom w:val="nil"/>
              <w:right w:val="single" w:sz="8" w:space="0" w:color="FFFFFF"/>
            </w:tcBorders>
            <w:shd w:val="clear" w:color="auto" w:fill="00B0F0"/>
          </w:tcPr>
          <w:p w:rsidR="00BD084C" w:rsidRPr="00297A95" w:rsidRDefault="00BD084C" w:rsidP="0085034D">
            <w:pPr>
              <w:pStyle w:val="NoSpacing"/>
              <w:spacing w:line="276" w:lineRule="auto"/>
              <w:jc w:val="both"/>
              <w:rPr>
                <w:rFonts w:ascii="Arial" w:hAnsi="Arial" w:cs="Arial"/>
              </w:rPr>
            </w:pPr>
          </w:p>
        </w:tc>
        <w:tc>
          <w:tcPr>
            <w:tcW w:w="0" w:type="auto"/>
            <w:tcBorders>
              <w:top w:val="single" w:sz="8" w:space="0" w:color="00B0F0"/>
              <w:left w:val="single" w:sz="8" w:space="0" w:color="FFFFFF"/>
              <w:bottom w:val="single" w:sz="8" w:space="0" w:color="00B0F0"/>
              <w:right w:val="single" w:sz="8" w:space="0" w:color="00B0F0"/>
            </w:tcBorders>
            <w:shd w:val="clear" w:color="auto" w:fill="E5F4F7"/>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 </w:t>
            </w:r>
            <w:proofErr w:type="spellStart"/>
            <w:r w:rsidRPr="00297A95">
              <w:rPr>
                <w:rFonts w:ascii="Arial" w:hAnsi="Arial" w:cs="Arial"/>
              </w:rPr>
              <w:t>chemosis</w:t>
            </w:r>
            <w:proofErr w:type="spellEnd"/>
          </w:p>
        </w:tc>
      </w:tr>
      <w:tr w:rsidR="00BD084C" w:rsidRPr="00297A95" w:rsidTr="0085034D">
        <w:tc>
          <w:tcPr>
            <w:tcW w:w="1099" w:type="dxa"/>
            <w:vMerge w:val="restart"/>
            <w:tcBorders>
              <w:top w:val="nil"/>
              <w:left w:val="nil"/>
              <w:right w:val="single" w:sz="8" w:space="0" w:color="FFFFFF"/>
            </w:tcBorders>
            <w:shd w:val="clear" w:color="auto" w:fill="00B0F0"/>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Moderate:</w:t>
            </w:r>
          </w:p>
        </w:tc>
        <w:tc>
          <w:tcPr>
            <w:tcW w:w="0" w:type="auto"/>
            <w:tcBorders>
              <w:top w:val="single" w:sz="8" w:space="0" w:color="00B0F0"/>
              <w:left w:val="single" w:sz="8" w:space="0" w:color="FFFFFF"/>
              <w:bottom w:val="single" w:sz="8" w:space="0" w:color="00B0F0"/>
              <w:right w:val="single" w:sz="8" w:space="0" w:color="00B0F0"/>
            </w:tcBorders>
            <w:shd w:val="clear" w:color="auto" w:fill="E5F4F7"/>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membranous conjunctivitis</w:t>
            </w:r>
          </w:p>
        </w:tc>
      </w:tr>
      <w:tr w:rsidR="00BD084C" w:rsidRPr="00297A95" w:rsidTr="0085034D">
        <w:tc>
          <w:tcPr>
            <w:tcW w:w="1099" w:type="dxa"/>
            <w:vMerge/>
            <w:tcBorders>
              <w:left w:val="nil"/>
              <w:right w:val="single" w:sz="8" w:space="0" w:color="FFFFFF"/>
            </w:tcBorders>
            <w:shd w:val="clear" w:color="auto" w:fill="00B0F0"/>
          </w:tcPr>
          <w:p w:rsidR="00BD084C" w:rsidRPr="00297A95" w:rsidRDefault="00BD084C" w:rsidP="0085034D">
            <w:pPr>
              <w:pStyle w:val="NoSpacing"/>
              <w:spacing w:line="276" w:lineRule="auto"/>
              <w:jc w:val="both"/>
              <w:rPr>
                <w:rFonts w:ascii="Arial" w:hAnsi="Arial" w:cs="Arial"/>
              </w:rPr>
            </w:pPr>
          </w:p>
        </w:tc>
        <w:tc>
          <w:tcPr>
            <w:tcW w:w="0" w:type="auto"/>
            <w:tcBorders>
              <w:top w:val="single" w:sz="8" w:space="0" w:color="00B0F0"/>
              <w:left w:val="single" w:sz="8" w:space="0" w:color="FFFFFF"/>
              <w:bottom w:val="single" w:sz="8" w:space="0" w:color="00B0F0"/>
              <w:right w:val="single" w:sz="8" w:space="0" w:color="00B0F0"/>
            </w:tcBorders>
            <w:shd w:val="clear" w:color="auto" w:fill="E5F4F7"/>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 corneal epithelial defects (&gt;30% healing with medical therapy)</w:t>
            </w:r>
          </w:p>
        </w:tc>
      </w:tr>
      <w:tr w:rsidR="00BD084C" w:rsidRPr="00297A95" w:rsidTr="0085034D">
        <w:tc>
          <w:tcPr>
            <w:tcW w:w="1099" w:type="dxa"/>
            <w:vMerge/>
            <w:tcBorders>
              <w:left w:val="nil"/>
              <w:right w:val="single" w:sz="8" w:space="0" w:color="FFFFFF"/>
            </w:tcBorders>
            <w:shd w:val="clear" w:color="auto" w:fill="00B0F0"/>
          </w:tcPr>
          <w:p w:rsidR="00BD084C" w:rsidRPr="00297A95" w:rsidRDefault="00BD084C" w:rsidP="0085034D">
            <w:pPr>
              <w:pStyle w:val="NoSpacing"/>
              <w:spacing w:line="276" w:lineRule="auto"/>
              <w:jc w:val="both"/>
              <w:rPr>
                <w:rFonts w:ascii="Arial" w:hAnsi="Arial" w:cs="Arial"/>
              </w:rPr>
            </w:pPr>
          </w:p>
        </w:tc>
        <w:tc>
          <w:tcPr>
            <w:tcW w:w="0" w:type="auto"/>
            <w:tcBorders>
              <w:top w:val="single" w:sz="8" w:space="0" w:color="00B0F0"/>
              <w:left w:val="single" w:sz="8" w:space="0" w:color="FFFFFF"/>
              <w:bottom w:val="single" w:sz="8" w:space="0" w:color="00B0F0"/>
              <w:right w:val="single" w:sz="8" w:space="0" w:color="00B0F0"/>
            </w:tcBorders>
            <w:shd w:val="clear" w:color="auto" w:fill="E5F4F7"/>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 corneal ulceration</w:t>
            </w:r>
          </w:p>
        </w:tc>
      </w:tr>
      <w:tr w:rsidR="00BD084C" w:rsidRPr="00297A95" w:rsidTr="0085034D">
        <w:tc>
          <w:tcPr>
            <w:tcW w:w="1099" w:type="dxa"/>
            <w:vMerge/>
            <w:tcBorders>
              <w:left w:val="nil"/>
              <w:bottom w:val="nil"/>
              <w:right w:val="single" w:sz="8" w:space="0" w:color="FFFFFF"/>
            </w:tcBorders>
            <w:shd w:val="clear" w:color="auto" w:fill="00B0F0"/>
          </w:tcPr>
          <w:p w:rsidR="00BD084C" w:rsidRPr="00297A95" w:rsidRDefault="00BD084C" w:rsidP="0085034D">
            <w:pPr>
              <w:pStyle w:val="NoSpacing"/>
              <w:spacing w:line="276" w:lineRule="auto"/>
              <w:jc w:val="both"/>
              <w:rPr>
                <w:rFonts w:ascii="Arial" w:hAnsi="Arial" w:cs="Arial"/>
              </w:rPr>
            </w:pPr>
          </w:p>
        </w:tc>
        <w:tc>
          <w:tcPr>
            <w:tcW w:w="0" w:type="auto"/>
            <w:tcBorders>
              <w:top w:val="single" w:sz="8" w:space="0" w:color="00B0F0"/>
              <w:left w:val="single" w:sz="8" w:space="0" w:color="FFFFFF"/>
              <w:bottom w:val="single" w:sz="8" w:space="0" w:color="00B0F0"/>
              <w:right w:val="single" w:sz="8" w:space="0" w:color="00B0F0"/>
            </w:tcBorders>
            <w:shd w:val="clear" w:color="auto" w:fill="E5F4F7"/>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 corneal infiltrates</w:t>
            </w:r>
          </w:p>
        </w:tc>
      </w:tr>
      <w:tr w:rsidR="00BD084C" w:rsidRPr="00297A95" w:rsidTr="0085034D">
        <w:tc>
          <w:tcPr>
            <w:tcW w:w="1099" w:type="dxa"/>
            <w:vMerge w:val="restart"/>
            <w:tcBorders>
              <w:top w:val="nil"/>
              <w:left w:val="nil"/>
              <w:right w:val="single" w:sz="8" w:space="0" w:color="FFFFFF"/>
            </w:tcBorders>
            <w:shd w:val="clear" w:color="auto" w:fill="00B0F0"/>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Severe:</w:t>
            </w:r>
          </w:p>
        </w:tc>
        <w:tc>
          <w:tcPr>
            <w:tcW w:w="0" w:type="auto"/>
            <w:tcBorders>
              <w:top w:val="single" w:sz="8" w:space="0" w:color="00B0F0"/>
              <w:left w:val="single" w:sz="8" w:space="0" w:color="FFFFFF"/>
              <w:bottom w:val="single" w:sz="8" w:space="0" w:color="00B0F0"/>
              <w:right w:val="single" w:sz="8" w:space="0" w:color="00B0F0"/>
            </w:tcBorders>
            <w:shd w:val="clear" w:color="auto" w:fill="E5F4F7"/>
          </w:tcPr>
          <w:p w:rsidR="00BD084C" w:rsidRPr="00297A95" w:rsidRDefault="00BD084C" w:rsidP="0085034D">
            <w:pPr>
              <w:pStyle w:val="NoSpacing"/>
              <w:spacing w:line="276" w:lineRule="auto"/>
              <w:jc w:val="both"/>
              <w:rPr>
                <w:rFonts w:ascii="Arial" w:hAnsi="Arial" w:cs="Arial"/>
              </w:rPr>
            </w:pPr>
            <w:proofErr w:type="spellStart"/>
            <w:r w:rsidRPr="00297A95">
              <w:rPr>
                <w:rFonts w:ascii="Arial" w:hAnsi="Arial" w:cs="Arial"/>
              </w:rPr>
              <w:t>symblepharon</w:t>
            </w:r>
            <w:proofErr w:type="spellEnd"/>
            <w:r w:rsidRPr="00297A95">
              <w:rPr>
                <w:rFonts w:ascii="Arial" w:hAnsi="Arial" w:cs="Arial"/>
              </w:rPr>
              <w:t xml:space="preserve"> formation</w:t>
            </w:r>
          </w:p>
        </w:tc>
      </w:tr>
      <w:tr w:rsidR="00BD084C" w:rsidRPr="00297A95" w:rsidTr="0085034D">
        <w:tc>
          <w:tcPr>
            <w:tcW w:w="1099" w:type="dxa"/>
            <w:vMerge/>
            <w:tcBorders>
              <w:left w:val="nil"/>
              <w:right w:val="single" w:sz="8" w:space="0" w:color="FFFFFF"/>
            </w:tcBorders>
            <w:shd w:val="clear" w:color="auto" w:fill="00B0F0"/>
          </w:tcPr>
          <w:p w:rsidR="00BD084C" w:rsidRPr="00297A95" w:rsidRDefault="00BD084C" w:rsidP="0085034D">
            <w:pPr>
              <w:pStyle w:val="NoSpacing"/>
              <w:spacing w:line="276" w:lineRule="auto"/>
              <w:jc w:val="both"/>
              <w:rPr>
                <w:rFonts w:ascii="Arial" w:hAnsi="Arial" w:cs="Arial"/>
              </w:rPr>
            </w:pPr>
          </w:p>
        </w:tc>
        <w:tc>
          <w:tcPr>
            <w:tcW w:w="0" w:type="auto"/>
            <w:tcBorders>
              <w:top w:val="single" w:sz="8" w:space="0" w:color="00B0F0"/>
              <w:left w:val="single" w:sz="8" w:space="0" w:color="FFFFFF"/>
              <w:bottom w:val="single" w:sz="8" w:space="0" w:color="00B0F0"/>
              <w:right w:val="single" w:sz="8" w:space="0" w:color="00B0F0"/>
            </w:tcBorders>
            <w:shd w:val="clear" w:color="auto" w:fill="E5F4F7"/>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 non-healing corneal epithelial defects</w:t>
            </w:r>
          </w:p>
        </w:tc>
      </w:tr>
      <w:tr w:rsidR="00BD084C" w:rsidRPr="00297A95" w:rsidTr="0085034D">
        <w:tc>
          <w:tcPr>
            <w:tcW w:w="1099" w:type="dxa"/>
            <w:vMerge/>
            <w:tcBorders>
              <w:left w:val="nil"/>
              <w:right w:val="single" w:sz="8" w:space="0" w:color="FFFFFF"/>
            </w:tcBorders>
            <w:shd w:val="clear" w:color="auto" w:fill="00B0F0"/>
          </w:tcPr>
          <w:p w:rsidR="00BD084C" w:rsidRPr="00297A95" w:rsidRDefault="00BD084C" w:rsidP="0085034D">
            <w:pPr>
              <w:pStyle w:val="NoSpacing"/>
              <w:spacing w:line="276" w:lineRule="auto"/>
              <w:jc w:val="both"/>
              <w:rPr>
                <w:rFonts w:ascii="Arial" w:hAnsi="Arial" w:cs="Arial"/>
              </w:rPr>
            </w:pPr>
          </w:p>
        </w:tc>
        <w:tc>
          <w:tcPr>
            <w:tcW w:w="0" w:type="auto"/>
            <w:tcBorders>
              <w:top w:val="single" w:sz="8" w:space="0" w:color="00B0F0"/>
              <w:left w:val="single" w:sz="8" w:space="0" w:color="FFFFFF"/>
              <w:bottom w:val="single" w:sz="8" w:space="0" w:color="00B0F0"/>
              <w:right w:val="single" w:sz="8" w:space="0" w:color="00B0F0"/>
            </w:tcBorders>
            <w:shd w:val="clear" w:color="auto" w:fill="E5F4F7"/>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 visual loss </w:t>
            </w:r>
          </w:p>
        </w:tc>
      </w:tr>
      <w:tr w:rsidR="00BD084C" w:rsidRPr="00297A95" w:rsidTr="0085034D">
        <w:tc>
          <w:tcPr>
            <w:tcW w:w="1099" w:type="dxa"/>
            <w:vMerge/>
            <w:tcBorders>
              <w:left w:val="nil"/>
              <w:bottom w:val="nil"/>
              <w:right w:val="single" w:sz="8" w:space="0" w:color="FFFFFF"/>
            </w:tcBorders>
            <w:shd w:val="clear" w:color="auto" w:fill="00B0F0"/>
          </w:tcPr>
          <w:p w:rsidR="00BD084C" w:rsidRPr="00297A95" w:rsidRDefault="00BD084C" w:rsidP="0085034D">
            <w:pPr>
              <w:pStyle w:val="NoSpacing"/>
              <w:spacing w:line="276" w:lineRule="auto"/>
              <w:jc w:val="both"/>
              <w:rPr>
                <w:rFonts w:ascii="Arial" w:hAnsi="Arial" w:cs="Arial"/>
              </w:rPr>
            </w:pPr>
          </w:p>
        </w:tc>
        <w:tc>
          <w:tcPr>
            <w:tcW w:w="0" w:type="auto"/>
            <w:tcBorders>
              <w:top w:val="single" w:sz="8" w:space="0" w:color="00B0F0"/>
              <w:left w:val="single" w:sz="8" w:space="0" w:color="FFFFFF"/>
              <w:bottom w:val="single" w:sz="8" w:space="0" w:color="00B0F0"/>
              <w:right w:val="single" w:sz="8" w:space="0" w:color="00B0F0"/>
            </w:tcBorders>
            <w:shd w:val="clear" w:color="auto" w:fill="E5F4F7"/>
          </w:tcPr>
          <w:p w:rsidR="00BD084C" w:rsidRPr="00297A95" w:rsidRDefault="00BD084C" w:rsidP="0085034D">
            <w:pPr>
              <w:pStyle w:val="NoSpacing"/>
              <w:spacing w:line="276" w:lineRule="auto"/>
              <w:jc w:val="both"/>
              <w:rPr>
                <w:rFonts w:ascii="Arial" w:hAnsi="Arial" w:cs="Arial"/>
              </w:rPr>
            </w:pPr>
            <w:r w:rsidRPr="00297A95">
              <w:rPr>
                <w:rFonts w:ascii="Arial" w:hAnsi="Arial" w:cs="Arial"/>
              </w:rPr>
              <w:t>+/- conjunctival fornix foreshortening</w:t>
            </w:r>
          </w:p>
        </w:tc>
      </w:tr>
    </w:tbl>
    <w:p w:rsidR="00BD084C" w:rsidRDefault="00BD084C" w:rsidP="0085034D">
      <w:pPr>
        <w:pStyle w:val="NoSpacing"/>
        <w:spacing w:line="276" w:lineRule="auto"/>
        <w:jc w:val="both"/>
        <w:rPr>
          <w:rFonts w:ascii="Arial" w:hAnsi="Arial" w:cs="Arial"/>
        </w:rPr>
      </w:pPr>
      <w:proofErr w:type="gramStart"/>
      <w:r w:rsidRPr="00297A95">
        <w:rPr>
          <w:rFonts w:ascii="Arial" w:hAnsi="Arial" w:cs="Arial"/>
          <w:b/>
        </w:rPr>
        <w:t xml:space="preserve">Table </w:t>
      </w:r>
      <w:r>
        <w:rPr>
          <w:rFonts w:ascii="Arial" w:hAnsi="Arial" w:cs="Arial"/>
          <w:b/>
        </w:rPr>
        <w:t>5</w:t>
      </w:r>
      <w:r w:rsidRPr="00297A95">
        <w:rPr>
          <w:rFonts w:ascii="Arial" w:hAnsi="Arial" w:cs="Arial"/>
          <w:b/>
        </w:rPr>
        <w:t>.</w:t>
      </w:r>
      <w:proofErr w:type="gramEnd"/>
      <w:r w:rsidRPr="00297A95">
        <w:rPr>
          <w:rFonts w:ascii="Arial" w:hAnsi="Arial" w:cs="Arial"/>
        </w:rPr>
        <w:t xml:space="preserve"> Classification of acute ocular involvement in SJS/TEN</w:t>
      </w:r>
    </w:p>
    <w:p w:rsidR="00BD084C" w:rsidRDefault="00BD084C" w:rsidP="0085034D">
      <w:pPr>
        <w:pStyle w:val="NoSpacing"/>
        <w:spacing w:line="276" w:lineRule="auto"/>
        <w:jc w:val="both"/>
        <w:rPr>
          <w:rFonts w:ascii="Arial" w:hAnsi="Arial" w:cs="Arial"/>
        </w:rPr>
      </w:pPr>
    </w:p>
    <w:p w:rsidR="00BD084C" w:rsidRDefault="00BD084C" w:rsidP="0085034D">
      <w:pPr>
        <w:pStyle w:val="NoSpacing"/>
        <w:spacing w:line="276" w:lineRule="auto"/>
        <w:jc w:val="both"/>
        <w:rPr>
          <w:rFonts w:ascii="Arial" w:hAnsi="Arial" w:cs="Arial"/>
        </w:rPr>
      </w:pPr>
      <w:r>
        <w:rPr>
          <w:rFonts w:ascii="Arial" w:hAnsi="Arial" w:cs="Arial"/>
        </w:rPr>
        <w:t>R</w:t>
      </w:r>
      <w:r w:rsidRPr="0001471F">
        <w:rPr>
          <w:rFonts w:ascii="Arial" w:hAnsi="Arial" w:cs="Arial"/>
        </w:rPr>
        <w:t>ecently</w:t>
      </w:r>
      <w:r>
        <w:rPr>
          <w:rFonts w:ascii="Arial" w:hAnsi="Arial" w:cs="Arial"/>
        </w:rPr>
        <w:t>,</w:t>
      </w:r>
      <w:r w:rsidRPr="0001471F">
        <w:rPr>
          <w:rFonts w:ascii="Arial" w:hAnsi="Arial" w:cs="Arial"/>
        </w:rPr>
        <w:t xml:space="preserve"> </w:t>
      </w:r>
      <w:r>
        <w:rPr>
          <w:rFonts w:ascii="Arial" w:hAnsi="Arial" w:cs="Arial"/>
        </w:rPr>
        <w:t>a</w:t>
      </w:r>
      <w:r w:rsidRPr="0001471F">
        <w:rPr>
          <w:rFonts w:ascii="Arial" w:hAnsi="Arial" w:cs="Arial"/>
        </w:rPr>
        <w:t xml:space="preserve"> simpl</w:t>
      </w:r>
      <w:r>
        <w:rPr>
          <w:rFonts w:ascii="Arial" w:hAnsi="Arial" w:cs="Arial"/>
        </w:rPr>
        <w:t>ified system for</w:t>
      </w:r>
      <w:r w:rsidRPr="0001471F">
        <w:rPr>
          <w:rFonts w:ascii="Arial" w:hAnsi="Arial" w:cs="Arial"/>
        </w:rPr>
        <w:t xml:space="preserve"> grading </w:t>
      </w:r>
      <w:r>
        <w:rPr>
          <w:rFonts w:ascii="Arial" w:hAnsi="Arial" w:cs="Arial"/>
        </w:rPr>
        <w:t>ocular involvement has been published</w:t>
      </w:r>
      <w:r w:rsidRPr="0001471F">
        <w:rPr>
          <w:rFonts w:ascii="Arial" w:hAnsi="Arial" w:cs="Arial"/>
        </w:rPr>
        <w:t xml:space="preserve"> (Table </w:t>
      </w:r>
      <w:r>
        <w:rPr>
          <w:rFonts w:ascii="Arial" w:hAnsi="Arial" w:cs="Arial"/>
        </w:rPr>
        <w:t>6</w:t>
      </w:r>
      <w:r w:rsidRPr="0001471F">
        <w:rPr>
          <w:rFonts w:ascii="Arial" w:hAnsi="Arial" w:cs="Arial"/>
        </w:rPr>
        <w:t>)</w:t>
      </w:r>
      <w:r>
        <w:rPr>
          <w:rFonts w:ascii="Arial" w:hAnsi="Arial" w:cs="Arial"/>
        </w:rPr>
        <w:t>.</w:t>
      </w:r>
      <w:r w:rsidRPr="007B2768">
        <w:rPr>
          <w:rFonts w:ascii="Arial" w:hAnsi="Arial" w:cs="Arial"/>
          <w:noProof/>
          <w:vertAlign w:val="superscript"/>
        </w:rPr>
        <w:t>62</w:t>
      </w:r>
      <w:r>
        <w:rPr>
          <w:rFonts w:ascii="Arial" w:hAnsi="Arial" w:cs="Arial"/>
        </w:rPr>
        <w:t xml:space="preserve"> </w:t>
      </w:r>
      <w:proofErr w:type="gramStart"/>
      <w:r>
        <w:rPr>
          <w:rFonts w:ascii="Arial" w:hAnsi="Arial" w:cs="Arial"/>
        </w:rPr>
        <w:t>The</w:t>
      </w:r>
      <w:proofErr w:type="gramEnd"/>
      <w:r>
        <w:rPr>
          <w:rFonts w:ascii="Arial" w:hAnsi="Arial" w:cs="Arial"/>
        </w:rPr>
        <w:t xml:space="preserve"> grading is related both to </w:t>
      </w:r>
      <w:r w:rsidRPr="0001471F">
        <w:rPr>
          <w:rFonts w:ascii="Arial" w:hAnsi="Arial" w:cs="Arial"/>
        </w:rPr>
        <w:t xml:space="preserve">predisposing factors for severe ocular complications </w:t>
      </w:r>
      <w:r>
        <w:rPr>
          <w:rFonts w:ascii="Arial" w:hAnsi="Arial" w:cs="Arial"/>
        </w:rPr>
        <w:t>and</w:t>
      </w:r>
      <w:r w:rsidRPr="0001471F">
        <w:rPr>
          <w:rFonts w:ascii="Arial" w:hAnsi="Arial" w:cs="Arial"/>
        </w:rPr>
        <w:t xml:space="preserve"> to poor late outcomes of visual disturbance and dry eye. It seems to be more predictive than the Power system.</w:t>
      </w:r>
      <w:r w:rsidRPr="004E684C">
        <w:rPr>
          <w:rFonts w:ascii="Arial" w:hAnsi="Arial" w:cs="Arial"/>
          <w:noProof/>
          <w:vertAlign w:val="superscript"/>
        </w:rPr>
        <w:t>62,63</w:t>
      </w:r>
      <w:hyperlink w:anchor="_ENREF_63" w:tooltip="Kim, 2015 #4876" w:history="1"/>
    </w:p>
    <w:p w:rsidR="00BD084C" w:rsidRDefault="00BD084C" w:rsidP="0085034D">
      <w:pPr>
        <w:pStyle w:val="NoSpacing"/>
        <w:spacing w:line="276" w:lineRule="auto"/>
        <w:jc w:val="both"/>
        <w:rPr>
          <w:rFonts w:ascii="Arial" w:hAnsi="Arial" w:cs="Arial"/>
        </w:rPr>
      </w:pPr>
    </w:p>
    <w:tbl>
      <w:tblPr>
        <w:tblStyle w:val="TableGrid"/>
        <w:tblW w:w="0" w:type="auto"/>
        <w:tblInd w:w="108" w:type="dxa"/>
        <w:tblLook w:val="04A0" w:firstRow="1" w:lastRow="0" w:firstColumn="1" w:lastColumn="0" w:noHBand="0" w:noVBand="1"/>
      </w:tblPr>
      <w:tblGrid>
        <w:gridCol w:w="1735"/>
        <w:gridCol w:w="4678"/>
      </w:tblGrid>
      <w:tr w:rsidR="00BD084C" w:rsidRPr="0001471F" w:rsidTr="0085034D">
        <w:tc>
          <w:tcPr>
            <w:tcW w:w="1735" w:type="dxa"/>
            <w:tcMar>
              <w:top w:w="28" w:type="dxa"/>
              <w:bottom w:w="28" w:type="dxa"/>
            </w:tcMar>
          </w:tcPr>
          <w:p w:rsidR="00BD084C" w:rsidRPr="002A7EDF" w:rsidRDefault="00BD084C" w:rsidP="0085034D">
            <w:pPr>
              <w:pStyle w:val="NoSpacing"/>
              <w:spacing w:line="276" w:lineRule="auto"/>
              <w:jc w:val="both"/>
              <w:rPr>
                <w:rFonts w:ascii="Arial" w:hAnsi="Arial" w:cs="Arial"/>
                <w:b/>
                <w:lang w:val="en-US"/>
              </w:rPr>
            </w:pPr>
            <w:r w:rsidRPr="002A7EDF">
              <w:rPr>
                <w:rFonts w:ascii="Arial" w:hAnsi="Arial" w:cs="Arial"/>
                <w:b/>
                <w:lang w:val="en-US"/>
              </w:rPr>
              <w:t>Grade</w:t>
            </w:r>
          </w:p>
        </w:tc>
        <w:tc>
          <w:tcPr>
            <w:tcW w:w="4678" w:type="dxa"/>
            <w:tcMar>
              <w:top w:w="28" w:type="dxa"/>
              <w:bottom w:w="28" w:type="dxa"/>
            </w:tcMar>
          </w:tcPr>
          <w:p w:rsidR="00BD084C" w:rsidRPr="002A7EDF" w:rsidRDefault="00BD084C" w:rsidP="0085034D">
            <w:pPr>
              <w:pStyle w:val="NoSpacing"/>
              <w:spacing w:line="276" w:lineRule="auto"/>
              <w:jc w:val="both"/>
              <w:rPr>
                <w:rFonts w:ascii="Arial" w:hAnsi="Arial" w:cs="Arial"/>
                <w:b/>
                <w:lang w:val="en-US"/>
              </w:rPr>
            </w:pPr>
            <w:r w:rsidRPr="002A7EDF">
              <w:rPr>
                <w:rFonts w:ascii="Arial" w:hAnsi="Arial" w:cs="Arial"/>
                <w:b/>
                <w:lang w:val="en-US"/>
              </w:rPr>
              <w:t>Acute Ocular Manifestations</w:t>
            </w:r>
          </w:p>
        </w:tc>
      </w:tr>
      <w:tr w:rsidR="00BD084C" w:rsidRPr="0001471F" w:rsidTr="0085034D">
        <w:tc>
          <w:tcPr>
            <w:tcW w:w="1735" w:type="dxa"/>
            <w:tcMar>
              <w:top w:w="28" w:type="dxa"/>
              <w:bottom w:w="28" w:type="dxa"/>
            </w:tcMar>
          </w:tcPr>
          <w:p w:rsidR="00BD084C" w:rsidRPr="0001471F" w:rsidRDefault="00BD084C" w:rsidP="0085034D">
            <w:pPr>
              <w:pStyle w:val="NoSpacing"/>
              <w:spacing w:line="276" w:lineRule="auto"/>
              <w:jc w:val="both"/>
              <w:rPr>
                <w:rFonts w:ascii="Arial" w:hAnsi="Arial" w:cs="Arial"/>
                <w:lang w:val="en-US"/>
              </w:rPr>
            </w:pPr>
            <w:r w:rsidRPr="0001471F">
              <w:rPr>
                <w:rFonts w:ascii="Arial" w:hAnsi="Arial" w:cs="Arial"/>
                <w:lang w:val="en-US"/>
              </w:rPr>
              <w:t>0 (none)</w:t>
            </w:r>
          </w:p>
        </w:tc>
        <w:tc>
          <w:tcPr>
            <w:tcW w:w="4678" w:type="dxa"/>
            <w:tcMar>
              <w:top w:w="28" w:type="dxa"/>
              <w:bottom w:w="28" w:type="dxa"/>
            </w:tcMar>
          </w:tcPr>
          <w:p w:rsidR="00BD084C" w:rsidRPr="0001471F" w:rsidRDefault="00BD084C" w:rsidP="0085034D">
            <w:pPr>
              <w:pStyle w:val="NoSpacing"/>
              <w:spacing w:line="276" w:lineRule="auto"/>
              <w:jc w:val="both"/>
              <w:rPr>
                <w:rFonts w:ascii="Arial" w:hAnsi="Arial" w:cs="Arial"/>
                <w:lang w:val="en-US"/>
              </w:rPr>
            </w:pPr>
            <w:r w:rsidRPr="0001471F">
              <w:rPr>
                <w:rFonts w:ascii="Arial" w:hAnsi="Arial" w:cs="Arial"/>
                <w:lang w:val="en-US"/>
              </w:rPr>
              <w:t>No ocular involvement</w:t>
            </w:r>
          </w:p>
        </w:tc>
      </w:tr>
      <w:tr w:rsidR="00BD084C" w:rsidRPr="0001471F" w:rsidTr="0085034D">
        <w:tc>
          <w:tcPr>
            <w:tcW w:w="1735" w:type="dxa"/>
            <w:tcMar>
              <w:top w:w="28" w:type="dxa"/>
              <w:bottom w:w="28" w:type="dxa"/>
            </w:tcMar>
          </w:tcPr>
          <w:p w:rsidR="00BD084C" w:rsidRPr="0001471F" w:rsidRDefault="00BD084C" w:rsidP="0085034D">
            <w:pPr>
              <w:pStyle w:val="NoSpacing"/>
              <w:spacing w:line="276" w:lineRule="auto"/>
              <w:jc w:val="both"/>
              <w:rPr>
                <w:rFonts w:ascii="Arial" w:hAnsi="Arial" w:cs="Arial"/>
                <w:lang w:val="en-US"/>
              </w:rPr>
            </w:pPr>
            <w:r w:rsidRPr="0001471F">
              <w:rPr>
                <w:rFonts w:ascii="Arial" w:hAnsi="Arial" w:cs="Arial"/>
                <w:lang w:val="en-US"/>
              </w:rPr>
              <w:lastRenderedPageBreak/>
              <w:t>1 (mild)</w:t>
            </w:r>
          </w:p>
        </w:tc>
        <w:tc>
          <w:tcPr>
            <w:tcW w:w="4678" w:type="dxa"/>
            <w:tcMar>
              <w:top w:w="28" w:type="dxa"/>
              <w:bottom w:w="28" w:type="dxa"/>
            </w:tcMar>
          </w:tcPr>
          <w:p w:rsidR="00BD084C" w:rsidRPr="0001471F" w:rsidRDefault="00BD084C" w:rsidP="0085034D">
            <w:pPr>
              <w:pStyle w:val="NoSpacing"/>
              <w:spacing w:line="276" w:lineRule="auto"/>
              <w:jc w:val="both"/>
              <w:rPr>
                <w:rFonts w:ascii="Arial" w:hAnsi="Arial" w:cs="Arial"/>
                <w:lang w:val="en-US"/>
              </w:rPr>
            </w:pPr>
            <w:r w:rsidRPr="0001471F">
              <w:rPr>
                <w:rFonts w:ascii="Arial" w:hAnsi="Arial" w:cs="Arial"/>
                <w:lang w:val="en-US"/>
              </w:rPr>
              <w:t xml:space="preserve">Conjunctival </w:t>
            </w:r>
            <w:proofErr w:type="spellStart"/>
            <w:r w:rsidRPr="0001471F">
              <w:rPr>
                <w:rFonts w:ascii="Arial" w:hAnsi="Arial" w:cs="Arial"/>
                <w:lang w:val="en-US"/>
              </w:rPr>
              <w:t>hyperaemia</w:t>
            </w:r>
            <w:proofErr w:type="spellEnd"/>
          </w:p>
        </w:tc>
      </w:tr>
      <w:tr w:rsidR="00BD084C" w:rsidRPr="0001471F" w:rsidTr="0085034D">
        <w:tc>
          <w:tcPr>
            <w:tcW w:w="1735" w:type="dxa"/>
            <w:tcMar>
              <w:top w:w="28" w:type="dxa"/>
              <w:bottom w:w="28" w:type="dxa"/>
            </w:tcMar>
          </w:tcPr>
          <w:p w:rsidR="00BD084C" w:rsidRPr="0001471F" w:rsidRDefault="00BD084C" w:rsidP="0085034D">
            <w:pPr>
              <w:pStyle w:val="NoSpacing"/>
              <w:spacing w:line="276" w:lineRule="auto"/>
              <w:jc w:val="both"/>
              <w:rPr>
                <w:rFonts w:ascii="Arial" w:hAnsi="Arial" w:cs="Arial"/>
                <w:lang w:val="en-US"/>
              </w:rPr>
            </w:pPr>
            <w:r w:rsidRPr="0001471F">
              <w:rPr>
                <w:rFonts w:ascii="Arial" w:hAnsi="Arial" w:cs="Arial"/>
                <w:lang w:val="en-US"/>
              </w:rPr>
              <w:t>2 (severe)</w:t>
            </w:r>
          </w:p>
        </w:tc>
        <w:tc>
          <w:tcPr>
            <w:tcW w:w="4678" w:type="dxa"/>
            <w:tcMar>
              <w:top w:w="28" w:type="dxa"/>
              <w:bottom w:w="28" w:type="dxa"/>
            </w:tcMar>
          </w:tcPr>
          <w:p w:rsidR="00BD084C" w:rsidRDefault="00BD084C" w:rsidP="0085034D">
            <w:pPr>
              <w:pStyle w:val="NoSpacing"/>
              <w:spacing w:line="276" w:lineRule="auto"/>
              <w:jc w:val="both"/>
              <w:rPr>
                <w:rFonts w:ascii="Arial" w:hAnsi="Arial" w:cs="Arial"/>
                <w:lang w:val="en-US"/>
              </w:rPr>
            </w:pPr>
            <w:r w:rsidRPr="0001471F">
              <w:rPr>
                <w:rFonts w:ascii="Arial" w:hAnsi="Arial" w:cs="Arial"/>
                <w:lang w:val="en-US"/>
              </w:rPr>
              <w:t xml:space="preserve">Either ocular surface epithelial defect </w:t>
            </w:r>
          </w:p>
          <w:p w:rsidR="00BD084C" w:rsidRPr="0001471F" w:rsidRDefault="00BD084C" w:rsidP="0085034D">
            <w:pPr>
              <w:pStyle w:val="NoSpacing"/>
              <w:spacing w:line="276" w:lineRule="auto"/>
              <w:jc w:val="both"/>
              <w:rPr>
                <w:rFonts w:ascii="Arial" w:hAnsi="Arial" w:cs="Arial"/>
                <w:lang w:val="en-US"/>
              </w:rPr>
            </w:pPr>
            <w:r w:rsidRPr="0001471F">
              <w:rPr>
                <w:rFonts w:ascii="Arial" w:hAnsi="Arial" w:cs="Arial"/>
                <w:lang w:val="en-US"/>
              </w:rPr>
              <w:t xml:space="preserve">or </w:t>
            </w:r>
            <w:proofErr w:type="spellStart"/>
            <w:r w:rsidRPr="0001471F">
              <w:rPr>
                <w:rFonts w:ascii="Arial" w:hAnsi="Arial" w:cs="Arial"/>
                <w:lang w:val="en-US"/>
              </w:rPr>
              <w:t>pseudomembrane</w:t>
            </w:r>
            <w:proofErr w:type="spellEnd"/>
            <w:r w:rsidRPr="0001471F">
              <w:rPr>
                <w:rFonts w:ascii="Arial" w:hAnsi="Arial" w:cs="Arial"/>
                <w:lang w:val="en-US"/>
              </w:rPr>
              <w:t xml:space="preserve"> formation</w:t>
            </w:r>
          </w:p>
        </w:tc>
      </w:tr>
      <w:tr w:rsidR="00BD084C" w:rsidRPr="0001471F" w:rsidTr="0085034D">
        <w:tc>
          <w:tcPr>
            <w:tcW w:w="1735" w:type="dxa"/>
            <w:tcMar>
              <w:top w:w="28" w:type="dxa"/>
              <w:bottom w:w="28" w:type="dxa"/>
            </w:tcMar>
          </w:tcPr>
          <w:p w:rsidR="00BD084C" w:rsidRPr="0001471F" w:rsidRDefault="00BD084C" w:rsidP="0085034D">
            <w:pPr>
              <w:pStyle w:val="NoSpacing"/>
              <w:spacing w:line="276" w:lineRule="auto"/>
              <w:jc w:val="both"/>
              <w:rPr>
                <w:rFonts w:ascii="Arial" w:hAnsi="Arial" w:cs="Arial"/>
                <w:lang w:val="en-US"/>
              </w:rPr>
            </w:pPr>
            <w:r w:rsidRPr="0001471F">
              <w:rPr>
                <w:rFonts w:ascii="Arial" w:hAnsi="Arial" w:cs="Arial"/>
                <w:lang w:val="en-US"/>
              </w:rPr>
              <w:t>3 (very severe)</w:t>
            </w:r>
          </w:p>
        </w:tc>
        <w:tc>
          <w:tcPr>
            <w:tcW w:w="4678" w:type="dxa"/>
            <w:tcMar>
              <w:top w:w="28" w:type="dxa"/>
              <w:bottom w:w="28" w:type="dxa"/>
            </w:tcMar>
          </w:tcPr>
          <w:p w:rsidR="00BD084C" w:rsidRDefault="00BD084C" w:rsidP="0085034D">
            <w:pPr>
              <w:pStyle w:val="NoSpacing"/>
              <w:spacing w:line="276" w:lineRule="auto"/>
              <w:jc w:val="both"/>
              <w:rPr>
                <w:rFonts w:ascii="Arial" w:hAnsi="Arial" w:cs="Arial"/>
                <w:lang w:val="en-US"/>
              </w:rPr>
            </w:pPr>
            <w:r w:rsidRPr="0001471F">
              <w:rPr>
                <w:rFonts w:ascii="Arial" w:hAnsi="Arial" w:cs="Arial"/>
                <w:lang w:val="en-US"/>
              </w:rPr>
              <w:t xml:space="preserve">Both ocular surface epithelial defect </w:t>
            </w:r>
          </w:p>
          <w:p w:rsidR="00BD084C" w:rsidRPr="0001471F" w:rsidRDefault="00BD084C" w:rsidP="0085034D">
            <w:pPr>
              <w:pStyle w:val="NoSpacing"/>
              <w:spacing w:line="276" w:lineRule="auto"/>
              <w:jc w:val="both"/>
              <w:rPr>
                <w:rFonts w:ascii="Arial" w:hAnsi="Arial" w:cs="Arial"/>
                <w:lang w:val="en-US"/>
              </w:rPr>
            </w:pPr>
            <w:r w:rsidRPr="0001471F">
              <w:rPr>
                <w:rFonts w:ascii="Arial" w:hAnsi="Arial" w:cs="Arial"/>
                <w:lang w:val="en-US"/>
              </w:rPr>
              <w:t xml:space="preserve">and </w:t>
            </w:r>
            <w:proofErr w:type="spellStart"/>
            <w:r w:rsidRPr="0001471F">
              <w:rPr>
                <w:rFonts w:ascii="Arial" w:hAnsi="Arial" w:cs="Arial"/>
                <w:lang w:val="en-US"/>
              </w:rPr>
              <w:t>pseudomembrane</w:t>
            </w:r>
            <w:proofErr w:type="spellEnd"/>
            <w:r w:rsidRPr="0001471F">
              <w:rPr>
                <w:rFonts w:ascii="Arial" w:hAnsi="Arial" w:cs="Arial"/>
                <w:lang w:val="en-US"/>
              </w:rPr>
              <w:t xml:space="preserve"> formation</w:t>
            </w:r>
          </w:p>
        </w:tc>
      </w:tr>
    </w:tbl>
    <w:p w:rsidR="00BD084C" w:rsidRPr="00B4656C" w:rsidRDefault="00BD084C" w:rsidP="0085034D">
      <w:pPr>
        <w:pStyle w:val="NoSpacing"/>
        <w:spacing w:line="276" w:lineRule="auto"/>
        <w:jc w:val="both"/>
        <w:rPr>
          <w:rFonts w:ascii="Arial" w:hAnsi="Arial" w:cs="Arial"/>
        </w:rPr>
      </w:pPr>
      <w:proofErr w:type="gramStart"/>
      <w:r>
        <w:rPr>
          <w:rFonts w:ascii="Arial" w:hAnsi="Arial" w:cs="Arial"/>
          <w:b/>
        </w:rPr>
        <w:t>Table 6.</w:t>
      </w:r>
      <w:proofErr w:type="gramEnd"/>
      <w:r>
        <w:rPr>
          <w:rFonts w:ascii="Arial" w:hAnsi="Arial" w:cs="Arial"/>
        </w:rPr>
        <w:t xml:space="preserve"> </w:t>
      </w:r>
      <w:r w:rsidRPr="0001471F">
        <w:rPr>
          <w:rFonts w:ascii="Arial" w:hAnsi="Arial" w:cs="Arial"/>
        </w:rPr>
        <w:t xml:space="preserve">Grading scores for acute ocular severity of </w:t>
      </w:r>
      <w:r>
        <w:rPr>
          <w:rFonts w:ascii="Arial" w:hAnsi="Arial" w:cs="Arial"/>
        </w:rPr>
        <w:t xml:space="preserve">SJS/TEN (table from </w:t>
      </w:r>
      <w:proofErr w:type="spellStart"/>
      <w:r>
        <w:rPr>
          <w:rFonts w:ascii="Arial" w:hAnsi="Arial" w:cs="Arial"/>
        </w:rPr>
        <w:t>Sotozono</w:t>
      </w:r>
      <w:proofErr w:type="spellEnd"/>
      <w:r>
        <w:rPr>
          <w:rFonts w:ascii="Arial" w:hAnsi="Arial" w:cs="Arial"/>
        </w:rPr>
        <w:t xml:space="preserve"> </w:t>
      </w:r>
      <w:r>
        <w:rPr>
          <w:rFonts w:ascii="Arial" w:hAnsi="Arial" w:cs="Arial"/>
          <w:i/>
        </w:rPr>
        <w:t>et al.</w:t>
      </w:r>
      <w:r>
        <w:rPr>
          <w:rFonts w:ascii="Arial" w:hAnsi="Arial" w:cs="Arial"/>
        </w:rPr>
        <w:t>)</w:t>
      </w:r>
      <w:r w:rsidRPr="00F0553C">
        <w:rPr>
          <w:rFonts w:ascii="Arial" w:hAnsi="Arial" w:cs="Arial"/>
          <w:noProof/>
          <w:vertAlign w:val="superscript"/>
        </w:rPr>
        <w:t>62</w:t>
      </w:r>
    </w:p>
    <w:p w:rsidR="00BD084C" w:rsidRPr="0001471F"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Pr>
          <w:rFonts w:ascii="Arial" w:hAnsi="Arial" w:cs="Arial"/>
        </w:rPr>
        <w:t>These l</w:t>
      </w:r>
      <w:r w:rsidRPr="00297A95">
        <w:rPr>
          <w:rFonts w:ascii="Arial" w:hAnsi="Arial" w:cs="Arial"/>
        </w:rPr>
        <w:t xml:space="preserve">ong-term ocular manifestations, which constitute the most significant sequelae of SJS/TEN, include corneal and conjunctival scarring, </w:t>
      </w:r>
      <w:r>
        <w:rPr>
          <w:rFonts w:ascii="Arial" w:hAnsi="Arial" w:cs="Arial"/>
        </w:rPr>
        <w:t xml:space="preserve">severe </w:t>
      </w:r>
      <w:r w:rsidRPr="00297A95">
        <w:rPr>
          <w:rFonts w:ascii="Arial" w:hAnsi="Arial" w:cs="Arial"/>
        </w:rPr>
        <w:t>dry eye</w:t>
      </w:r>
      <w:r>
        <w:rPr>
          <w:rFonts w:ascii="Arial" w:hAnsi="Arial" w:cs="Arial"/>
        </w:rPr>
        <w:t xml:space="preserve"> </w:t>
      </w:r>
      <w:r w:rsidRPr="00107336">
        <w:rPr>
          <w:rFonts w:ascii="Arial" w:hAnsi="Arial" w:cs="Arial"/>
        </w:rPr>
        <w:t xml:space="preserve">due to aqueous tear deficiency, secondary to both cicatrisation of the lacrimal </w:t>
      </w:r>
      <w:proofErr w:type="spellStart"/>
      <w:r w:rsidRPr="00107336">
        <w:rPr>
          <w:rFonts w:ascii="Arial" w:hAnsi="Arial" w:cs="Arial"/>
        </w:rPr>
        <w:t>ductules</w:t>
      </w:r>
      <w:proofErr w:type="spellEnd"/>
      <w:r w:rsidRPr="00107336">
        <w:rPr>
          <w:rFonts w:ascii="Arial" w:hAnsi="Arial" w:cs="Arial"/>
        </w:rPr>
        <w:t xml:space="preserve"> and accessory lacrimal glands as well as </w:t>
      </w:r>
      <w:proofErr w:type="spellStart"/>
      <w:r w:rsidRPr="00107336">
        <w:rPr>
          <w:rFonts w:ascii="Arial" w:hAnsi="Arial" w:cs="Arial"/>
        </w:rPr>
        <w:t>meibomian</w:t>
      </w:r>
      <w:proofErr w:type="spellEnd"/>
      <w:r w:rsidRPr="00107336">
        <w:rPr>
          <w:rFonts w:ascii="Arial" w:hAnsi="Arial" w:cs="Arial"/>
        </w:rPr>
        <w:t xml:space="preserve"> gland dysfunction, mucin deficiency secondary to goblet cell destruction</w:t>
      </w:r>
      <w:r w:rsidRPr="00297A95">
        <w:rPr>
          <w:rFonts w:ascii="Arial" w:hAnsi="Arial" w:cs="Arial"/>
        </w:rPr>
        <w:t xml:space="preserve">, distichiasis, entropion, </w:t>
      </w:r>
      <w:proofErr w:type="spellStart"/>
      <w:r w:rsidRPr="00297A95">
        <w:rPr>
          <w:rFonts w:ascii="Arial" w:hAnsi="Arial" w:cs="Arial"/>
        </w:rPr>
        <w:t>trichiasis</w:t>
      </w:r>
      <w:proofErr w:type="spellEnd"/>
      <w:r w:rsidRPr="00297A95">
        <w:rPr>
          <w:rFonts w:ascii="Arial" w:hAnsi="Arial" w:cs="Arial"/>
        </w:rPr>
        <w:t>, and ocular surface failure.</w:t>
      </w:r>
      <w:r w:rsidRPr="00FF70EF">
        <w:rPr>
          <w:rFonts w:ascii="Arial" w:hAnsi="Arial" w:cs="Arial"/>
          <w:noProof/>
          <w:vertAlign w:val="superscript"/>
        </w:rPr>
        <w:t>59</w:t>
      </w:r>
      <w:hyperlink w:anchor="_ENREF_57" w:tooltip="De Rojas, 2007 #347" w:history="1"/>
      <w:r w:rsidRPr="00297A95">
        <w:rPr>
          <w:rFonts w:ascii="Arial" w:hAnsi="Arial" w:cs="Arial"/>
        </w:rPr>
        <w:t xml:space="preserve"> Patients with chronic eye involvement require lifelong management for dryness, conjunctival inflammation and ocular discomfort</w:t>
      </w:r>
      <w:r>
        <w:rPr>
          <w:rFonts w:ascii="Arial" w:hAnsi="Arial" w:cs="Arial"/>
        </w:rPr>
        <w:t>.</w:t>
      </w:r>
      <w:r w:rsidRPr="00297A95">
        <w:rPr>
          <w:rFonts w:ascii="Arial" w:hAnsi="Arial" w:cs="Arial"/>
        </w:rPr>
        <w:t xml:space="preserve"> </w:t>
      </w:r>
    </w:p>
    <w:p w:rsidR="00BD084C" w:rsidRDefault="00BD084C" w:rsidP="0085034D">
      <w:pPr>
        <w:pStyle w:val="NoSpacing"/>
        <w:spacing w:line="276" w:lineRule="auto"/>
        <w:jc w:val="both"/>
        <w:rPr>
          <w:rFonts w:ascii="Arial" w:hAnsi="Arial" w:cs="Arial"/>
        </w:rPr>
      </w:pPr>
    </w:p>
    <w:p w:rsidR="00BD084C" w:rsidRDefault="00BD084C" w:rsidP="0085034D">
      <w:pPr>
        <w:pStyle w:val="NoSpacing"/>
        <w:spacing w:line="276" w:lineRule="auto"/>
        <w:jc w:val="both"/>
        <w:rPr>
          <w:rFonts w:ascii="Arial" w:hAnsi="Arial" w:cs="Arial"/>
        </w:rPr>
      </w:pPr>
    </w:p>
    <w:p w:rsidR="00BD084C" w:rsidRDefault="00BD084C" w:rsidP="0085034D">
      <w:pPr>
        <w:pStyle w:val="NoSpacing"/>
        <w:spacing w:line="276" w:lineRule="auto"/>
        <w:jc w:val="both"/>
        <w:rPr>
          <w:rFonts w:ascii="Arial" w:hAnsi="Arial" w:cs="Arial"/>
        </w:rPr>
      </w:pPr>
      <w:r w:rsidRPr="008777C7">
        <w:rPr>
          <w:rFonts w:ascii="Arial" w:hAnsi="Arial" w:cs="Arial"/>
        </w:rPr>
        <w:t xml:space="preserve">The  management of the acute ophthalmological consequences of SJS/TEN demands the minimization of the destructive ocular surface and lid margin inflammation, the management and prevention of conjunctival adhesions, infection prophylaxis, and the prompt identification and management  of the blinding complications of corneal exposure, ulceration and infection.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rPr>
      </w:pPr>
      <w:r w:rsidRPr="00297A95">
        <w:rPr>
          <w:rFonts w:ascii="Arial" w:hAnsi="Arial" w:cs="Arial"/>
          <w:b/>
        </w:rPr>
        <w:t>9.1 In SJS/TEN, is topical therapy effective in treating ocular involvement?</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Local ocular measures are supportive and empirical. Ocular surface lubrication and conjunctival hygiene must be maintained throughout the acute illness. If an SJS/TEN patient on I</w:t>
      </w:r>
      <w:r>
        <w:rPr>
          <w:rFonts w:ascii="Arial" w:hAnsi="Arial" w:cs="Arial"/>
        </w:rPr>
        <w:t>C</w:t>
      </w:r>
      <w:r w:rsidRPr="00297A95">
        <w:rPr>
          <w:rFonts w:ascii="Arial" w:hAnsi="Arial" w:cs="Arial"/>
        </w:rPr>
        <w:t>U</w:t>
      </w:r>
      <w:r>
        <w:rPr>
          <w:rFonts w:ascii="Arial" w:hAnsi="Arial" w:cs="Arial"/>
        </w:rPr>
        <w:t xml:space="preserve"> or a Burn Centre</w:t>
      </w:r>
      <w:r w:rsidRPr="00297A95">
        <w:rPr>
          <w:rFonts w:ascii="Arial" w:hAnsi="Arial" w:cs="Arial"/>
        </w:rPr>
        <w:t xml:space="preserve"> is semi-conscious or unconscious, prevention of corneal exposure is essential.</w:t>
      </w:r>
      <w:r w:rsidRPr="00F0553C">
        <w:rPr>
          <w:rFonts w:ascii="Arial" w:hAnsi="Arial" w:cs="Arial"/>
          <w:noProof/>
          <w:vertAlign w:val="superscript"/>
        </w:rPr>
        <w:t>64,65</w:t>
      </w:r>
      <w:r w:rsidRPr="00297A95">
        <w:rPr>
          <w:rFonts w:ascii="Arial" w:hAnsi="Arial" w:cs="Arial"/>
        </w:rPr>
        <w:t xml:space="preserve"> Compromise of corneal defences, or proven ocular infection, are indicators for the use of a topical antibiotic. Topical corticosteroids are commonly used to ameliorate conjunctival inflammation. A retrospective study of SJS/TEN cases compared 33 patients receiving ocular topical corticosteroid during the acute phase with 31 patients treated with lubricant alone;</w:t>
      </w:r>
      <w:r w:rsidRPr="00F0553C">
        <w:rPr>
          <w:rFonts w:ascii="Arial" w:hAnsi="Arial" w:cs="Arial"/>
          <w:noProof/>
          <w:vertAlign w:val="superscript"/>
        </w:rPr>
        <w:t>66</w:t>
      </w:r>
      <w:hyperlink w:anchor="_ENREF_60" w:tooltip="Sotozono, 2009 #414" w:history="1"/>
      <w:r w:rsidRPr="00297A95">
        <w:rPr>
          <w:rFonts w:ascii="Arial" w:hAnsi="Arial" w:cs="Arial"/>
        </w:rPr>
        <w:t xml:space="preserve"> no information was given concerning the dose, length of treatment or type of topical corticosteroid used. Visual outcomes, assessed at an unspecified time after the acute episode, were significantly better in the group receiving topical corticosteroid compared with the lubricant group.</w:t>
      </w:r>
      <w:r w:rsidRPr="00F0553C">
        <w:rPr>
          <w:rFonts w:ascii="Arial" w:hAnsi="Arial" w:cs="Arial"/>
          <w:noProof/>
          <w:vertAlign w:val="superscript"/>
        </w:rPr>
        <w:t>66</w:t>
      </w:r>
      <w:r w:rsidRPr="00297A95">
        <w:rPr>
          <w:rFonts w:ascii="Arial" w:hAnsi="Arial" w:cs="Arial"/>
        </w:rPr>
        <w:t xml:space="preserve">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i/>
        </w:rPr>
      </w:pPr>
      <w:r w:rsidRPr="00297A95">
        <w:rPr>
          <w:rFonts w:ascii="Arial" w:hAnsi="Arial" w:cs="Arial"/>
          <w:b/>
        </w:rPr>
        <w:t>Recommendations:</w:t>
      </w:r>
      <w:r>
        <w:rPr>
          <w:rFonts w:ascii="Arial" w:hAnsi="Arial" w:cs="Arial"/>
          <w:b/>
        </w:rPr>
        <w:t xml:space="preserve"> </w:t>
      </w:r>
      <w:r w:rsidRPr="00297A95">
        <w:rPr>
          <w:rFonts w:ascii="Arial" w:hAnsi="Arial" w:cs="Arial"/>
          <w:b/>
          <w:i/>
        </w:rPr>
        <w:t>(Strength of recommendation D (GPP); level of evidence 4)</w:t>
      </w:r>
    </w:p>
    <w:p w:rsidR="00BD084C" w:rsidRPr="00297A95" w:rsidRDefault="00BD084C" w:rsidP="0085034D">
      <w:pPr>
        <w:pStyle w:val="NoSpacing"/>
        <w:spacing w:line="276" w:lineRule="auto"/>
        <w:jc w:val="both"/>
        <w:rPr>
          <w:rFonts w:ascii="Arial" w:hAnsi="Arial" w:cs="Arial"/>
        </w:rPr>
      </w:pPr>
    </w:p>
    <w:p w:rsidR="00BD084C" w:rsidRPr="00297A95" w:rsidRDefault="00BD084C" w:rsidP="00BD084C">
      <w:pPr>
        <w:pStyle w:val="NoSpacing"/>
        <w:numPr>
          <w:ilvl w:val="0"/>
          <w:numId w:val="11"/>
        </w:numPr>
        <w:spacing w:line="276" w:lineRule="auto"/>
        <w:ind w:left="714" w:hanging="357"/>
        <w:jc w:val="both"/>
        <w:rPr>
          <w:rFonts w:ascii="Arial" w:hAnsi="Arial" w:cs="Arial"/>
        </w:rPr>
      </w:pPr>
      <w:r w:rsidRPr="00297A95">
        <w:rPr>
          <w:rFonts w:ascii="Arial" w:hAnsi="Arial" w:cs="Arial"/>
        </w:rPr>
        <w:t>The eyes should be examined by an ophthalmologist as a part of the initial assessment of a patient with SJS/TEN. Thereafter, daily ophthalmological review is necessary during the acute illness.</w:t>
      </w:r>
      <w:r>
        <w:rPr>
          <w:rFonts w:ascii="Arial" w:hAnsi="Arial" w:cs="Arial"/>
        </w:rPr>
        <w:t xml:space="preserve"> </w:t>
      </w:r>
      <w:r w:rsidRPr="008777C7">
        <w:rPr>
          <w:rFonts w:ascii="Arial" w:hAnsi="Arial" w:cs="Arial"/>
        </w:rPr>
        <w:t>A direct ophthalmoscope to provide illumination, magnification and a cobalt blue light source for fluorescein examination is useful.</w:t>
      </w:r>
    </w:p>
    <w:p w:rsidR="00BD084C" w:rsidRPr="00297A95"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11"/>
        </w:numPr>
        <w:spacing w:line="276" w:lineRule="auto"/>
        <w:ind w:left="714" w:hanging="357"/>
        <w:jc w:val="both"/>
        <w:rPr>
          <w:rFonts w:ascii="Arial" w:hAnsi="Arial" w:cs="Arial"/>
        </w:rPr>
      </w:pPr>
      <w:r w:rsidRPr="00297A95">
        <w:rPr>
          <w:rFonts w:ascii="Arial" w:hAnsi="Arial" w:cs="Arial"/>
        </w:rPr>
        <w:t xml:space="preserve">Two-hourly application of a lubricant (e.g. non-preserved </w:t>
      </w:r>
      <w:proofErr w:type="spellStart"/>
      <w:r w:rsidRPr="00297A95">
        <w:rPr>
          <w:rFonts w:ascii="Arial" w:hAnsi="Arial" w:cs="Arial"/>
        </w:rPr>
        <w:t>hyaluronate</w:t>
      </w:r>
      <w:proofErr w:type="spellEnd"/>
      <w:r w:rsidRPr="00297A95">
        <w:rPr>
          <w:rFonts w:ascii="Arial" w:hAnsi="Arial" w:cs="Arial"/>
        </w:rPr>
        <w:t xml:space="preserve"> or </w:t>
      </w:r>
      <w:proofErr w:type="spellStart"/>
      <w:r>
        <w:rPr>
          <w:rFonts w:ascii="Arial" w:hAnsi="Arial" w:cs="Arial"/>
        </w:rPr>
        <w:t>carmellose</w:t>
      </w:r>
      <w:proofErr w:type="spellEnd"/>
      <w:r>
        <w:rPr>
          <w:rFonts w:ascii="Arial" w:hAnsi="Arial" w:cs="Arial"/>
        </w:rPr>
        <w:t xml:space="preserve"> eye drops</w:t>
      </w:r>
      <w:r w:rsidRPr="00297A95">
        <w:rPr>
          <w:rFonts w:ascii="Arial" w:hAnsi="Arial" w:cs="Arial"/>
        </w:rPr>
        <w:t>) should be started immediately and continued through the acute illness.</w:t>
      </w:r>
    </w:p>
    <w:p w:rsidR="00BD084C" w:rsidRPr="00297A95"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11"/>
        </w:numPr>
        <w:spacing w:line="276" w:lineRule="auto"/>
        <w:ind w:left="714" w:hanging="357"/>
        <w:jc w:val="both"/>
        <w:rPr>
          <w:rFonts w:ascii="Arial" w:hAnsi="Arial" w:cs="Arial"/>
        </w:rPr>
      </w:pPr>
      <w:r w:rsidRPr="00297A95">
        <w:rPr>
          <w:rFonts w:ascii="Arial" w:hAnsi="Arial" w:cs="Arial"/>
        </w:rPr>
        <w:t xml:space="preserve">Ocular hygiene, to remove inflammatory debris and break down conjunctival adhesions, must be carried out each day by an ophthalmologist or ophthalmic trained nurse, and can be performed using </w:t>
      </w:r>
      <w:r>
        <w:rPr>
          <w:rFonts w:ascii="Arial" w:hAnsi="Arial" w:cs="Arial"/>
        </w:rPr>
        <w:t xml:space="preserve">saline irrigation, a squint hook and </w:t>
      </w:r>
      <w:r w:rsidRPr="00297A95">
        <w:rPr>
          <w:rFonts w:ascii="Arial" w:hAnsi="Arial" w:cs="Arial"/>
        </w:rPr>
        <w:t>forceps</w:t>
      </w:r>
      <w:r>
        <w:rPr>
          <w:rFonts w:ascii="Arial" w:hAnsi="Arial" w:cs="Arial"/>
        </w:rPr>
        <w:t>.</w:t>
      </w:r>
      <w:r w:rsidRPr="00297A95">
        <w:rPr>
          <w:rFonts w:ascii="Arial" w:hAnsi="Arial" w:cs="Arial"/>
        </w:rPr>
        <w:t xml:space="preserve"> </w:t>
      </w:r>
      <w:r w:rsidRPr="008777C7">
        <w:rPr>
          <w:rFonts w:ascii="Arial" w:hAnsi="Arial" w:cs="Arial"/>
        </w:rPr>
        <w:t xml:space="preserve">Scissors may be needed when adhesions are well developed and cannot be removed with forceps alone. Blind sweeping of the </w:t>
      </w:r>
      <w:proofErr w:type="spellStart"/>
      <w:r w:rsidRPr="008777C7">
        <w:rPr>
          <w:rFonts w:ascii="Arial" w:hAnsi="Arial" w:cs="Arial"/>
        </w:rPr>
        <w:t>fornices</w:t>
      </w:r>
      <w:proofErr w:type="spellEnd"/>
      <w:r w:rsidRPr="008777C7">
        <w:rPr>
          <w:rFonts w:ascii="Arial" w:hAnsi="Arial" w:cs="Arial"/>
        </w:rPr>
        <w:t xml:space="preserve"> with a cotton bud or glass rod is not recommended and may potentially cause damage</w:t>
      </w:r>
      <w:r w:rsidRPr="00297A95">
        <w:rPr>
          <w:rFonts w:ascii="Arial" w:hAnsi="Arial" w:cs="Arial"/>
        </w:rPr>
        <w:t xml:space="preserve">. The application of a topical local anaesthetic (e.g. </w:t>
      </w:r>
      <w:proofErr w:type="spellStart"/>
      <w:r w:rsidRPr="00297A95">
        <w:rPr>
          <w:rFonts w:ascii="Arial" w:hAnsi="Arial" w:cs="Arial"/>
        </w:rPr>
        <w:t>proparacaine</w:t>
      </w:r>
      <w:proofErr w:type="spellEnd"/>
      <w:r w:rsidRPr="00297A95">
        <w:rPr>
          <w:rFonts w:ascii="Arial" w:hAnsi="Arial" w:cs="Arial"/>
        </w:rPr>
        <w:t xml:space="preserve"> or </w:t>
      </w:r>
      <w:proofErr w:type="spellStart"/>
      <w:r w:rsidRPr="00297A95">
        <w:rPr>
          <w:rFonts w:ascii="Arial" w:hAnsi="Arial" w:cs="Arial"/>
        </w:rPr>
        <w:t>tetracaine</w:t>
      </w:r>
      <w:proofErr w:type="spellEnd"/>
      <w:r w:rsidRPr="00297A95">
        <w:rPr>
          <w:rFonts w:ascii="Arial" w:hAnsi="Arial" w:cs="Arial"/>
        </w:rPr>
        <w:t xml:space="preserve">) is necessary prior to the procedure. </w:t>
      </w:r>
    </w:p>
    <w:p w:rsidR="00BD084C" w:rsidRPr="00297A95"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11"/>
        </w:numPr>
        <w:spacing w:line="276" w:lineRule="auto"/>
        <w:jc w:val="both"/>
        <w:rPr>
          <w:rFonts w:ascii="Arial" w:hAnsi="Arial" w:cs="Arial"/>
        </w:rPr>
      </w:pPr>
      <w:r w:rsidRPr="00297A95">
        <w:rPr>
          <w:rFonts w:ascii="Arial" w:hAnsi="Arial" w:cs="Arial"/>
        </w:rPr>
        <w:t xml:space="preserve">In the unconscious patient, prevention of corneal exposure is essential to reduce the risk of ulceration and infection. </w:t>
      </w:r>
      <w:r w:rsidRPr="00C803C6">
        <w:rPr>
          <w:rFonts w:ascii="Arial" w:hAnsi="Arial" w:cs="Arial"/>
        </w:rPr>
        <w:t>Establishing a moisture chamber with polyethylene film should be used to maintain corneal epithelial integrity. On health</w:t>
      </w:r>
      <w:r>
        <w:rPr>
          <w:rFonts w:ascii="Arial" w:hAnsi="Arial" w:cs="Arial"/>
        </w:rPr>
        <w:t>y eyelid</w:t>
      </w:r>
      <w:r w:rsidRPr="00C803C6">
        <w:rPr>
          <w:rFonts w:ascii="Arial" w:hAnsi="Arial" w:cs="Arial"/>
        </w:rPr>
        <w:t xml:space="preserve"> skin paper tape can be used</w:t>
      </w:r>
      <w:r>
        <w:rPr>
          <w:rFonts w:ascii="Arial" w:hAnsi="Arial" w:cs="Arial"/>
        </w:rPr>
        <w:t xml:space="preserve"> to affix the moisture chamber; care must be taken if there is sloughing of the eyelid skin. All ICUs and Burn Centres should have corneal exposure prophylaxis protocols in place.</w:t>
      </w:r>
    </w:p>
    <w:p w:rsidR="00BD084C" w:rsidRPr="00297A95" w:rsidRDefault="00BD084C" w:rsidP="0085034D">
      <w:pPr>
        <w:pStyle w:val="NoSpacing"/>
        <w:spacing w:line="276" w:lineRule="auto"/>
        <w:ind w:left="714" w:hanging="357"/>
        <w:jc w:val="both"/>
        <w:rPr>
          <w:rFonts w:ascii="Arial" w:hAnsi="Arial" w:cs="Arial"/>
        </w:rPr>
      </w:pPr>
    </w:p>
    <w:p w:rsidR="00BD084C" w:rsidRDefault="00BD084C" w:rsidP="00BD084C">
      <w:pPr>
        <w:pStyle w:val="NoSpacing"/>
        <w:numPr>
          <w:ilvl w:val="0"/>
          <w:numId w:val="11"/>
        </w:numPr>
        <w:spacing w:line="276" w:lineRule="auto"/>
        <w:ind w:left="714" w:hanging="357"/>
        <w:jc w:val="both"/>
        <w:rPr>
          <w:rFonts w:ascii="Arial" w:hAnsi="Arial" w:cs="Arial"/>
        </w:rPr>
      </w:pPr>
      <w:r>
        <w:rPr>
          <w:rFonts w:ascii="Arial" w:hAnsi="Arial" w:cs="Arial"/>
        </w:rPr>
        <w:t>B</w:t>
      </w:r>
      <w:r w:rsidRPr="00297A95">
        <w:rPr>
          <w:rFonts w:ascii="Arial" w:hAnsi="Arial" w:cs="Arial"/>
        </w:rPr>
        <w:t xml:space="preserve">road-spectrum topical antibiotic </w:t>
      </w:r>
      <w:r>
        <w:rPr>
          <w:rFonts w:ascii="Arial" w:hAnsi="Arial" w:cs="Arial"/>
        </w:rPr>
        <w:t>prophylaxis is recommended by the authors</w:t>
      </w:r>
      <w:r w:rsidRPr="00297A95">
        <w:rPr>
          <w:rFonts w:ascii="Arial" w:hAnsi="Arial" w:cs="Arial"/>
        </w:rPr>
        <w:t xml:space="preserve"> in the presence of corneal fluorescein staining or frank ulceration</w:t>
      </w:r>
      <w:r>
        <w:rPr>
          <w:rFonts w:ascii="Arial" w:hAnsi="Arial" w:cs="Arial"/>
        </w:rPr>
        <w:t>, when microbial keratitis has been excluded</w:t>
      </w:r>
      <w:r w:rsidRPr="00297A95">
        <w:rPr>
          <w:rFonts w:ascii="Arial" w:hAnsi="Arial" w:cs="Arial"/>
        </w:rPr>
        <w:t xml:space="preserve">. </w:t>
      </w:r>
      <w:r w:rsidRPr="00894611">
        <w:rPr>
          <w:rFonts w:ascii="Arial" w:hAnsi="Arial" w:cs="Arial"/>
        </w:rPr>
        <w:t>The choice of antibiotic should be guided by local knowledge of antimicrobial resistance patterns, which vary widely in different countries. In the UK a quinolone preparation</w:t>
      </w:r>
      <w:r>
        <w:rPr>
          <w:rFonts w:ascii="Arial" w:hAnsi="Arial" w:cs="Arial"/>
        </w:rPr>
        <w:t xml:space="preserve"> is recommended</w:t>
      </w:r>
      <w:r w:rsidRPr="00894611">
        <w:rPr>
          <w:rFonts w:ascii="Arial" w:hAnsi="Arial" w:cs="Arial"/>
        </w:rPr>
        <w:t>, such as moxifloxacin or levofloxacin which has a wide range of activity against both Gram positive and negative organisms, used four times a day. Other UK experts recommend conjunctival cultures on admission and prophylaxis guided by the sensitivity results.</w:t>
      </w:r>
    </w:p>
    <w:p w:rsidR="00BD084C"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11"/>
        </w:numPr>
        <w:spacing w:line="276" w:lineRule="auto"/>
        <w:ind w:left="714" w:hanging="357"/>
        <w:jc w:val="both"/>
        <w:rPr>
          <w:rFonts w:ascii="Arial" w:hAnsi="Arial" w:cs="Arial"/>
        </w:rPr>
      </w:pPr>
      <w:r>
        <w:rPr>
          <w:rFonts w:ascii="Arial" w:hAnsi="Arial" w:cs="Arial"/>
        </w:rPr>
        <w:t>For suspected corneal</w:t>
      </w:r>
      <w:r w:rsidRPr="00297A95">
        <w:rPr>
          <w:rFonts w:ascii="Arial" w:hAnsi="Arial" w:cs="Arial"/>
        </w:rPr>
        <w:t xml:space="preserve"> infection</w:t>
      </w:r>
      <w:r>
        <w:rPr>
          <w:rFonts w:ascii="Arial" w:hAnsi="Arial" w:cs="Arial"/>
        </w:rPr>
        <w:t>, which may manifest as corneal stromal loss in the absence of an infiltrate, culture guided treatment is mandatory following initial hourly use of broad spectrum topical antibiotic therapy, according to local protocols, and may be modified</w:t>
      </w:r>
      <w:r w:rsidRPr="00297A95">
        <w:rPr>
          <w:rFonts w:ascii="Arial" w:hAnsi="Arial" w:cs="Arial"/>
        </w:rPr>
        <w:t xml:space="preserve"> by microbial sensitivity </w:t>
      </w:r>
      <w:r>
        <w:rPr>
          <w:rFonts w:ascii="Arial" w:hAnsi="Arial" w:cs="Arial"/>
        </w:rPr>
        <w:t>results when these become available. Candida keratitis is relatively common in patients with surface disease so that cultures for both bacteria and fungus are required.</w:t>
      </w:r>
    </w:p>
    <w:p w:rsidR="00BD084C" w:rsidRPr="00297A95" w:rsidRDefault="00BD084C" w:rsidP="0085034D">
      <w:pPr>
        <w:pStyle w:val="NoSpacing"/>
        <w:spacing w:line="276" w:lineRule="auto"/>
        <w:ind w:left="714" w:hanging="357"/>
        <w:jc w:val="both"/>
        <w:rPr>
          <w:rFonts w:ascii="Arial" w:hAnsi="Arial" w:cs="Arial"/>
        </w:rPr>
      </w:pPr>
    </w:p>
    <w:p w:rsidR="00BD084C" w:rsidRPr="00D81EFA" w:rsidRDefault="00BD084C" w:rsidP="00BD084C">
      <w:pPr>
        <w:pStyle w:val="NoSpacing"/>
        <w:numPr>
          <w:ilvl w:val="0"/>
          <w:numId w:val="11"/>
        </w:numPr>
        <w:spacing w:after="240" w:line="276" w:lineRule="auto"/>
        <w:ind w:left="714" w:hanging="357"/>
        <w:jc w:val="both"/>
        <w:rPr>
          <w:rFonts w:ascii="Arial" w:hAnsi="Arial" w:cs="Arial"/>
        </w:rPr>
      </w:pPr>
      <w:r w:rsidRPr="00CE67D6">
        <w:rPr>
          <w:rFonts w:ascii="Arial" w:hAnsi="Arial" w:cs="Arial"/>
        </w:rPr>
        <w:t xml:space="preserve">The use of topical corticosteroid drops (e.g. non-preserved dexamethasone 0.1%), supervised by an ophthalmologist, </w:t>
      </w:r>
      <w:proofErr w:type="gramStart"/>
      <w:r w:rsidRPr="00CE67D6">
        <w:rPr>
          <w:rFonts w:ascii="Arial" w:hAnsi="Arial" w:cs="Arial"/>
        </w:rPr>
        <w:t>may</w:t>
      </w:r>
      <w:proofErr w:type="gramEnd"/>
      <w:r w:rsidRPr="00CE67D6">
        <w:rPr>
          <w:rFonts w:ascii="Arial" w:hAnsi="Arial" w:cs="Arial"/>
        </w:rPr>
        <w:t xml:space="preserve"> reduce ocular surface damage in the acute phase of SJS/TEN. Topical corticosteroids can mask the signs of corneal infection and should be used with caution in the presence of a corneal epithelial defect.</w:t>
      </w:r>
    </w:p>
    <w:p w:rsidR="00BD084C" w:rsidRPr="00297A95" w:rsidRDefault="00BD084C" w:rsidP="00BD084C">
      <w:pPr>
        <w:pStyle w:val="NoSpacing"/>
        <w:numPr>
          <w:ilvl w:val="0"/>
          <w:numId w:val="11"/>
        </w:numPr>
        <w:spacing w:line="276" w:lineRule="auto"/>
        <w:jc w:val="both"/>
        <w:rPr>
          <w:rFonts w:ascii="Arial" w:hAnsi="Arial" w:cs="Arial"/>
        </w:rPr>
      </w:pPr>
      <w:r w:rsidRPr="00BB22F6">
        <w:rPr>
          <w:rFonts w:ascii="Arial" w:hAnsi="Arial" w:cs="Arial"/>
        </w:rPr>
        <w:t>Non</w:t>
      </w:r>
      <w:r>
        <w:rPr>
          <w:rFonts w:ascii="Arial" w:hAnsi="Arial" w:cs="Arial"/>
        </w:rPr>
        <w:t>-</w:t>
      </w:r>
      <w:r w:rsidRPr="00BB22F6">
        <w:rPr>
          <w:rFonts w:ascii="Arial" w:hAnsi="Arial" w:cs="Arial"/>
        </w:rPr>
        <w:t>preserved</w:t>
      </w:r>
      <w:r>
        <w:rPr>
          <w:rFonts w:ascii="Arial" w:hAnsi="Arial" w:cs="Arial"/>
        </w:rPr>
        <w:t xml:space="preserve"> (</w:t>
      </w:r>
      <w:r w:rsidRPr="00BB22F6">
        <w:rPr>
          <w:rFonts w:ascii="Arial" w:hAnsi="Arial" w:cs="Arial"/>
        </w:rPr>
        <w:t>as opposed to preserved</w:t>
      </w:r>
      <w:r>
        <w:rPr>
          <w:rFonts w:ascii="Arial" w:hAnsi="Arial" w:cs="Arial"/>
        </w:rPr>
        <w:t xml:space="preserve">) </w:t>
      </w:r>
      <w:r w:rsidRPr="00BB22F6">
        <w:rPr>
          <w:rFonts w:ascii="Arial" w:hAnsi="Arial" w:cs="Arial"/>
        </w:rPr>
        <w:t xml:space="preserve">topical eye drops </w:t>
      </w:r>
      <w:r>
        <w:rPr>
          <w:rFonts w:ascii="Arial" w:hAnsi="Arial" w:cs="Arial"/>
        </w:rPr>
        <w:t xml:space="preserve">are recommended; </w:t>
      </w:r>
      <w:r w:rsidRPr="00BB22F6">
        <w:rPr>
          <w:rFonts w:ascii="Arial" w:hAnsi="Arial" w:cs="Arial"/>
        </w:rPr>
        <w:t>these are available in the UK for all the preparations mentioned above</w:t>
      </w:r>
      <w:r>
        <w:rPr>
          <w:rFonts w:ascii="Arial" w:hAnsi="Arial" w:cs="Arial"/>
        </w:rPr>
        <w:t>.</w:t>
      </w:r>
    </w:p>
    <w:p w:rsidR="00BD084C" w:rsidRPr="00297A95" w:rsidRDefault="00BD084C" w:rsidP="0085034D">
      <w:pPr>
        <w:pStyle w:val="NoSpacing"/>
        <w:spacing w:line="276" w:lineRule="auto"/>
        <w:ind w:left="720"/>
        <w:jc w:val="both"/>
        <w:rPr>
          <w:rFonts w:ascii="Arial" w:hAnsi="Arial" w:cs="Arial"/>
        </w:rPr>
      </w:pP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rPr>
      </w:pPr>
      <w:r w:rsidRPr="00297A95">
        <w:rPr>
          <w:rFonts w:ascii="Arial" w:hAnsi="Arial" w:cs="Arial"/>
          <w:b/>
        </w:rPr>
        <w:t>9.2 In SJS/TEN, is systemic therapy effective in treating ocular involvement?</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Two studies have attempted to assess the efficacy of systemic therapy on ocular outcomes in SJS/TEN. A study by Araki </w:t>
      </w:r>
      <w:r w:rsidRPr="00297A95">
        <w:rPr>
          <w:rFonts w:ascii="Arial" w:hAnsi="Arial" w:cs="Arial"/>
          <w:i/>
        </w:rPr>
        <w:t>et al.</w:t>
      </w:r>
      <w:r w:rsidRPr="00297A95">
        <w:rPr>
          <w:rFonts w:ascii="Arial" w:hAnsi="Arial" w:cs="Arial"/>
        </w:rPr>
        <w:t xml:space="preserve"> reported five patients with acute ocular SJS/TEN receiving pulsed intravenous methylprednisolone, followed by a tapering course of oral </w:t>
      </w:r>
      <w:r w:rsidRPr="00297A95">
        <w:rPr>
          <w:rFonts w:ascii="Arial" w:hAnsi="Arial" w:cs="Arial"/>
        </w:rPr>
        <w:lastRenderedPageBreak/>
        <w:t>prednisolone</w:t>
      </w:r>
      <w:proofErr w:type="gramStart"/>
      <w:r w:rsidRPr="00297A95">
        <w:rPr>
          <w:rFonts w:ascii="Arial" w:hAnsi="Arial" w:cs="Arial"/>
        </w:rPr>
        <w:t>;</w:t>
      </w:r>
      <w:r w:rsidRPr="00F0553C">
        <w:rPr>
          <w:rFonts w:ascii="Arial" w:hAnsi="Arial" w:cs="Arial"/>
          <w:noProof/>
          <w:vertAlign w:val="superscript"/>
        </w:rPr>
        <w:t>67</w:t>
      </w:r>
      <w:proofErr w:type="gramEnd"/>
      <w:r w:rsidR="00C712E9">
        <w:fldChar w:fldCharType="begin"/>
      </w:r>
      <w:r w:rsidR="00C712E9">
        <w:instrText xml:space="preserve"> HYPERLINK \l "_ENREF_61" \o "Araki, 2009 #334" </w:instrText>
      </w:r>
      <w:r w:rsidR="00C712E9">
        <w:fldChar w:fldCharType="end"/>
      </w:r>
      <w:r w:rsidRPr="00297A95">
        <w:rPr>
          <w:rFonts w:ascii="Arial" w:hAnsi="Arial" w:cs="Arial"/>
        </w:rPr>
        <w:t xml:space="preserve"> there was no control group. Treatment was started at a mean of 1.2 days after SJS/TEN onset. At 12 months, the best corrected visual acuity (VA) was 20/20 or better; there was slight discomfort in 10/10 eyes necessitating artificial tears; there was no evidence of epithelial defects, neovascularisation, opacification or  keratinisation.</w:t>
      </w:r>
      <w:r w:rsidRPr="00F0553C">
        <w:rPr>
          <w:rFonts w:ascii="Arial" w:hAnsi="Arial" w:cs="Arial"/>
          <w:noProof/>
          <w:vertAlign w:val="superscript"/>
        </w:rPr>
        <w:t>67</w:t>
      </w:r>
      <w:r w:rsidRPr="00297A95">
        <w:rPr>
          <w:rFonts w:ascii="Arial" w:hAnsi="Arial" w:cs="Arial"/>
        </w:rPr>
        <w:t xml:space="preserve">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In a retrospective case series from Yip </w:t>
      </w:r>
      <w:r w:rsidRPr="00297A95">
        <w:rPr>
          <w:rFonts w:ascii="Arial" w:hAnsi="Arial" w:cs="Arial"/>
          <w:i/>
        </w:rPr>
        <w:t>et al.</w:t>
      </w:r>
      <w:r w:rsidRPr="00297A95">
        <w:rPr>
          <w:rFonts w:ascii="Arial" w:hAnsi="Arial" w:cs="Arial"/>
        </w:rPr>
        <w:t xml:space="preserve"> the ocular outcomes in eight TEN patients treated with intravenous immunoglobulin (</w:t>
      </w:r>
      <w:proofErr w:type="spellStart"/>
      <w:r w:rsidRPr="00297A95">
        <w:rPr>
          <w:rFonts w:ascii="Arial" w:hAnsi="Arial" w:cs="Arial"/>
        </w:rPr>
        <w:t>IVIg</w:t>
      </w:r>
      <w:proofErr w:type="spellEnd"/>
      <w:r w:rsidRPr="00297A95">
        <w:rPr>
          <w:rFonts w:ascii="Arial" w:hAnsi="Arial" w:cs="Arial"/>
        </w:rPr>
        <w:t>) were compared with a group of eight historical controls, five of whom received oral prednisolone.</w:t>
      </w:r>
      <w:r w:rsidRPr="00F0553C">
        <w:rPr>
          <w:rFonts w:ascii="Arial" w:hAnsi="Arial" w:cs="Arial"/>
          <w:noProof/>
          <w:vertAlign w:val="superscript"/>
        </w:rPr>
        <w:t>68</w:t>
      </w:r>
      <w:hyperlink w:anchor="_ENREF_62" w:tooltip="Yip, 2005 #439" w:history="1"/>
      <w:r w:rsidRPr="00297A95">
        <w:rPr>
          <w:rFonts w:ascii="Arial" w:hAnsi="Arial" w:cs="Arial"/>
        </w:rPr>
        <w:t xml:space="preserve"> The </w:t>
      </w:r>
      <w:proofErr w:type="spellStart"/>
      <w:r w:rsidRPr="00297A95">
        <w:rPr>
          <w:rFonts w:ascii="Arial" w:hAnsi="Arial" w:cs="Arial"/>
        </w:rPr>
        <w:t>IVIg</w:t>
      </w:r>
      <w:proofErr w:type="spellEnd"/>
      <w:r w:rsidRPr="00297A95">
        <w:rPr>
          <w:rFonts w:ascii="Arial" w:hAnsi="Arial" w:cs="Arial"/>
        </w:rPr>
        <w:t xml:space="preserve">-treated group were all survivors (patients who died were excluded from study).  A total of 25% (2/8) of patients had mild eye involvement, 50% (4/8) were moderately affected and 25% (2/8) had severe eye involvement. All patients received 2 g/kg </w:t>
      </w:r>
      <w:proofErr w:type="spellStart"/>
      <w:r w:rsidRPr="00297A95">
        <w:rPr>
          <w:rFonts w:ascii="Arial" w:hAnsi="Arial" w:cs="Arial"/>
        </w:rPr>
        <w:t>IVIg</w:t>
      </w:r>
      <w:proofErr w:type="spellEnd"/>
      <w:r w:rsidRPr="00297A95">
        <w:rPr>
          <w:rFonts w:ascii="Arial" w:hAnsi="Arial" w:cs="Arial"/>
        </w:rPr>
        <w:t xml:space="preserve"> over 2 days. 87.5% (7/8) received oral prednisolone prior to </w:t>
      </w:r>
      <w:proofErr w:type="spellStart"/>
      <w:r w:rsidRPr="00297A95">
        <w:rPr>
          <w:rFonts w:ascii="Arial" w:hAnsi="Arial" w:cs="Arial"/>
        </w:rPr>
        <w:t>IVIg</w:t>
      </w:r>
      <w:proofErr w:type="spellEnd"/>
      <w:r w:rsidRPr="00297A95">
        <w:rPr>
          <w:rFonts w:ascii="Arial" w:hAnsi="Arial" w:cs="Arial"/>
        </w:rPr>
        <w:t>; 37.5% (3/8) received a tapering course of oral prednisolone after IVIg.</w:t>
      </w:r>
      <w:r w:rsidRPr="00F0553C">
        <w:rPr>
          <w:rFonts w:ascii="Arial" w:hAnsi="Arial" w:cs="Arial"/>
          <w:noProof/>
          <w:vertAlign w:val="superscript"/>
        </w:rPr>
        <w:t>68</w:t>
      </w:r>
      <w:hyperlink w:anchor="_ENREF_62" w:tooltip="Yip, 2005 #439" w:history="1"/>
      <w:r w:rsidRPr="00297A95">
        <w:rPr>
          <w:rFonts w:ascii="Arial" w:hAnsi="Arial" w:cs="Arial"/>
        </w:rPr>
        <w:t xml:space="preserve"> The outcome measures were ocular complications and visual acuity at 6 weeks post-</w:t>
      </w:r>
      <w:proofErr w:type="spellStart"/>
      <w:r w:rsidRPr="00297A95">
        <w:rPr>
          <w:rFonts w:ascii="Arial" w:hAnsi="Arial" w:cs="Arial"/>
        </w:rPr>
        <w:t>IVIg</w:t>
      </w:r>
      <w:proofErr w:type="spellEnd"/>
      <w:r w:rsidRPr="00297A95">
        <w:rPr>
          <w:rFonts w:ascii="Arial" w:hAnsi="Arial" w:cs="Arial"/>
        </w:rPr>
        <w:t xml:space="preserve">. There was no difference in severity of visually significant ocular complications between the </w:t>
      </w:r>
      <w:proofErr w:type="spellStart"/>
      <w:r w:rsidRPr="00297A95">
        <w:rPr>
          <w:rFonts w:ascii="Arial" w:hAnsi="Arial" w:cs="Arial"/>
        </w:rPr>
        <w:t>IVIg</w:t>
      </w:r>
      <w:proofErr w:type="spellEnd"/>
      <w:r w:rsidRPr="00297A95">
        <w:rPr>
          <w:rFonts w:ascii="Arial" w:hAnsi="Arial" w:cs="Arial"/>
        </w:rPr>
        <w:t xml:space="preserve"> and the control group.</w:t>
      </w:r>
      <w:r w:rsidRPr="00F0553C">
        <w:rPr>
          <w:rFonts w:ascii="Arial" w:hAnsi="Arial" w:cs="Arial"/>
          <w:noProof/>
          <w:vertAlign w:val="superscript"/>
        </w:rPr>
        <w:t>68</w:t>
      </w:r>
    </w:p>
    <w:p w:rsidR="00BD084C" w:rsidRDefault="00BD084C" w:rsidP="0085034D">
      <w:pPr>
        <w:pStyle w:val="NoSpacing"/>
        <w:spacing w:line="276" w:lineRule="auto"/>
        <w:jc w:val="both"/>
        <w:rPr>
          <w:rFonts w:ascii="Arial" w:hAnsi="Arial" w:cs="Arial"/>
        </w:rPr>
      </w:pPr>
    </w:p>
    <w:p w:rsidR="00BD084C" w:rsidRDefault="00BD084C" w:rsidP="0085034D">
      <w:pPr>
        <w:pStyle w:val="NoSpacing"/>
        <w:spacing w:line="276" w:lineRule="auto"/>
        <w:jc w:val="both"/>
        <w:rPr>
          <w:rFonts w:ascii="Arial" w:hAnsi="Arial" w:cs="Arial"/>
        </w:rPr>
      </w:pPr>
      <w:r w:rsidRPr="00B4656C">
        <w:rPr>
          <w:rFonts w:ascii="Arial" w:hAnsi="Arial" w:cs="Arial"/>
        </w:rPr>
        <w:t xml:space="preserve">A further retrospective paper describes the effect of systemic immunomodulatory treatment on ocular outcomes in 43 patients from </w:t>
      </w:r>
      <w:r>
        <w:rPr>
          <w:rFonts w:ascii="Arial" w:hAnsi="Arial" w:cs="Arial"/>
        </w:rPr>
        <w:t>three</w:t>
      </w:r>
      <w:r w:rsidRPr="00B4656C">
        <w:rPr>
          <w:rFonts w:ascii="Arial" w:hAnsi="Arial" w:cs="Arial"/>
        </w:rPr>
        <w:t xml:space="preserve"> cent</w:t>
      </w:r>
      <w:r>
        <w:rPr>
          <w:rFonts w:ascii="Arial" w:hAnsi="Arial" w:cs="Arial"/>
        </w:rPr>
        <w:t>r</w:t>
      </w:r>
      <w:r w:rsidRPr="00B4656C">
        <w:rPr>
          <w:rFonts w:ascii="Arial" w:hAnsi="Arial" w:cs="Arial"/>
        </w:rPr>
        <w:t xml:space="preserve">es treated with </w:t>
      </w:r>
      <w:r>
        <w:rPr>
          <w:rFonts w:ascii="Arial" w:hAnsi="Arial" w:cs="Arial"/>
        </w:rPr>
        <w:t>five</w:t>
      </w:r>
      <w:r w:rsidRPr="00B4656C">
        <w:rPr>
          <w:rFonts w:ascii="Arial" w:hAnsi="Arial" w:cs="Arial"/>
        </w:rPr>
        <w:t xml:space="preserve"> systemic therapies: steroids (n=18), IVIG (n=5), steroids with IVIG (n=14), systemic pulse steroids (n=3) and supportive care only (n=3). This paper concluded that the grading system used</w:t>
      </w:r>
      <w:r w:rsidRPr="00F0553C">
        <w:rPr>
          <w:rFonts w:ascii="Arial" w:hAnsi="Arial" w:cs="Arial"/>
          <w:noProof/>
          <w:vertAlign w:val="superscript"/>
        </w:rPr>
        <w:t>62</w:t>
      </w:r>
      <w:r w:rsidRPr="00B4656C">
        <w:rPr>
          <w:rFonts w:ascii="Arial" w:hAnsi="Arial" w:cs="Arial"/>
        </w:rPr>
        <w:t xml:space="preserve"> had prognostic value for poor ocular outcomes but that their study could not demonstrate therapeutic benefit from the use of systemic immunomodulatory treatment to mitigate the ocular complications.</w:t>
      </w:r>
      <w:r w:rsidRPr="00F0553C">
        <w:rPr>
          <w:rFonts w:ascii="Arial" w:hAnsi="Arial" w:cs="Arial"/>
          <w:noProof/>
          <w:vertAlign w:val="superscript"/>
        </w:rPr>
        <w:t>63</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lang w:eastAsia="en-GB"/>
        </w:rPr>
      </w:pPr>
      <w:r w:rsidRPr="00297A95">
        <w:rPr>
          <w:rFonts w:ascii="Arial" w:hAnsi="Arial" w:cs="Arial"/>
        </w:rPr>
        <w:t xml:space="preserve">When given in the acute phase of SJS/TEN, there </w:t>
      </w:r>
      <w:r w:rsidRPr="00297A95">
        <w:rPr>
          <w:rFonts w:ascii="Arial" w:hAnsi="Arial" w:cs="Arial"/>
          <w:lang w:eastAsia="en-GB"/>
        </w:rPr>
        <w:t>is no robust evidence for the benefit of systemic corticosteroids or</w:t>
      </w:r>
      <w:r w:rsidRPr="00297A95">
        <w:rPr>
          <w:rFonts w:ascii="Arial" w:hAnsi="Arial" w:cs="Arial"/>
        </w:rPr>
        <w:t xml:space="preserve"> </w:t>
      </w:r>
      <w:proofErr w:type="spellStart"/>
      <w:r>
        <w:rPr>
          <w:rFonts w:ascii="Arial" w:hAnsi="Arial" w:cs="Arial"/>
        </w:rPr>
        <w:t>IVIg</w:t>
      </w:r>
      <w:proofErr w:type="spellEnd"/>
      <w:r w:rsidRPr="00297A95">
        <w:rPr>
          <w:rFonts w:ascii="Arial" w:hAnsi="Arial" w:cs="Arial"/>
          <w:lang w:eastAsia="en-GB"/>
        </w:rPr>
        <w:t xml:space="preserve"> to improve ocular outcomes.</w:t>
      </w:r>
      <w:r>
        <w:rPr>
          <w:rFonts w:ascii="Arial" w:hAnsi="Arial" w:cs="Arial"/>
          <w:lang w:eastAsia="en-GB"/>
        </w:rPr>
        <w:t xml:space="preserve"> Further studies are required to establish the role of either intervention.</w:t>
      </w:r>
      <w:r w:rsidRPr="00297A95">
        <w:rPr>
          <w:rFonts w:ascii="Arial" w:hAnsi="Arial" w:cs="Arial"/>
          <w:lang w:eastAsia="en-GB"/>
        </w:rPr>
        <w:t xml:space="preserve">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rPr>
      </w:pPr>
      <w:r w:rsidRPr="00297A95">
        <w:rPr>
          <w:rFonts w:ascii="Arial" w:hAnsi="Arial" w:cs="Arial"/>
          <w:b/>
        </w:rPr>
        <w:t>9.3 In SJS/TEN, is the use of amniotic membrane transplantation effective in treating ocular involvement?</w:t>
      </w:r>
    </w:p>
    <w:p w:rsidR="00BD084C" w:rsidRPr="00297A95" w:rsidRDefault="00BD084C" w:rsidP="0085034D">
      <w:pPr>
        <w:pStyle w:val="NoSpacing"/>
        <w:spacing w:line="276" w:lineRule="auto"/>
        <w:jc w:val="both"/>
        <w:rPr>
          <w:rFonts w:ascii="Arial" w:hAnsi="Arial" w:cs="Arial"/>
        </w:rPr>
      </w:pPr>
    </w:p>
    <w:p w:rsidR="00BD084C" w:rsidRDefault="00BD084C" w:rsidP="0085034D">
      <w:pPr>
        <w:pStyle w:val="NoSpacing"/>
        <w:spacing w:line="276" w:lineRule="auto"/>
        <w:jc w:val="both"/>
        <w:rPr>
          <w:rFonts w:ascii="Arial" w:hAnsi="Arial" w:cs="Arial"/>
        </w:rPr>
      </w:pPr>
      <w:r w:rsidRPr="00297A95">
        <w:rPr>
          <w:rFonts w:ascii="Arial" w:hAnsi="Arial" w:cs="Arial"/>
          <w:lang w:eastAsia="en-GB"/>
        </w:rPr>
        <w:t>There are a number of published cases, and one case-controlled trial, reporting good ocular outcomes following amniotic membrane transplantation (AMT) during the acute phase of SJS/TEN</w:t>
      </w:r>
      <w:r w:rsidRPr="00297A95">
        <w:rPr>
          <w:rFonts w:ascii="Arial" w:hAnsi="Arial" w:cs="Arial"/>
        </w:rPr>
        <w:t>.</w:t>
      </w:r>
      <w:r w:rsidRPr="00F0553C">
        <w:rPr>
          <w:rFonts w:ascii="Arial" w:hAnsi="Arial" w:cs="Arial"/>
          <w:noProof/>
          <w:vertAlign w:val="superscript"/>
        </w:rPr>
        <w:t>69-76</w:t>
      </w:r>
      <w:r w:rsidRPr="00297A95">
        <w:rPr>
          <w:rFonts w:ascii="Arial" w:hAnsi="Arial" w:cs="Arial"/>
        </w:rPr>
        <w:t xml:space="preserve"> </w:t>
      </w:r>
      <w:r w:rsidRPr="00297A95">
        <w:rPr>
          <w:rFonts w:ascii="Arial" w:hAnsi="Arial" w:cs="Arial"/>
          <w:lang w:eastAsia="en-GB"/>
        </w:rPr>
        <w:t xml:space="preserve">The suggested benefits </w:t>
      </w:r>
      <w:r>
        <w:rPr>
          <w:rFonts w:ascii="Arial" w:hAnsi="Arial" w:cs="Arial"/>
          <w:lang w:eastAsia="en-GB"/>
        </w:rPr>
        <w:t xml:space="preserve">of AMT </w:t>
      </w:r>
      <w:r w:rsidRPr="00297A95">
        <w:rPr>
          <w:rFonts w:ascii="Arial" w:hAnsi="Arial" w:cs="Arial"/>
          <w:lang w:eastAsia="en-GB"/>
        </w:rPr>
        <w:t>include reduced inflammation, enhanced re-epithelialisation</w:t>
      </w:r>
      <w:r>
        <w:rPr>
          <w:rFonts w:ascii="Arial" w:hAnsi="Arial" w:cs="Arial"/>
          <w:lang w:eastAsia="en-GB"/>
        </w:rPr>
        <w:t>,</w:t>
      </w:r>
      <w:r w:rsidRPr="00297A95">
        <w:rPr>
          <w:rFonts w:ascii="Arial" w:hAnsi="Arial" w:cs="Arial"/>
          <w:lang w:eastAsia="en-GB"/>
        </w:rPr>
        <w:t xml:space="preserve"> reduction of scarring and </w:t>
      </w:r>
      <w:r>
        <w:rPr>
          <w:rFonts w:ascii="Arial" w:hAnsi="Arial" w:cs="Arial"/>
          <w:lang w:eastAsia="en-GB"/>
        </w:rPr>
        <w:t xml:space="preserve">less </w:t>
      </w:r>
      <w:proofErr w:type="spellStart"/>
      <w:r w:rsidRPr="00297A95">
        <w:rPr>
          <w:rFonts w:ascii="Arial" w:hAnsi="Arial" w:cs="Arial"/>
          <w:lang w:eastAsia="en-GB"/>
        </w:rPr>
        <w:t>symblepharon</w:t>
      </w:r>
      <w:proofErr w:type="spellEnd"/>
      <w:r w:rsidRPr="00297A95">
        <w:rPr>
          <w:rFonts w:ascii="Arial" w:hAnsi="Arial" w:cs="Arial"/>
          <w:lang w:eastAsia="en-GB"/>
        </w:rPr>
        <w:t xml:space="preserve"> formation</w:t>
      </w:r>
      <w:r>
        <w:rPr>
          <w:rFonts w:ascii="Arial" w:hAnsi="Arial" w:cs="Arial"/>
          <w:lang w:eastAsia="en-GB"/>
        </w:rPr>
        <w:t>.</w:t>
      </w:r>
      <w:r w:rsidRPr="00F0553C">
        <w:rPr>
          <w:rFonts w:ascii="Arial" w:hAnsi="Arial" w:cs="Arial"/>
          <w:noProof/>
          <w:vertAlign w:val="superscript"/>
          <w:lang w:eastAsia="en-GB"/>
        </w:rPr>
        <w:t>69-72</w:t>
      </w:r>
      <w:r w:rsidRPr="00453A46">
        <w:rPr>
          <w:rFonts w:ascii="Arial" w:hAnsi="Arial" w:cs="Arial"/>
        </w:rPr>
        <w:t xml:space="preserve"> One case report of bilateral AMT suggests that early AMT may provide better outcomes than later application</w:t>
      </w:r>
      <w:r>
        <w:rPr>
          <w:rFonts w:ascii="Arial" w:hAnsi="Arial" w:cs="Arial"/>
        </w:rPr>
        <w:t>.</w:t>
      </w:r>
      <w:r w:rsidRPr="00F0553C">
        <w:rPr>
          <w:rFonts w:ascii="Arial" w:hAnsi="Arial" w:cs="Arial"/>
          <w:noProof/>
          <w:vertAlign w:val="superscript"/>
        </w:rPr>
        <w:t>77</w:t>
      </w:r>
      <w:r w:rsidRPr="00453A46">
        <w:rPr>
          <w:rFonts w:ascii="Arial" w:hAnsi="Arial" w:cs="Arial"/>
        </w:rPr>
        <w:t xml:space="preserve"> </w:t>
      </w:r>
      <w:r w:rsidRPr="00297A95">
        <w:rPr>
          <w:rFonts w:ascii="Arial" w:hAnsi="Arial" w:cs="Arial"/>
          <w:lang w:eastAsia="en-GB"/>
        </w:rPr>
        <w:t>Cryopreserved amniotic membrane (</w:t>
      </w:r>
      <w:r>
        <w:rPr>
          <w:rFonts w:ascii="Arial" w:hAnsi="Arial" w:cs="Arial"/>
          <w:lang w:eastAsia="en-GB"/>
        </w:rPr>
        <w:t>obtained</w:t>
      </w:r>
      <w:r w:rsidRPr="00297A95">
        <w:rPr>
          <w:rFonts w:ascii="Arial" w:hAnsi="Arial" w:cs="Arial"/>
          <w:lang w:eastAsia="en-GB"/>
        </w:rPr>
        <w:t xml:space="preserve"> from NHSBT Tissue services: 14 Estuary Banks, Estuary Commerce Park, Speke, Liverpool, L24 </w:t>
      </w:r>
      <w:r>
        <w:rPr>
          <w:rFonts w:ascii="Arial" w:hAnsi="Arial" w:cs="Arial"/>
          <w:lang w:eastAsia="en-GB"/>
        </w:rPr>
        <w:t xml:space="preserve">8RB) is now </w:t>
      </w:r>
      <w:r w:rsidRPr="00C3524F">
        <w:rPr>
          <w:rFonts w:ascii="Arial" w:hAnsi="Arial" w:cs="Arial"/>
          <w:lang w:eastAsia="en-GB"/>
        </w:rPr>
        <w:t xml:space="preserve">available in a large (5 x 5 </w:t>
      </w:r>
      <w:proofErr w:type="spellStart"/>
      <w:r w:rsidRPr="00C3524F">
        <w:rPr>
          <w:rFonts w:ascii="Arial" w:hAnsi="Arial" w:cs="Arial"/>
          <w:lang w:eastAsia="en-GB"/>
        </w:rPr>
        <w:t>cms</w:t>
      </w:r>
      <w:proofErr w:type="spellEnd"/>
      <w:r w:rsidRPr="00C3524F">
        <w:rPr>
          <w:rFonts w:ascii="Arial" w:hAnsi="Arial" w:cs="Arial"/>
          <w:lang w:eastAsia="en-GB"/>
        </w:rPr>
        <w:t>) size</w:t>
      </w:r>
      <w:r>
        <w:rPr>
          <w:rFonts w:ascii="Arial" w:hAnsi="Arial" w:cs="Arial"/>
          <w:lang w:eastAsia="en-GB"/>
        </w:rPr>
        <w:t>,</w:t>
      </w:r>
      <w:r w:rsidRPr="00C3524F">
        <w:rPr>
          <w:rFonts w:ascii="Arial" w:hAnsi="Arial" w:cs="Arial"/>
          <w:lang w:eastAsia="en-GB"/>
        </w:rPr>
        <w:t xml:space="preserve"> as well as smaller sizes. The large size is ideal for lining the entire ocular surface. AMT may be </w:t>
      </w:r>
      <w:r w:rsidRPr="00297A95">
        <w:rPr>
          <w:rFonts w:ascii="Arial" w:hAnsi="Arial" w:cs="Arial"/>
          <w:lang w:eastAsia="en-GB"/>
        </w:rPr>
        <w:t xml:space="preserve">sutured onto the ocular surface, usually under general anaesthetic or deep sedation. </w:t>
      </w:r>
      <w:r w:rsidRPr="00C3524F">
        <w:rPr>
          <w:rFonts w:ascii="Arial" w:hAnsi="Arial" w:cs="Arial"/>
          <w:lang w:eastAsia="en-GB"/>
        </w:rPr>
        <w:t xml:space="preserve">The technique is described both by </w:t>
      </w:r>
      <w:proofErr w:type="spellStart"/>
      <w:r w:rsidRPr="00C3524F">
        <w:rPr>
          <w:rFonts w:ascii="Arial" w:hAnsi="Arial" w:cs="Arial"/>
          <w:lang w:eastAsia="en-GB"/>
        </w:rPr>
        <w:t>Muquit</w:t>
      </w:r>
      <w:proofErr w:type="spellEnd"/>
      <w:r w:rsidRPr="00C3524F">
        <w:rPr>
          <w:rFonts w:ascii="Arial" w:hAnsi="Arial" w:cs="Arial"/>
          <w:lang w:eastAsia="en-GB"/>
        </w:rPr>
        <w:t xml:space="preserve"> </w:t>
      </w:r>
      <w:r w:rsidRPr="00C3524F">
        <w:rPr>
          <w:rFonts w:ascii="Arial" w:hAnsi="Arial" w:cs="Arial"/>
          <w:i/>
          <w:lang w:eastAsia="en-GB"/>
        </w:rPr>
        <w:t>et al.</w:t>
      </w:r>
      <w:r w:rsidRPr="00C3524F">
        <w:rPr>
          <w:rFonts w:ascii="Arial" w:hAnsi="Arial" w:cs="Arial"/>
          <w:lang w:eastAsia="en-GB"/>
        </w:rPr>
        <w:t xml:space="preserve"> (using a procedure also favoured by the authors, incorporating absorbable sutures that do not require a further anaesthetic for removal</w:t>
      </w:r>
      <w:proofErr w:type="gramStart"/>
      <w:r w:rsidRPr="00C3524F">
        <w:rPr>
          <w:rFonts w:ascii="Arial" w:hAnsi="Arial" w:cs="Arial"/>
          <w:lang w:eastAsia="en-GB"/>
        </w:rPr>
        <w:t>)</w:t>
      </w:r>
      <w:r w:rsidRPr="00F0553C">
        <w:rPr>
          <w:rFonts w:ascii="Arial" w:hAnsi="Arial" w:cs="Arial"/>
          <w:noProof/>
          <w:vertAlign w:val="superscript"/>
          <w:lang w:eastAsia="en-GB"/>
        </w:rPr>
        <w:t>78</w:t>
      </w:r>
      <w:proofErr w:type="gramEnd"/>
      <w:r w:rsidRPr="00C3524F">
        <w:rPr>
          <w:rFonts w:ascii="Arial" w:hAnsi="Arial" w:cs="Arial"/>
          <w:lang w:eastAsia="en-GB"/>
        </w:rPr>
        <w:t xml:space="preserve"> and by Gregory </w:t>
      </w:r>
      <w:r w:rsidRPr="00C3524F">
        <w:rPr>
          <w:rFonts w:ascii="Arial" w:hAnsi="Arial" w:cs="Arial"/>
          <w:i/>
          <w:lang w:eastAsia="en-GB"/>
        </w:rPr>
        <w:t>et al</w:t>
      </w:r>
      <w:r>
        <w:rPr>
          <w:rFonts w:ascii="Arial" w:hAnsi="Arial" w:cs="Arial"/>
          <w:lang w:eastAsia="en-GB"/>
        </w:rPr>
        <w:t xml:space="preserve">. </w:t>
      </w:r>
      <w:r w:rsidRPr="00C3524F">
        <w:rPr>
          <w:rFonts w:ascii="Arial" w:hAnsi="Arial" w:cs="Arial"/>
          <w:lang w:eastAsia="en-GB"/>
        </w:rPr>
        <w:t>who recommend a similar procedure, but incorporating non</w:t>
      </w:r>
      <w:r>
        <w:rPr>
          <w:rFonts w:ascii="Arial" w:hAnsi="Arial" w:cs="Arial"/>
          <w:lang w:eastAsia="en-GB"/>
        </w:rPr>
        <w:t>-</w:t>
      </w:r>
      <w:r w:rsidRPr="00C3524F">
        <w:rPr>
          <w:rFonts w:ascii="Arial" w:hAnsi="Arial" w:cs="Arial"/>
          <w:lang w:eastAsia="en-GB"/>
        </w:rPr>
        <w:t>absorbable sutures and bolsters, which adds steps to the operation that may be unnecessary.</w:t>
      </w:r>
      <w:r w:rsidRPr="00F0553C">
        <w:rPr>
          <w:rFonts w:ascii="Arial" w:hAnsi="Arial" w:cs="Arial"/>
          <w:noProof/>
          <w:vertAlign w:val="superscript"/>
          <w:lang w:eastAsia="en-GB"/>
        </w:rPr>
        <w:t>70</w:t>
      </w:r>
      <w:r w:rsidRPr="00C3524F">
        <w:rPr>
          <w:rFonts w:ascii="Arial" w:hAnsi="Arial" w:cs="Arial"/>
          <w:lang w:eastAsia="en-GB"/>
        </w:rPr>
        <w:t xml:space="preserve"> Video is attached to both papers. </w:t>
      </w:r>
      <w:r w:rsidRPr="002C0424">
        <w:rPr>
          <w:rFonts w:ascii="Arial" w:hAnsi="Arial" w:cs="Arial"/>
          <w:lang w:eastAsia="en-GB"/>
        </w:rPr>
        <w:t xml:space="preserve">For sutured AMT the risks are low, without complications reported in the available case series, and the procedure is not complex but time consuming. It takes about 90 minutes to perform on each eye, and is </w:t>
      </w:r>
      <w:r w:rsidRPr="002C0424">
        <w:rPr>
          <w:rFonts w:ascii="Arial" w:hAnsi="Arial" w:cs="Arial"/>
          <w:lang w:eastAsia="en-GB"/>
        </w:rPr>
        <w:lastRenderedPageBreak/>
        <w:t xml:space="preserve">easier to carry out in an operating room under general anaesthesia although, as with most ophthalmological procedures, it can be carried out under local anaesthesia. </w:t>
      </w:r>
      <w:r w:rsidRPr="00C3524F">
        <w:rPr>
          <w:rFonts w:ascii="Arial" w:hAnsi="Arial" w:cs="Arial"/>
          <w:lang w:eastAsia="en-GB"/>
        </w:rPr>
        <w:t xml:space="preserve">After the procedure a </w:t>
      </w:r>
      <w:proofErr w:type="spellStart"/>
      <w:r w:rsidRPr="00C3524F">
        <w:rPr>
          <w:rFonts w:ascii="Arial" w:hAnsi="Arial" w:cs="Arial"/>
          <w:lang w:eastAsia="en-GB"/>
        </w:rPr>
        <w:t>symblepharon</w:t>
      </w:r>
      <w:proofErr w:type="spellEnd"/>
      <w:r w:rsidRPr="00C3524F">
        <w:rPr>
          <w:rFonts w:ascii="Arial" w:hAnsi="Arial" w:cs="Arial"/>
          <w:lang w:eastAsia="en-GB"/>
        </w:rPr>
        <w:t xml:space="preserve"> ring or conformer may be inserted. </w:t>
      </w:r>
      <w:proofErr w:type="spellStart"/>
      <w:r w:rsidRPr="00C3524F">
        <w:rPr>
          <w:rFonts w:ascii="Arial" w:hAnsi="Arial" w:cs="Arial"/>
          <w:lang w:eastAsia="en-GB"/>
        </w:rPr>
        <w:t>Symblepharon</w:t>
      </w:r>
      <w:proofErr w:type="spellEnd"/>
      <w:r w:rsidRPr="00C3524F">
        <w:rPr>
          <w:rFonts w:ascii="Arial" w:hAnsi="Arial" w:cs="Arial"/>
          <w:lang w:eastAsia="en-GB"/>
        </w:rPr>
        <w:t xml:space="preserve"> rings and conformers are available in the UK (Orbital Prosthetic Supplies</w:t>
      </w:r>
      <w:r>
        <w:rPr>
          <w:rFonts w:ascii="Arial" w:hAnsi="Arial" w:cs="Arial"/>
          <w:lang w:eastAsia="en-GB"/>
        </w:rPr>
        <w:t>,</w:t>
      </w:r>
      <w:r w:rsidRPr="00C3524F">
        <w:rPr>
          <w:rFonts w:ascii="Arial" w:hAnsi="Arial" w:cs="Arial"/>
          <w:lang w:eastAsia="en-GB"/>
        </w:rPr>
        <w:t xml:space="preserve"> www.orbitalprosthetic.com)</w:t>
      </w:r>
      <w:r>
        <w:rPr>
          <w:rFonts w:ascii="Arial" w:hAnsi="Arial" w:cs="Arial"/>
          <w:lang w:eastAsia="en-GB"/>
        </w:rPr>
        <w:t>:</w:t>
      </w:r>
      <w:r w:rsidRPr="00C3524F">
        <w:rPr>
          <w:rFonts w:ascii="Arial" w:hAnsi="Arial" w:cs="Arial"/>
          <w:lang w:eastAsia="en-GB"/>
        </w:rPr>
        <w:t xml:space="preserve"> their use and sizing has been described.</w:t>
      </w:r>
      <w:r w:rsidRPr="00F0553C">
        <w:rPr>
          <w:rFonts w:ascii="Arial" w:hAnsi="Arial" w:cs="Arial"/>
          <w:noProof/>
          <w:vertAlign w:val="superscript"/>
          <w:lang w:eastAsia="en-GB"/>
        </w:rPr>
        <w:t>79</w:t>
      </w:r>
      <w:r w:rsidRPr="00297A95">
        <w:rPr>
          <w:rFonts w:ascii="Arial" w:hAnsi="Arial" w:cs="Arial"/>
          <w:lang w:eastAsia="en-GB"/>
        </w:rPr>
        <w:t xml:space="preserve"> AMT performed at the bedside under topical anaesthesia has been published in four reports of eight SJS/TEN cases</w:t>
      </w:r>
      <w:r w:rsidRPr="00297A95">
        <w:rPr>
          <w:rFonts w:ascii="Arial" w:hAnsi="Arial" w:cs="Arial"/>
        </w:rPr>
        <w:t>.</w:t>
      </w:r>
      <w:r w:rsidRPr="00F0553C">
        <w:rPr>
          <w:rFonts w:ascii="Arial" w:hAnsi="Arial" w:cs="Arial"/>
          <w:noProof/>
          <w:vertAlign w:val="superscript"/>
        </w:rPr>
        <w:t>72-75</w:t>
      </w:r>
      <w:r w:rsidRPr="00297A95">
        <w:rPr>
          <w:rFonts w:ascii="Arial" w:hAnsi="Arial" w:cs="Arial"/>
        </w:rPr>
        <w:t xml:space="preserve"> </w:t>
      </w:r>
      <w:r w:rsidRPr="00297A95">
        <w:rPr>
          <w:rFonts w:ascii="Arial" w:hAnsi="Arial" w:cs="Arial"/>
          <w:lang w:eastAsia="en-GB"/>
        </w:rPr>
        <w:t xml:space="preserve">In these patients, amniotic membrane </w:t>
      </w:r>
      <w:r>
        <w:rPr>
          <w:rFonts w:ascii="Arial" w:hAnsi="Arial" w:cs="Arial"/>
          <w:lang w:eastAsia="en-GB"/>
        </w:rPr>
        <w:t>wa</w:t>
      </w:r>
      <w:r w:rsidRPr="00297A95">
        <w:rPr>
          <w:rFonts w:ascii="Arial" w:hAnsi="Arial" w:cs="Arial"/>
          <w:lang w:eastAsia="en-GB"/>
        </w:rPr>
        <w:t xml:space="preserve">s applied using a proprietary device </w:t>
      </w:r>
      <w:r>
        <w:rPr>
          <w:rFonts w:ascii="Arial" w:hAnsi="Arial" w:cs="Arial"/>
          <w:lang w:eastAsia="en-GB"/>
        </w:rPr>
        <w:t>and</w:t>
      </w:r>
      <w:r w:rsidRPr="00297A95">
        <w:rPr>
          <w:rFonts w:ascii="Arial" w:hAnsi="Arial" w:cs="Arial"/>
          <w:lang w:eastAsia="en-GB"/>
        </w:rPr>
        <w:t xml:space="preserve"> the tissue </w:t>
      </w:r>
      <w:r>
        <w:rPr>
          <w:rFonts w:ascii="Arial" w:hAnsi="Arial" w:cs="Arial"/>
          <w:lang w:eastAsia="en-GB"/>
        </w:rPr>
        <w:t xml:space="preserve">clipped </w:t>
      </w:r>
      <w:r w:rsidRPr="00297A95">
        <w:rPr>
          <w:rFonts w:ascii="Arial" w:hAnsi="Arial" w:cs="Arial"/>
          <w:lang w:eastAsia="en-GB"/>
        </w:rPr>
        <w:t xml:space="preserve">into a plastic </w:t>
      </w:r>
      <w:proofErr w:type="spellStart"/>
      <w:r w:rsidRPr="00297A95">
        <w:rPr>
          <w:rFonts w:ascii="Arial" w:hAnsi="Arial" w:cs="Arial"/>
        </w:rPr>
        <w:t>symblepharon</w:t>
      </w:r>
      <w:proofErr w:type="spellEnd"/>
      <w:r w:rsidRPr="00297A95">
        <w:rPr>
          <w:rFonts w:ascii="Arial" w:hAnsi="Arial" w:cs="Arial"/>
        </w:rPr>
        <w:t xml:space="preserve"> ring</w:t>
      </w:r>
      <w:r>
        <w:rPr>
          <w:rFonts w:ascii="Arial" w:hAnsi="Arial" w:cs="Arial"/>
        </w:rPr>
        <w:t xml:space="preserve"> (</w:t>
      </w:r>
      <w:proofErr w:type="spellStart"/>
      <w:r>
        <w:rPr>
          <w:rFonts w:ascii="Arial" w:hAnsi="Arial" w:cs="Arial"/>
        </w:rPr>
        <w:t>Prokera</w:t>
      </w:r>
      <w:proofErr w:type="spellEnd"/>
      <w:r>
        <w:rPr>
          <w:rFonts w:ascii="Arial" w:hAnsi="Arial" w:cs="Arial"/>
        </w:rPr>
        <w:t xml:space="preserve"> Bio-Tissue, Miami, USA)</w:t>
      </w:r>
      <w:r w:rsidRPr="006F1324">
        <w:rPr>
          <w:rFonts w:ascii="Arial" w:hAnsi="Arial" w:cs="Arial"/>
        </w:rPr>
        <w:t xml:space="preserve">. </w:t>
      </w:r>
    </w:p>
    <w:p w:rsidR="00BD084C" w:rsidRDefault="00BD084C" w:rsidP="0085034D">
      <w:pPr>
        <w:pStyle w:val="NoSpacing"/>
        <w:spacing w:line="276" w:lineRule="auto"/>
        <w:jc w:val="both"/>
        <w:rPr>
          <w:rFonts w:ascii="Arial" w:hAnsi="Arial" w:cs="Arial"/>
        </w:rPr>
      </w:pPr>
    </w:p>
    <w:p w:rsidR="00BD084C" w:rsidRDefault="00BD084C" w:rsidP="0085034D">
      <w:pPr>
        <w:pStyle w:val="NoSpacing"/>
        <w:spacing w:line="276" w:lineRule="auto"/>
        <w:jc w:val="both"/>
        <w:rPr>
          <w:rFonts w:ascii="Arial" w:hAnsi="Arial" w:cs="Arial"/>
        </w:rPr>
      </w:pPr>
      <w:r w:rsidRPr="006F1324">
        <w:rPr>
          <w:rFonts w:ascii="Arial" w:hAnsi="Arial" w:cs="Arial"/>
        </w:rPr>
        <w:t xml:space="preserve">It is possible to retain </w:t>
      </w:r>
      <w:r>
        <w:rPr>
          <w:rFonts w:ascii="Arial" w:hAnsi="Arial" w:cs="Arial"/>
        </w:rPr>
        <w:t xml:space="preserve">large </w:t>
      </w:r>
      <w:r w:rsidRPr="006F1324">
        <w:rPr>
          <w:rFonts w:ascii="Arial" w:hAnsi="Arial" w:cs="Arial"/>
        </w:rPr>
        <w:t xml:space="preserve">sheets of amniotic membrane in the conjunctival sac using </w:t>
      </w:r>
      <w:proofErr w:type="spellStart"/>
      <w:r w:rsidRPr="006F1324">
        <w:rPr>
          <w:rFonts w:ascii="Arial" w:hAnsi="Arial" w:cs="Arial"/>
        </w:rPr>
        <w:t>symblepharon</w:t>
      </w:r>
      <w:proofErr w:type="spellEnd"/>
      <w:r w:rsidRPr="006F1324">
        <w:rPr>
          <w:rFonts w:ascii="Arial" w:hAnsi="Arial" w:cs="Arial"/>
        </w:rPr>
        <w:t xml:space="preserve"> rings or </w:t>
      </w:r>
      <w:proofErr w:type="gramStart"/>
      <w:r w:rsidRPr="006F1324">
        <w:rPr>
          <w:rFonts w:ascii="Arial" w:hAnsi="Arial" w:cs="Arial"/>
        </w:rPr>
        <w:t>conformers</w:t>
      </w:r>
      <w:proofErr w:type="gramEnd"/>
      <w:r w:rsidRPr="006F1324">
        <w:rPr>
          <w:rFonts w:ascii="Arial" w:hAnsi="Arial" w:cs="Arial"/>
        </w:rPr>
        <w:t xml:space="preserve"> </w:t>
      </w:r>
      <w:r>
        <w:rPr>
          <w:rFonts w:ascii="Arial" w:hAnsi="Arial" w:cs="Arial"/>
        </w:rPr>
        <w:t>only</w:t>
      </w:r>
      <w:r w:rsidRPr="006F1324">
        <w:rPr>
          <w:rFonts w:ascii="Arial" w:hAnsi="Arial" w:cs="Arial"/>
        </w:rPr>
        <w:t>.</w:t>
      </w:r>
      <w:r w:rsidRPr="00F0553C">
        <w:rPr>
          <w:rFonts w:ascii="Arial" w:hAnsi="Arial" w:cs="Arial"/>
          <w:noProof/>
          <w:vertAlign w:val="superscript"/>
        </w:rPr>
        <w:t>80</w:t>
      </w:r>
      <w:r w:rsidRPr="006F1324">
        <w:rPr>
          <w:rFonts w:ascii="Arial" w:hAnsi="Arial" w:cs="Arial"/>
        </w:rPr>
        <w:t xml:space="preserve"> The procedure can be performed at the bedside relatively easily. A large retrospective study comparing the results of AMT in 39 </w:t>
      </w:r>
      <w:proofErr w:type="spellStart"/>
      <w:r w:rsidRPr="006F1324">
        <w:rPr>
          <w:rFonts w:ascii="Arial" w:hAnsi="Arial" w:cs="Arial"/>
        </w:rPr>
        <w:t>sutureless</w:t>
      </w:r>
      <w:proofErr w:type="spellEnd"/>
      <w:r w:rsidRPr="006F1324">
        <w:rPr>
          <w:rFonts w:ascii="Arial" w:hAnsi="Arial" w:cs="Arial"/>
        </w:rPr>
        <w:t xml:space="preserve">, and 36 sutured cases, demonstrated better outcomes in </w:t>
      </w:r>
      <w:proofErr w:type="spellStart"/>
      <w:r w:rsidRPr="006F1324">
        <w:rPr>
          <w:rFonts w:ascii="Arial" w:hAnsi="Arial" w:cs="Arial"/>
        </w:rPr>
        <w:t>sutureless</w:t>
      </w:r>
      <w:proofErr w:type="spellEnd"/>
      <w:r w:rsidRPr="006F1324">
        <w:rPr>
          <w:rFonts w:ascii="Arial" w:hAnsi="Arial" w:cs="Arial"/>
        </w:rPr>
        <w:t xml:space="preserve"> compared to sutured AMT.</w:t>
      </w:r>
      <w:r w:rsidRPr="00F0553C">
        <w:rPr>
          <w:rFonts w:ascii="Arial" w:hAnsi="Arial" w:cs="Arial"/>
          <w:noProof/>
          <w:vertAlign w:val="superscript"/>
        </w:rPr>
        <w:t>80</w:t>
      </w:r>
      <w:r w:rsidRPr="006F1324">
        <w:rPr>
          <w:rFonts w:ascii="Arial" w:hAnsi="Arial" w:cs="Arial"/>
        </w:rPr>
        <w:t xml:space="preserve">  </w:t>
      </w:r>
    </w:p>
    <w:p w:rsidR="00BD084C"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A retrospective study from one unit compared 17 SJS/TEN patients (33 eyes) receiving medical eye management with 13 patients (25 eyes) treated with AMT performed in the acute phase of the disease.</w:t>
      </w:r>
      <w:r w:rsidRPr="00F0553C">
        <w:rPr>
          <w:rFonts w:ascii="Arial" w:hAnsi="Arial" w:cs="Arial"/>
          <w:noProof/>
          <w:vertAlign w:val="superscript"/>
        </w:rPr>
        <w:t>76</w:t>
      </w:r>
      <w:hyperlink w:anchor="_ENREF_70" w:tooltip="Hsu, 2012 #3081" w:history="1"/>
      <w:r w:rsidRPr="00297A95">
        <w:rPr>
          <w:rFonts w:ascii="Arial" w:hAnsi="Arial" w:cs="Arial"/>
        </w:rPr>
        <w:t xml:space="preserve"> Visual acuity assessed within 3 months of treatment demonstrated significantly better outcomes in the AMT group.</w:t>
      </w:r>
      <w:r w:rsidRPr="00F0553C">
        <w:rPr>
          <w:rFonts w:ascii="Arial" w:hAnsi="Arial" w:cs="Arial"/>
          <w:noProof/>
          <w:vertAlign w:val="superscript"/>
        </w:rPr>
        <w:t>76</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i/>
        </w:rPr>
      </w:pPr>
      <w:r w:rsidRPr="00297A95">
        <w:rPr>
          <w:rFonts w:ascii="Arial" w:hAnsi="Arial" w:cs="Arial"/>
          <w:b/>
        </w:rPr>
        <w:t>Recommendations:</w:t>
      </w:r>
      <w:r>
        <w:rPr>
          <w:rFonts w:ascii="Arial" w:hAnsi="Arial" w:cs="Arial"/>
          <w:b/>
        </w:rPr>
        <w:t xml:space="preserve"> </w:t>
      </w:r>
      <w:r w:rsidRPr="00297A95">
        <w:rPr>
          <w:rFonts w:ascii="Arial" w:hAnsi="Arial" w:cs="Arial"/>
          <w:b/>
          <w:i/>
        </w:rPr>
        <w:t>(Strength of recommendation D; level of evidence 3)</w:t>
      </w:r>
    </w:p>
    <w:p w:rsidR="00BD084C" w:rsidRPr="00297A95" w:rsidRDefault="00BD084C" w:rsidP="0085034D">
      <w:pPr>
        <w:pStyle w:val="NoSpacing"/>
        <w:spacing w:line="276" w:lineRule="auto"/>
        <w:jc w:val="both"/>
        <w:rPr>
          <w:rFonts w:ascii="Arial" w:hAnsi="Arial" w:cs="Arial"/>
        </w:rPr>
      </w:pPr>
    </w:p>
    <w:p w:rsidR="00BD084C" w:rsidRPr="0087561E" w:rsidRDefault="00BD084C" w:rsidP="00BD084C">
      <w:pPr>
        <w:pStyle w:val="NoSpacing"/>
        <w:numPr>
          <w:ilvl w:val="0"/>
          <w:numId w:val="12"/>
        </w:numPr>
        <w:spacing w:line="276" w:lineRule="auto"/>
        <w:jc w:val="both"/>
        <w:rPr>
          <w:rFonts w:ascii="Arial" w:hAnsi="Arial" w:cs="Arial"/>
          <w:lang w:eastAsia="en-GB"/>
        </w:rPr>
      </w:pPr>
      <w:r w:rsidRPr="0087561E">
        <w:rPr>
          <w:rFonts w:ascii="Arial" w:hAnsi="Arial" w:cs="Arial"/>
          <w:lang w:eastAsia="en-GB"/>
        </w:rPr>
        <w:t xml:space="preserve">For patients in whom ocular hygiene is impossible without general anaesthesia, and in those with extensive loss of ocular surface epithelia unresponsive to conservative measures, </w:t>
      </w:r>
      <w:r w:rsidRPr="00A47C75">
        <w:rPr>
          <w:rFonts w:ascii="Arial" w:hAnsi="Arial" w:cs="Arial"/>
          <w:lang w:eastAsia="en-GB"/>
        </w:rPr>
        <w:t>the use of amniotic membrane t</w:t>
      </w:r>
      <w:r w:rsidRPr="00D019C2">
        <w:rPr>
          <w:rFonts w:ascii="Arial" w:hAnsi="Arial" w:cs="Arial"/>
          <w:lang w:eastAsia="en-GB"/>
        </w:rPr>
        <w:t>ransplantation</w:t>
      </w:r>
      <w:r w:rsidRPr="00296B8F">
        <w:rPr>
          <w:rFonts w:ascii="Arial" w:hAnsi="Arial" w:cs="Arial"/>
          <w:lang w:eastAsia="en-GB"/>
        </w:rPr>
        <w:t xml:space="preserve"> should be considered. It may improve outcomes if this procedure is carried out earlier rather than later in cases with severe ocular surface ulceration.</w:t>
      </w:r>
      <w:r>
        <w:rPr>
          <w:rFonts w:ascii="Arial" w:hAnsi="Arial" w:cs="Arial"/>
          <w:lang w:eastAsia="en-GB"/>
        </w:rPr>
        <w:t xml:space="preserve"> </w:t>
      </w:r>
      <w:proofErr w:type="spellStart"/>
      <w:r w:rsidRPr="005379D7">
        <w:rPr>
          <w:rFonts w:ascii="Arial" w:hAnsi="Arial" w:cs="Arial"/>
          <w:lang w:eastAsia="en-GB"/>
        </w:rPr>
        <w:t>Sutureless</w:t>
      </w:r>
      <w:proofErr w:type="spellEnd"/>
      <w:r w:rsidRPr="005379D7">
        <w:rPr>
          <w:rFonts w:ascii="Arial" w:hAnsi="Arial" w:cs="Arial"/>
          <w:lang w:eastAsia="en-GB"/>
        </w:rPr>
        <w:t xml:space="preserve"> AMT using a </w:t>
      </w:r>
      <w:proofErr w:type="spellStart"/>
      <w:r w:rsidRPr="005379D7">
        <w:rPr>
          <w:rFonts w:ascii="Arial" w:hAnsi="Arial" w:cs="Arial"/>
          <w:lang w:eastAsia="en-GB"/>
        </w:rPr>
        <w:t>symblepharon</w:t>
      </w:r>
      <w:proofErr w:type="spellEnd"/>
      <w:r w:rsidRPr="005379D7">
        <w:rPr>
          <w:rFonts w:ascii="Arial" w:hAnsi="Arial" w:cs="Arial"/>
          <w:lang w:eastAsia="en-GB"/>
        </w:rPr>
        <w:t xml:space="preserve"> ring, and performed at the bedside, is a </w:t>
      </w:r>
      <w:r>
        <w:rPr>
          <w:rFonts w:ascii="Arial" w:hAnsi="Arial" w:cs="Arial"/>
          <w:lang w:eastAsia="en-GB"/>
        </w:rPr>
        <w:t xml:space="preserve">new, </w:t>
      </w:r>
      <w:r w:rsidRPr="005379D7">
        <w:rPr>
          <w:rFonts w:ascii="Arial" w:hAnsi="Arial" w:cs="Arial"/>
          <w:lang w:eastAsia="en-GB"/>
        </w:rPr>
        <w:t>promising</w:t>
      </w:r>
      <w:r>
        <w:rPr>
          <w:rFonts w:ascii="Arial" w:hAnsi="Arial" w:cs="Arial"/>
          <w:lang w:eastAsia="en-GB"/>
        </w:rPr>
        <w:t>,</w:t>
      </w:r>
      <w:r w:rsidRPr="005379D7">
        <w:rPr>
          <w:rFonts w:ascii="Arial" w:hAnsi="Arial" w:cs="Arial"/>
          <w:lang w:eastAsia="en-GB"/>
        </w:rPr>
        <w:t xml:space="preserve"> low risk technique for delivering this therapy.</w:t>
      </w:r>
    </w:p>
    <w:p w:rsidR="00BD084C" w:rsidRPr="00297A95" w:rsidRDefault="00BD084C" w:rsidP="0085034D">
      <w:pPr>
        <w:pStyle w:val="NoSpacing"/>
        <w:spacing w:line="276" w:lineRule="auto"/>
        <w:jc w:val="both"/>
        <w:rPr>
          <w:rFonts w:ascii="Arial" w:hAnsi="Arial" w:cs="Arial"/>
          <w:b/>
          <w:color w:val="0070C0"/>
        </w:rPr>
      </w:pPr>
    </w:p>
    <w:p w:rsidR="00BD084C" w:rsidRDefault="00BD084C" w:rsidP="0085034D">
      <w:pPr>
        <w:pStyle w:val="NoSpacing"/>
        <w:spacing w:line="276" w:lineRule="auto"/>
        <w:jc w:val="both"/>
        <w:rPr>
          <w:rFonts w:ascii="Arial" w:hAnsi="Arial" w:cs="Arial"/>
          <w:b/>
          <w:color w:val="00B0F0"/>
        </w:rPr>
      </w:pPr>
    </w:p>
    <w:p w:rsidR="00BD084C" w:rsidRPr="006276EE" w:rsidRDefault="00BD084C" w:rsidP="0085034D">
      <w:pPr>
        <w:pStyle w:val="NoSpacing"/>
        <w:spacing w:line="276" w:lineRule="auto"/>
        <w:jc w:val="both"/>
        <w:rPr>
          <w:rFonts w:ascii="Arial" w:hAnsi="Arial" w:cs="Arial"/>
          <w:color w:val="00B0F0"/>
        </w:rPr>
      </w:pPr>
      <w:r w:rsidRPr="006276EE">
        <w:rPr>
          <w:rFonts w:ascii="Arial" w:hAnsi="Arial" w:cs="Arial"/>
          <w:b/>
          <w:color w:val="00B0F0"/>
        </w:rPr>
        <w:t>10.0 TREATMENT OF MOUTH INVOLVEMENT IN SJS/TEN</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Oral involvement in SJS/TEN is characterized by painful mucosal erythema with subsequent blistering and ulceration. Similar </w:t>
      </w:r>
      <w:r>
        <w:rPr>
          <w:rFonts w:ascii="Arial" w:hAnsi="Arial" w:cs="Arial"/>
        </w:rPr>
        <w:t>involvement of</w:t>
      </w:r>
      <w:r w:rsidRPr="00297A95">
        <w:rPr>
          <w:rFonts w:ascii="Arial" w:hAnsi="Arial" w:cs="Arial"/>
        </w:rPr>
        <w:t xml:space="preserve"> the vermillion of the lips progresses to haemorrhagic sloughing with the development of dark adherent crusts. The tongue and palate are frequently affected while in severe cases mucosal involvement may extend to the oropharynx, larynx, respiratory tract and oesophagus. Drinking and eating are usually severely compromised by oral involvement in acute SJS/TEN. If tolerated, ingested foods need to be soft, moist and low in acidity. However, fluids usually need to be given intravenously and nutrition supplied via a soft, fine-bore </w:t>
      </w:r>
      <w:proofErr w:type="spellStart"/>
      <w:r w:rsidRPr="00297A95">
        <w:rPr>
          <w:rFonts w:ascii="Arial" w:hAnsi="Arial" w:cs="Arial"/>
        </w:rPr>
        <w:t>naso</w:t>
      </w:r>
      <w:proofErr w:type="spellEnd"/>
      <w:r w:rsidRPr="00297A95">
        <w:rPr>
          <w:rFonts w:ascii="Arial" w:hAnsi="Arial" w:cs="Arial"/>
        </w:rPr>
        <w:t xml:space="preserve">-gastric tube (see section 8.4).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A long-term complication of acute oral involvement is labial and intra-oral scarring which may restrict mouth opening and cause difficulty with eating or speaking.</w:t>
      </w:r>
      <w:r w:rsidRPr="00F0553C">
        <w:rPr>
          <w:rFonts w:ascii="Arial" w:hAnsi="Arial" w:cs="Arial"/>
          <w:noProof/>
          <w:vertAlign w:val="superscript"/>
        </w:rPr>
        <w:t>81</w:t>
      </w:r>
      <w:r w:rsidRPr="00297A95">
        <w:rPr>
          <w:rFonts w:ascii="Arial" w:hAnsi="Arial" w:cs="Arial"/>
        </w:rPr>
        <w:t xml:space="preserve"> Sicca syndrome, caused by damage to minor salivary glands, develops as a chronic problem in up to 40% of patients.</w:t>
      </w:r>
      <w:r w:rsidRPr="00F0553C">
        <w:rPr>
          <w:rFonts w:ascii="Arial" w:hAnsi="Arial" w:cs="Arial"/>
          <w:noProof/>
          <w:vertAlign w:val="superscript"/>
        </w:rPr>
        <w:t>82</w:t>
      </w:r>
      <w:r w:rsidRPr="00297A95">
        <w:rPr>
          <w:rFonts w:ascii="Arial" w:hAnsi="Arial" w:cs="Arial"/>
        </w:rPr>
        <w:t xml:space="preserve">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rPr>
      </w:pPr>
      <w:r w:rsidRPr="00297A95">
        <w:rPr>
          <w:rFonts w:ascii="Arial" w:hAnsi="Arial" w:cs="Arial"/>
          <w:b/>
        </w:rPr>
        <w:lastRenderedPageBreak/>
        <w:t>10.1 In SJS/TEN, is topical therapy effective in treating oral involvement?</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Local measures for treating oral involvement in acute SJS/TEN are supportive and empirical. Along with regular examination of the mouth and lips, attention should be given to regular emollient</w:t>
      </w:r>
      <w:r>
        <w:rPr>
          <w:rFonts w:ascii="Arial" w:hAnsi="Arial" w:cs="Arial"/>
        </w:rPr>
        <w:t>s</w:t>
      </w:r>
      <w:r w:rsidRPr="00297A95">
        <w:rPr>
          <w:rFonts w:ascii="Arial" w:hAnsi="Arial" w:cs="Arial"/>
        </w:rPr>
        <w:t xml:space="preserve">, topical analgesia and topical antiseptics. </w:t>
      </w:r>
      <w:r>
        <w:rPr>
          <w:rFonts w:ascii="Arial" w:hAnsi="Arial" w:cs="Arial"/>
        </w:rPr>
        <w:t>In an uncontrolled series of patients with a variety of blistering conditions affecting the mouth, including SJS/TEN, t</w:t>
      </w:r>
      <w:r w:rsidRPr="00297A95">
        <w:rPr>
          <w:rFonts w:ascii="Arial" w:hAnsi="Arial" w:cs="Arial"/>
        </w:rPr>
        <w:t xml:space="preserve">opical corticosteroids </w:t>
      </w:r>
      <w:r>
        <w:rPr>
          <w:rFonts w:ascii="Arial" w:hAnsi="Arial" w:cs="Arial"/>
        </w:rPr>
        <w:t xml:space="preserve">were shown to </w:t>
      </w:r>
      <w:r w:rsidRPr="00297A95">
        <w:rPr>
          <w:rFonts w:ascii="Arial" w:hAnsi="Arial" w:cs="Arial"/>
        </w:rPr>
        <w:t>reduce oral inflammation.</w:t>
      </w:r>
      <w:r w:rsidRPr="00F0553C">
        <w:rPr>
          <w:rFonts w:ascii="Arial" w:hAnsi="Arial" w:cs="Arial"/>
          <w:noProof/>
          <w:vertAlign w:val="superscript"/>
        </w:rPr>
        <w:t>83</w:t>
      </w:r>
      <w:r w:rsidRPr="00297A95">
        <w:rPr>
          <w:rFonts w:ascii="Arial" w:hAnsi="Arial" w:cs="Arial"/>
        </w:rPr>
        <w:t xml:space="preserve"> </w:t>
      </w:r>
      <w:r>
        <w:rPr>
          <w:rFonts w:ascii="Arial" w:hAnsi="Arial" w:cs="Arial"/>
        </w:rPr>
        <w:t>Topical corticosteroids are widely prescribed in oral SJS/TEN, but there is limited directly applicable evidence for their use.</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i/>
        </w:rPr>
      </w:pPr>
      <w:r w:rsidRPr="00297A95">
        <w:rPr>
          <w:rFonts w:ascii="Arial" w:hAnsi="Arial" w:cs="Arial"/>
          <w:b/>
        </w:rPr>
        <w:t>Recommendations:</w:t>
      </w:r>
      <w:r>
        <w:rPr>
          <w:rFonts w:ascii="Arial" w:hAnsi="Arial" w:cs="Arial"/>
          <w:b/>
        </w:rPr>
        <w:t xml:space="preserve"> </w:t>
      </w:r>
      <w:r w:rsidRPr="00297A95">
        <w:rPr>
          <w:rFonts w:ascii="Arial" w:hAnsi="Arial" w:cs="Arial"/>
          <w:b/>
          <w:i/>
        </w:rPr>
        <w:t>(Strength of recommendation D</w:t>
      </w:r>
      <w:r>
        <w:rPr>
          <w:rFonts w:ascii="Arial" w:hAnsi="Arial" w:cs="Arial"/>
          <w:b/>
          <w:i/>
        </w:rPr>
        <w:t xml:space="preserve"> </w:t>
      </w:r>
      <w:r w:rsidRPr="00297A95">
        <w:rPr>
          <w:rFonts w:ascii="Arial" w:hAnsi="Arial" w:cs="Arial"/>
          <w:b/>
          <w:i/>
        </w:rPr>
        <w:t>(GPP); level of evidence 4)</w:t>
      </w:r>
    </w:p>
    <w:p w:rsidR="00BD084C" w:rsidRPr="00297A95" w:rsidRDefault="00BD084C" w:rsidP="0085034D">
      <w:pPr>
        <w:pStyle w:val="NoSpacing"/>
        <w:spacing w:line="276" w:lineRule="auto"/>
        <w:jc w:val="both"/>
        <w:rPr>
          <w:rFonts w:ascii="Arial" w:hAnsi="Arial" w:cs="Arial"/>
        </w:rPr>
      </w:pPr>
    </w:p>
    <w:p w:rsidR="00BD084C" w:rsidRPr="00297A95" w:rsidRDefault="00BD084C" w:rsidP="00BD084C">
      <w:pPr>
        <w:pStyle w:val="NoSpacing"/>
        <w:numPr>
          <w:ilvl w:val="0"/>
          <w:numId w:val="12"/>
        </w:numPr>
        <w:spacing w:line="276" w:lineRule="auto"/>
        <w:ind w:left="714" w:hanging="357"/>
        <w:jc w:val="both"/>
        <w:rPr>
          <w:rFonts w:ascii="Arial" w:hAnsi="Arial" w:cs="Arial"/>
        </w:rPr>
      </w:pPr>
      <w:r w:rsidRPr="00297A95">
        <w:rPr>
          <w:rFonts w:ascii="Arial" w:hAnsi="Arial" w:cs="Arial"/>
        </w:rPr>
        <w:t>The mouth should be examined as a part of the initial assessment of a patient with SJS/TEN. Thereafter, daily oral review is necessary during the acute illness.</w:t>
      </w:r>
    </w:p>
    <w:p w:rsidR="00BD084C" w:rsidRPr="00297A95" w:rsidRDefault="00BD084C" w:rsidP="0085034D">
      <w:pPr>
        <w:pStyle w:val="NoSpacing"/>
        <w:spacing w:line="276" w:lineRule="auto"/>
        <w:ind w:left="714" w:hanging="357"/>
        <w:jc w:val="both"/>
        <w:rPr>
          <w:rFonts w:ascii="Arial" w:hAnsi="Arial" w:cs="Arial"/>
        </w:rPr>
      </w:pPr>
    </w:p>
    <w:p w:rsidR="00BD084C" w:rsidRDefault="00BD084C" w:rsidP="00BD084C">
      <w:pPr>
        <w:pStyle w:val="NoSpacing"/>
        <w:numPr>
          <w:ilvl w:val="0"/>
          <w:numId w:val="12"/>
        </w:numPr>
        <w:spacing w:line="276" w:lineRule="auto"/>
        <w:ind w:left="714" w:hanging="357"/>
        <w:jc w:val="both"/>
        <w:rPr>
          <w:rFonts w:ascii="Arial" w:hAnsi="Arial" w:cs="Arial"/>
        </w:rPr>
      </w:pPr>
      <w:r w:rsidRPr="00297A95">
        <w:rPr>
          <w:rFonts w:ascii="Arial" w:hAnsi="Arial" w:cs="Arial"/>
        </w:rPr>
        <w:t xml:space="preserve">Apply white soft paraffin ointment to the lips immediately, and then every two hours throughout the acute illness. Protect ulcerated mucosal surfaces with a </w:t>
      </w:r>
      <w:proofErr w:type="spellStart"/>
      <w:r w:rsidRPr="00297A95">
        <w:rPr>
          <w:rFonts w:ascii="Arial" w:hAnsi="Arial" w:cs="Arial"/>
        </w:rPr>
        <w:t>mucoprotectant</w:t>
      </w:r>
      <w:proofErr w:type="spellEnd"/>
      <w:r w:rsidRPr="00297A95">
        <w:rPr>
          <w:rFonts w:ascii="Arial" w:hAnsi="Arial" w:cs="Arial"/>
        </w:rPr>
        <w:t xml:space="preserve"> mouthwash, used three times </w:t>
      </w:r>
      <w:r>
        <w:rPr>
          <w:rFonts w:ascii="Arial" w:hAnsi="Arial" w:cs="Arial"/>
        </w:rPr>
        <w:t>a day</w:t>
      </w:r>
      <w:r w:rsidRPr="00297A95">
        <w:rPr>
          <w:rFonts w:ascii="Arial" w:hAnsi="Arial" w:cs="Arial"/>
        </w:rPr>
        <w:t xml:space="preserve"> (e.g. </w:t>
      </w:r>
      <w:proofErr w:type="spellStart"/>
      <w:r w:rsidRPr="00297A95">
        <w:rPr>
          <w:rFonts w:ascii="Arial" w:hAnsi="Arial" w:cs="Arial"/>
        </w:rPr>
        <w:t>Gelclair</w:t>
      </w:r>
      <w:proofErr w:type="spellEnd"/>
      <w:r>
        <w:rPr>
          <w:rFonts w:ascii="Arial" w:hAnsi="Arial" w:cs="Arial"/>
        </w:rPr>
        <w:t>®</w:t>
      </w:r>
      <w:r w:rsidRPr="00297A95">
        <w:rPr>
          <w:rFonts w:ascii="Arial" w:hAnsi="Arial" w:cs="Arial"/>
        </w:rPr>
        <w:t xml:space="preserve">). Clean the mouth daily with warm saline mouthwashes or an oral sponge, sweeping the sponge gently in the labial and buccal sulci to reduce the risk of fibrotic scars. </w:t>
      </w:r>
    </w:p>
    <w:p w:rsidR="00BD084C" w:rsidRDefault="00BD084C" w:rsidP="0085034D">
      <w:pPr>
        <w:pStyle w:val="NoSpacing"/>
        <w:spacing w:line="276" w:lineRule="auto"/>
        <w:ind w:left="714" w:hanging="357"/>
        <w:jc w:val="both"/>
        <w:rPr>
          <w:rFonts w:ascii="Arial" w:hAnsi="Arial" w:cs="Arial"/>
        </w:rPr>
      </w:pPr>
    </w:p>
    <w:p w:rsidR="00BD084C" w:rsidRPr="005536BD" w:rsidRDefault="00BD084C" w:rsidP="00BD084C">
      <w:pPr>
        <w:pStyle w:val="NoSpacing"/>
        <w:numPr>
          <w:ilvl w:val="0"/>
          <w:numId w:val="12"/>
        </w:numPr>
        <w:spacing w:line="276" w:lineRule="auto"/>
        <w:ind w:left="714" w:hanging="357"/>
        <w:jc w:val="both"/>
        <w:rPr>
          <w:rFonts w:ascii="Arial" w:hAnsi="Arial" w:cs="Arial"/>
        </w:rPr>
      </w:pPr>
      <w:r w:rsidRPr="005536BD">
        <w:rPr>
          <w:rFonts w:ascii="Arial" w:hAnsi="Arial" w:cs="Arial"/>
        </w:rPr>
        <w:t xml:space="preserve">Use an anti-inflammatory oral rinse or spray containing </w:t>
      </w:r>
      <w:proofErr w:type="spellStart"/>
      <w:r w:rsidRPr="005536BD">
        <w:rPr>
          <w:rFonts w:ascii="Arial" w:hAnsi="Arial" w:cs="Arial"/>
        </w:rPr>
        <w:t>benzydamine</w:t>
      </w:r>
      <w:proofErr w:type="spellEnd"/>
      <w:r w:rsidRPr="005536BD">
        <w:rPr>
          <w:rFonts w:ascii="Arial" w:hAnsi="Arial" w:cs="Arial"/>
        </w:rPr>
        <w:t xml:space="preserve"> hydrochloride every 3 hours, particularly before eating. If pain is inadequately controlled with </w:t>
      </w:r>
      <w:proofErr w:type="spellStart"/>
      <w:r w:rsidRPr="005536BD">
        <w:rPr>
          <w:rFonts w:ascii="Arial" w:hAnsi="Arial" w:cs="Arial"/>
        </w:rPr>
        <w:t>benzydamine</w:t>
      </w:r>
      <w:proofErr w:type="spellEnd"/>
      <w:r w:rsidRPr="005536BD">
        <w:rPr>
          <w:rFonts w:ascii="Arial" w:hAnsi="Arial" w:cs="Arial"/>
        </w:rPr>
        <w:t>, then a topical anaesthetic preparation, e.g. viscous lidocaine 2%, 15 ml per application, may be used as an alternative. Cocaine mouthwashes 2% to 5% can be used for severe oral discomfort three times a day.</w:t>
      </w:r>
    </w:p>
    <w:p w:rsidR="00BD084C" w:rsidRPr="00297A95"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12"/>
        </w:numPr>
        <w:spacing w:line="276" w:lineRule="auto"/>
        <w:ind w:left="714" w:hanging="357"/>
        <w:jc w:val="both"/>
        <w:rPr>
          <w:rFonts w:ascii="Arial" w:hAnsi="Arial" w:cs="Arial"/>
        </w:rPr>
      </w:pPr>
      <w:r w:rsidRPr="00297A95">
        <w:rPr>
          <w:rFonts w:ascii="Arial" w:hAnsi="Arial" w:cs="Arial"/>
        </w:rPr>
        <w:t xml:space="preserve">Use an antiseptic oral rinse twice </w:t>
      </w:r>
      <w:r>
        <w:rPr>
          <w:rFonts w:ascii="Arial" w:hAnsi="Arial" w:cs="Arial"/>
        </w:rPr>
        <w:t>a day</w:t>
      </w:r>
      <w:r w:rsidRPr="00297A95">
        <w:rPr>
          <w:rFonts w:ascii="Arial" w:hAnsi="Arial" w:cs="Arial"/>
        </w:rPr>
        <w:t xml:space="preserve"> to reduce bacterial colonization of the mucosa. Agents available include 1.5% hydrogen peroxide mouthwash (e.g. </w:t>
      </w:r>
      <w:proofErr w:type="spellStart"/>
      <w:r w:rsidRPr="00297A95">
        <w:rPr>
          <w:rFonts w:ascii="Arial" w:hAnsi="Arial" w:cs="Arial"/>
        </w:rPr>
        <w:t>Peroxyl</w:t>
      </w:r>
      <w:proofErr w:type="spellEnd"/>
      <w:r>
        <w:rPr>
          <w:rFonts w:ascii="Arial" w:hAnsi="Arial" w:cs="Arial"/>
        </w:rPr>
        <w:t>®</w:t>
      </w:r>
      <w:r w:rsidRPr="00297A95">
        <w:rPr>
          <w:rFonts w:ascii="Arial" w:hAnsi="Arial" w:cs="Arial"/>
        </w:rPr>
        <w:t xml:space="preserve"> mouthwash, 10 ml twice </w:t>
      </w:r>
      <w:r>
        <w:rPr>
          <w:rFonts w:ascii="Arial" w:hAnsi="Arial" w:cs="Arial"/>
        </w:rPr>
        <w:t>a day</w:t>
      </w:r>
      <w:r w:rsidRPr="00297A95">
        <w:rPr>
          <w:rFonts w:ascii="Arial" w:hAnsi="Arial" w:cs="Arial"/>
        </w:rPr>
        <w:t xml:space="preserve">) or 0.2% chlorhexidine </w:t>
      </w:r>
      <w:proofErr w:type="spellStart"/>
      <w:r w:rsidRPr="00297A95">
        <w:rPr>
          <w:rFonts w:ascii="Arial" w:hAnsi="Arial" w:cs="Arial"/>
        </w:rPr>
        <w:t>digluconate</w:t>
      </w:r>
      <w:proofErr w:type="spellEnd"/>
      <w:r w:rsidRPr="00297A95">
        <w:rPr>
          <w:rFonts w:ascii="Arial" w:hAnsi="Arial" w:cs="Arial"/>
        </w:rPr>
        <w:t xml:space="preserve"> mouthwash (e.g. </w:t>
      </w:r>
      <w:proofErr w:type="spellStart"/>
      <w:r w:rsidRPr="00297A95">
        <w:rPr>
          <w:rFonts w:ascii="Arial" w:hAnsi="Arial" w:cs="Arial"/>
        </w:rPr>
        <w:t>Corsodyl</w:t>
      </w:r>
      <w:proofErr w:type="spellEnd"/>
      <w:r>
        <w:rPr>
          <w:rFonts w:ascii="Arial" w:hAnsi="Arial" w:cs="Arial"/>
        </w:rPr>
        <w:t>®</w:t>
      </w:r>
      <w:r w:rsidRPr="00297A95">
        <w:rPr>
          <w:rFonts w:ascii="Arial" w:hAnsi="Arial" w:cs="Arial"/>
        </w:rPr>
        <w:t xml:space="preserve"> mouthwash, 10 ml twice </w:t>
      </w:r>
      <w:r>
        <w:rPr>
          <w:rFonts w:ascii="Arial" w:hAnsi="Arial" w:cs="Arial"/>
        </w:rPr>
        <w:t>a day</w:t>
      </w:r>
      <w:r w:rsidRPr="00297A95">
        <w:rPr>
          <w:rFonts w:ascii="Arial" w:hAnsi="Arial" w:cs="Arial"/>
        </w:rPr>
        <w:t>). Diluting 0.2% chlorhexidine mouthwash by up to 50% will reduce the soreness which can accompany this treatment.</w:t>
      </w:r>
    </w:p>
    <w:p w:rsidR="00BD084C" w:rsidRPr="00297A95"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12"/>
        </w:numPr>
        <w:spacing w:line="276" w:lineRule="auto"/>
        <w:ind w:left="714" w:hanging="357"/>
        <w:jc w:val="both"/>
        <w:rPr>
          <w:rFonts w:ascii="Arial" w:hAnsi="Arial" w:cs="Arial"/>
        </w:rPr>
      </w:pPr>
      <w:r w:rsidRPr="00297A95">
        <w:rPr>
          <w:rFonts w:ascii="Arial" w:hAnsi="Arial" w:cs="Arial"/>
        </w:rPr>
        <w:t xml:space="preserve">Oral and lip swabs should be taken regularly </w:t>
      </w:r>
      <w:r>
        <w:rPr>
          <w:rFonts w:ascii="Arial" w:hAnsi="Arial" w:cs="Arial"/>
        </w:rPr>
        <w:t>if</w:t>
      </w:r>
      <w:r w:rsidRPr="00297A95">
        <w:rPr>
          <w:rFonts w:ascii="Arial" w:hAnsi="Arial" w:cs="Arial"/>
        </w:rPr>
        <w:t xml:space="preserve"> bacterial or </w:t>
      </w:r>
      <w:proofErr w:type="spellStart"/>
      <w:r w:rsidRPr="00297A95">
        <w:rPr>
          <w:rFonts w:ascii="Arial" w:hAnsi="Arial" w:cs="Arial"/>
        </w:rPr>
        <w:t>candida</w:t>
      </w:r>
      <w:r>
        <w:rPr>
          <w:rFonts w:ascii="Arial" w:hAnsi="Arial" w:cs="Arial"/>
        </w:rPr>
        <w:t>l</w:t>
      </w:r>
      <w:proofErr w:type="spellEnd"/>
      <w:r w:rsidRPr="00297A95">
        <w:rPr>
          <w:rFonts w:ascii="Arial" w:hAnsi="Arial" w:cs="Arial"/>
        </w:rPr>
        <w:t xml:space="preserve"> secondary infection</w:t>
      </w:r>
      <w:r>
        <w:rPr>
          <w:rFonts w:ascii="Arial" w:hAnsi="Arial" w:cs="Arial"/>
        </w:rPr>
        <w:t xml:space="preserve"> is suspected</w:t>
      </w:r>
      <w:r w:rsidRPr="00297A95">
        <w:rPr>
          <w:rFonts w:ascii="Arial" w:hAnsi="Arial" w:cs="Arial"/>
        </w:rPr>
        <w:t xml:space="preserve">. </w:t>
      </w:r>
      <w:proofErr w:type="spellStart"/>
      <w:r w:rsidRPr="00297A95">
        <w:rPr>
          <w:rFonts w:ascii="Arial" w:hAnsi="Arial" w:cs="Arial"/>
        </w:rPr>
        <w:t>Candida</w:t>
      </w:r>
      <w:r>
        <w:rPr>
          <w:rFonts w:ascii="Arial" w:hAnsi="Arial" w:cs="Arial"/>
        </w:rPr>
        <w:t>l</w:t>
      </w:r>
      <w:proofErr w:type="spellEnd"/>
      <w:r w:rsidRPr="00297A95">
        <w:rPr>
          <w:rFonts w:ascii="Arial" w:hAnsi="Arial" w:cs="Arial"/>
        </w:rPr>
        <w:t xml:space="preserve"> infection should be treated with nystatin oral suspension 100,000 units four times </w:t>
      </w:r>
      <w:r>
        <w:rPr>
          <w:rFonts w:ascii="Arial" w:hAnsi="Arial" w:cs="Arial"/>
        </w:rPr>
        <w:t>a day</w:t>
      </w:r>
      <w:r w:rsidRPr="00297A95">
        <w:rPr>
          <w:rFonts w:ascii="Arial" w:hAnsi="Arial" w:cs="Arial"/>
        </w:rPr>
        <w:t xml:space="preserve"> for 1 week, or miconazole oral gel (e.g. </w:t>
      </w:r>
      <w:proofErr w:type="spellStart"/>
      <w:r w:rsidRPr="00297A95">
        <w:rPr>
          <w:rFonts w:ascii="Arial" w:hAnsi="Arial" w:cs="Arial"/>
        </w:rPr>
        <w:t>Daktarin</w:t>
      </w:r>
      <w:proofErr w:type="spellEnd"/>
      <w:r>
        <w:rPr>
          <w:rFonts w:ascii="Arial" w:hAnsi="Arial" w:cs="Arial"/>
        </w:rPr>
        <w:t>®</w:t>
      </w:r>
      <w:r w:rsidRPr="00297A95">
        <w:rPr>
          <w:rFonts w:ascii="Arial" w:hAnsi="Arial" w:cs="Arial"/>
        </w:rPr>
        <w:t xml:space="preserve"> oral gel) 5 to 10 ml held in the mouth after food four times </w:t>
      </w:r>
      <w:r>
        <w:rPr>
          <w:rFonts w:ascii="Arial" w:hAnsi="Arial" w:cs="Arial"/>
        </w:rPr>
        <w:t xml:space="preserve">a day </w:t>
      </w:r>
      <w:r w:rsidRPr="00297A95">
        <w:rPr>
          <w:rFonts w:ascii="Arial" w:hAnsi="Arial" w:cs="Arial"/>
        </w:rPr>
        <w:t>for 1 week.</w:t>
      </w:r>
      <w:r>
        <w:rPr>
          <w:rFonts w:ascii="Arial" w:hAnsi="Arial" w:cs="Arial"/>
        </w:rPr>
        <w:t xml:space="preserve"> Slow healing of the oral mucosa may reflect secondary infection by, or reactivation of, HSV.</w:t>
      </w:r>
    </w:p>
    <w:p w:rsidR="00BD084C" w:rsidRPr="00297A95"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12"/>
        </w:numPr>
        <w:spacing w:line="276" w:lineRule="auto"/>
        <w:ind w:left="714" w:hanging="357"/>
        <w:jc w:val="both"/>
        <w:rPr>
          <w:rFonts w:ascii="Arial" w:hAnsi="Arial" w:cs="Arial"/>
        </w:rPr>
      </w:pPr>
      <w:r>
        <w:rPr>
          <w:rFonts w:ascii="Arial" w:hAnsi="Arial" w:cs="Arial"/>
        </w:rPr>
        <w:t>Consider using</w:t>
      </w:r>
      <w:r w:rsidRPr="00297A95">
        <w:rPr>
          <w:rFonts w:ascii="Arial" w:hAnsi="Arial" w:cs="Arial"/>
        </w:rPr>
        <w:t xml:space="preserve"> a topical corticosteroid four times </w:t>
      </w:r>
      <w:r>
        <w:rPr>
          <w:rFonts w:ascii="Arial" w:hAnsi="Arial" w:cs="Arial"/>
        </w:rPr>
        <w:t>a day</w:t>
      </w:r>
      <w:r w:rsidRPr="00297A95">
        <w:rPr>
          <w:rFonts w:ascii="Arial" w:hAnsi="Arial" w:cs="Arial"/>
        </w:rPr>
        <w:t xml:space="preserve"> (e.g. </w:t>
      </w:r>
      <w:r>
        <w:rPr>
          <w:rFonts w:ascii="Arial" w:hAnsi="Arial" w:cs="Arial"/>
        </w:rPr>
        <w:t>b</w:t>
      </w:r>
      <w:r w:rsidRPr="00297A95">
        <w:rPr>
          <w:rFonts w:ascii="Arial" w:hAnsi="Arial" w:cs="Arial"/>
        </w:rPr>
        <w:t>et</w:t>
      </w:r>
      <w:r>
        <w:rPr>
          <w:rFonts w:ascii="Arial" w:hAnsi="Arial" w:cs="Arial"/>
        </w:rPr>
        <w:t>amethasone sodium phosphate</w:t>
      </w:r>
      <w:r w:rsidRPr="00297A95">
        <w:rPr>
          <w:rFonts w:ascii="Arial" w:hAnsi="Arial" w:cs="Arial"/>
        </w:rPr>
        <w:t xml:space="preserve"> 0.5 mg in 10 ml water as a 3-minute rinse</w:t>
      </w:r>
      <w:r>
        <w:rPr>
          <w:rFonts w:ascii="Arial" w:hAnsi="Arial" w:cs="Arial"/>
        </w:rPr>
        <w:t>-</w:t>
      </w:r>
      <w:r w:rsidRPr="00297A95">
        <w:rPr>
          <w:rFonts w:ascii="Arial" w:hAnsi="Arial" w:cs="Arial"/>
        </w:rPr>
        <w:t>and</w:t>
      </w:r>
      <w:r>
        <w:rPr>
          <w:rFonts w:ascii="Arial" w:hAnsi="Arial" w:cs="Arial"/>
        </w:rPr>
        <w:t>-</w:t>
      </w:r>
      <w:r w:rsidRPr="00297A95">
        <w:rPr>
          <w:rFonts w:ascii="Arial" w:hAnsi="Arial" w:cs="Arial"/>
        </w:rPr>
        <w:t xml:space="preserve">spit preparation). A more potent preparation, </w:t>
      </w:r>
      <w:proofErr w:type="spellStart"/>
      <w:r w:rsidRPr="00297A95">
        <w:rPr>
          <w:rFonts w:ascii="Arial" w:hAnsi="Arial" w:cs="Arial"/>
        </w:rPr>
        <w:t>clobetasol</w:t>
      </w:r>
      <w:proofErr w:type="spellEnd"/>
      <w:r w:rsidRPr="00297A95">
        <w:rPr>
          <w:rFonts w:ascii="Arial" w:hAnsi="Arial" w:cs="Arial"/>
        </w:rPr>
        <w:t xml:space="preserve"> propionate 0.05%, mixed in equal amounts with </w:t>
      </w:r>
      <w:proofErr w:type="spellStart"/>
      <w:r w:rsidRPr="00297A95">
        <w:rPr>
          <w:rFonts w:ascii="Arial" w:hAnsi="Arial" w:cs="Arial"/>
        </w:rPr>
        <w:t>Orabase</w:t>
      </w:r>
      <w:proofErr w:type="spellEnd"/>
      <w:r>
        <w:rPr>
          <w:rFonts w:ascii="Arial" w:hAnsi="Arial" w:cs="Arial"/>
        </w:rPr>
        <w:t>®</w:t>
      </w:r>
      <w:r w:rsidRPr="00297A95">
        <w:rPr>
          <w:rFonts w:ascii="Arial" w:hAnsi="Arial" w:cs="Arial"/>
        </w:rPr>
        <w:t>, can be applied directly to the sulci, labial or buccal mucosae daily</w:t>
      </w:r>
      <w:r>
        <w:rPr>
          <w:rFonts w:ascii="Arial" w:hAnsi="Arial" w:cs="Arial"/>
        </w:rPr>
        <w:t xml:space="preserve"> during the acute phase</w:t>
      </w:r>
      <w:r w:rsidRPr="00297A95">
        <w:rPr>
          <w:rFonts w:ascii="Arial" w:hAnsi="Arial" w:cs="Arial"/>
        </w:rPr>
        <w:t>.</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rPr>
      </w:pPr>
      <w:r w:rsidRPr="00297A95">
        <w:rPr>
          <w:rFonts w:ascii="Arial" w:hAnsi="Arial" w:cs="Arial"/>
          <w:b/>
        </w:rPr>
        <w:lastRenderedPageBreak/>
        <w:t>10.2 In SJS/TEN, is systemic therapy effective in treating oral involvement?</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There are no controlled trials of systemic corticosteroid in the management of mouth involvement in SJS/</w:t>
      </w:r>
      <w:proofErr w:type="gramStart"/>
      <w:r w:rsidRPr="00297A95">
        <w:rPr>
          <w:rFonts w:ascii="Arial" w:hAnsi="Arial" w:cs="Arial"/>
        </w:rPr>
        <w:t>TEN,</w:t>
      </w:r>
      <w:proofErr w:type="gramEnd"/>
      <w:r w:rsidRPr="00297A95">
        <w:rPr>
          <w:rFonts w:ascii="Arial" w:hAnsi="Arial" w:cs="Arial"/>
        </w:rPr>
        <w:t xml:space="preserve"> however, steroids are commonly used by oral physicians in severe EM major. In a series comprising eight EM major cases and four cases of SJS, patients were treated with </w:t>
      </w:r>
      <w:proofErr w:type="spellStart"/>
      <w:r w:rsidRPr="00297A95">
        <w:rPr>
          <w:rFonts w:ascii="Arial" w:hAnsi="Arial" w:cs="Arial"/>
        </w:rPr>
        <w:t>fluocinolone</w:t>
      </w:r>
      <w:proofErr w:type="spellEnd"/>
      <w:r w:rsidRPr="00297A95">
        <w:rPr>
          <w:rFonts w:ascii="Arial" w:hAnsi="Arial" w:cs="Arial"/>
        </w:rPr>
        <w:t xml:space="preserve"> or prednisolone or methylprednisolone in a variety of doses for 5 to 7 days during the acute illness.</w:t>
      </w:r>
      <w:r w:rsidRPr="00F0553C">
        <w:rPr>
          <w:rFonts w:ascii="Arial" w:hAnsi="Arial" w:cs="Arial"/>
          <w:noProof/>
          <w:vertAlign w:val="superscript"/>
        </w:rPr>
        <w:t>84</w:t>
      </w:r>
      <w:r w:rsidRPr="00297A95">
        <w:rPr>
          <w:rFonts w:ascii="Arial" w:hAnsi="Arial" w:cs="Arial"/>
        </w:rPr>
        <w:t xml:space="preserve"> Oral assessment revealed a complete remission of buccal lesions in all patients 7 to 10 days after onset of systemic corticosteroid treatment.</w:t>
      </w:r>
      <w:r w:rsidRPr="00F0553C">
        <w:rPr>
          <w:rFonts w:ascii="Arial" w:hAnsi="Arial" w:cs="Arial"/>
          <w:noProof/>
          <w:vertAlign w:val="superscript"/>
        </w:rPr>
        <w:t>84</w:t>
      </w:r>
      <w:hyperlink w:anchor="_ENREF_73" w:tooltip="Sanchis, 2010 #1909" w:history="1"/>
      <w:r w:rsidRPr="00297A95">
        <w:rPr>
          <w:rFonts w:ascii="Arial" w:hAnsi="Arial" w:cs="Arial"/>
        </w:rPr>
        <w:t xml:space="preserve"> Nonetheless, there is currently insufficient evidence to recommend systemic corticosteroids for the treatment of the oral manifestations of acute SJS/TEN. There are no published studies of oral outcomes in acute SJS/TEN treated with systemic </w:t>
      </w:r>
      <w:proofErr w:type="spellStart"/>
      <w:r w:rsidRPr="00297A95">
        <w:rPr>
          <w:rFonts w:ascii="Arial" w:hAnsi="Arial" w:cs="Arial"/>
        </w:rPr>
        <w:t>ciclosporin</w:t>
      </w:r>
      <w:proofErr w:type="spellEnd"/>
      <w:r w:rsidRPr="00297A95">
        <w:rPr>
          <w:rFonts w:ascii="Arial" w:hAnsi="Arial" w:cs="Arial"/>
        </w:rPr>
        <w:t xml:space="preserve"> or </w:t>
      </w:r>
      <w:proofErr w:type="spellStart"/>
      <w:r>
        <w:rPr>
          <w:rFonts w:ascii="Arial" w:hAnsi="Arial" w:cs="Arial"/>
        </w:rPr>
        <w:t>IVIg</w:t>
      </w:r>
      <w:proofErr w:type="spellEnd"/>
      <w:r w:rsidRPr="00297A95">
        <w:rPr>
          <w:rFonts w:ascii="Arial" w:hAnsi="Arial" w:cs="Arial"/>
        </w:rPr>
        <w:t xml:space="preserve">.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color w:val="0070C0"/>
        </w:rPr>
      </w:pPr>
    </w:p>
    <w:p w:rsidR="00BD084C" w:rsidRPr="006276EE" w:rsidRDefault="00BD084C" w:rsidP="0085034D">
      <w:pPr>
        <w:pStyle w:val="NoSpacing"/>
        <w:spacing w:line="276" w:lineRule="auto"/>
        <w:jc w:val="both"/>
        <w:rPr>
          <w:rFonts w:ascii="Arial" w:hAnsi="Arial" w:cs="Arial"/>
          <w:b/>
          <w:color w:val="00B0F0"/>
        </w:rPr>
      </w:pPr>
      <w:r w:rsidRPr="006276EE">
        <w:rPr>
          <w:rFonts w:ascii="Arial" w:hAnsi="Arial" w:cs="Arial"/>
          <w:b/>
          <w:color w:val="00B0F0"/>
        </w:rPr>
        <w:t>11.0 TREATMENT OF UROGENITAL INVOLVEMENT IN SJS/TEN</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Involvement of the urogenital tract in SJS/TEN is characterized by mucosal erythema, blistering and erosions. During the acute phase pain is prominent and urinary dysfunction (dysuria or retention) is common.</w:t>
      </w:r>
      <w:r>
        <w:rPr>
          <w:rFonts w:ascii="Arial" w:hAnsi="Arial" w:cs="Arial"/>
        </w:rPr>
        <w:t xml:space="preserve"> Secondary infection by bacteria or candida is a frequent complication of urogenital involvement. HSV activation may also occur.</w:t>
      </w:r>
      <w:r w:rsidRPr="00297A95">
        <w:rPr>
          <w:rFonts w:ascii="Arial" w:hAnsi="Arial" w:cs="Arial"/>
        </w:rPr>
        <w:t xml:space="preserve"> Erosions of the genital mucosae may persist for many weeks after the acute phase has resolved, ultimately healing with scarring.</w:t>
      </w:r>
      <w:r w:rsidRPr="00F0553C">
        <w:rPr>
          <w:rFonts w:ascii="Arial" w:hAnsi="Arial" w:cs="Arial"/>
          <w:noProof/>
          <w:vertAlign w:val="superscript"/>
        </w:rPr>
        <w:t>85,86</w:t>
      </w:r>
      <w:r w:rsidRPr="00297A95">
        <w:rPr>
          <w:rFonts w:ascii="Arial" w:hAnsi="Arial" w:cs="Arial"/>
        </w:rPr>
        <w:t xml:space="preserve"> In the long term, serious morbidity can ensue in the form of strictures and stenosis of the urethra, phimosis in males and vaginal </w:t>
      </w:r>
      <w:proofErr w:type="spellStart"/>
      <w:r w:rsidRPr="00297A95">
        <w:rPr>
          <w:rFonts w:ascii="Arial" w:hAnsi="Arial" w:cs="Arial"/>
        </w:rPr>
        <w:t>synechiae</w:t>
      </w:r>
      <w:proofErr w:type="spellEnd"/>
      <w:r w:rsidRPr="00297A95">
        <w:rPr>
          <w:rFonts w:ascii="Arial" w:hAnsi="Arial" w:cs="Arial"/>
        </w:rPr>
        <w:t xml:space="preserve"> in females, with resultant urinary and sexual dysfunction.</w:t>
      </w:r>
      <w:r w:rsidRPr="00F0553C">
        <w:rPr>
          <w:rFonts w:ascii="Arial" w:hAnsi="Arial" w:cs="Arial"/>
          <w:noProof/>
          <w:vertAlign w:val="superscript"/>
        </w:rPr>
        <w:t>87</w:t>
      </w:r>
      <w:r w:rsidRPr="00297A95">
        <w:rPr>
          <w:rFonts w:ascii="Arial" w:hAnsi="Arial" w:cs="Arial"/>
        </w:rPr>
        <w:t xml:space="preserve">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rPr>
      </w:pPr>
      <w:r w:rsidRPr="00297A95">
        <w:rPr>
          <w:rFonts w:ascii="Arial" w:hAnsi="Arial" w:cs="Arial"/>
          <w:b/>
        </w:rPr>
        <w:t>11.1 In SJS/TEN, is topical therapy effective in treating urogenital involvement?</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Local measures for treating urogenital involvement in acute SJS/TEN are supportive and empirical. Along with regular examination of the urogenital tract, attention should be given to regular emollient, appropriate dressings and topical anti-microbial treatment. Topical corticosteroids may be useful to reduce urogenital inflammation.</w:t>
      </w:r>
      <w:r w:rsidRPr="00F0553C">
        <w:rPr>
          <w:rFonts w:ascii="Arial" w:hAnsi="Arial" w:cs="Arial"/>
          <w:noProof/>
          <w:vertAlign w:val="superscript"/>
        </w:rPr>
        <w:t>88,89</w:t>
      </w:r>
      <w:r w:rsidRPr="00297A95">
        <w:rPr>
          <w:rFonts w:ascii="Arial" w:hAnsi="Arial" w:cs="Arial"/>
        </w:rPr>
        <w:t xml:space="preserve">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i/>
        </w:rPr>
      </w:pPr>
      <w:r w:rsidRPr="00297A95">
        <w:rPr>
          <w:rFonts w:ascii="Arial" w:hAnsi="Arial" w:cs="Arial"/>
          <w:b/>
        </w:rPr>
        <w:t>Recommendations:</w:t>
      </w:r>
      <w:r>
        <w:rPr>
          <w:rFonts w:ascii="Arial" w:hAnsi="Arial" w:cs="Arial"/>
          <w:b/>
        </w:rPr>
        <w:t xml:space="preserve"> </w:t>
      </w:r>
      <w:r w:rsidRPr="00297A95">
        <w:rPr>
          <w:rFonts w:ascii="Arial" w:hAnsi="Arial" w:cs="Arial"/>
          <w:b/>
          <w:i/>
        </w:rPr>
        <w:t>(Strength of recommendation D (GPP); level of evidence 4)</w:t>
      </w:r>
    </w:p>
    <w:p w:rsidR="00BD084C" w:rsidRPr="00297A95" w:rsidRDefault="00BD084C" w:rsidP="0085034D">
      <w:pPr>
        <w:pStyle w:val="NoSpacing"/>
        <w:spacing w:line="276" w:lineRule="auto"/>
        <w:jc w:val="both"/>
        <w:rPr>
          <w:rFonts w:ascii="Arial" w:hAnsi="Arial" w:cs="Arial"/>
        </w:rPr>
      </w:pPr>
    </w:p>
    <w:p w:rsidR="00BD084C" w:rsidRPr="00297A95" w:rsidRDefault="00BD084C" w:rsidP="00BD084C">
      <w:pPr>
        <w:pStyle w:val="NoSpacing"/>
        <w:numPr>
          <w:ilvl w:val="0"/>
          <w:numId w:val="13"/>
        </w:numPr>
        <w:spacing w:line="276" w:lineRule="auto"/>
        <w:ind w:left="714" w:hanging="357"/>
        <w:jc w:val="both"/>
        <w:rPr>
          <w:rFonts w:ascii="Arial" w:hAnsi="Arial" w:cs="Arial"/>
        </w:rPr>
      </w:pPr>
      <w:r w:rsidRPr="00297A95">
        <w:rPr>
          <w:rFonts w:ascii="Arial" w:hAnsi="Arial" w:cs="Arial"/>
        </w:rPr>
        <w:t xml:space="preserve">Examine the urogenital tract as a part of the initial assessment of a patient with SJS/TEN. In women, early assessment by a </w:t>
      </w:r>
      <w:proofErr w:type="spellStart"/>
      <w:r>
        <w:rPr>
          <w:rFonts w:ascii="Arial" w:hAnsi="Arial" w:cs="Arial"/>
        </w:rPr>
        <w:t>vulval</w:t>
      </w:r>
      <w:proofErr w:type="spellEnd"/>
      <w:r>
        <w:rPr>
          <w:rFonts w:ascii="Arial" w:hAnsi="Arial" w:cs="Arial"/>
        </w:rPr>
        <w:t xml:space="preserve"> specialist</w:t>
      </w:r>
      <w:r w:rsidRPr="00297A95">
        <w:rPr>
          <w:rFonts w:ascii="Arial" w:hAnsi="Arial" w:cs="Arial"/>
        </w:rPr>
        <w:t xml:space="preserve"> is recommended for consideration of dilators to prevent vaginal </w:t>
      </w:r>
      <w:proofErr w:type="spellStart"/>
      <w:r w:rsidRPr="00297A95">
        <w:rPr>
          <w:rFonts w:ascii="Arial" w:hAnsi="Arial" w:cs="Arial"/>
        </w:rPr>
        <w:t>synechiae</w:t>
      </w:r>
      <w:proofErr w:type="spellEnd"/>
      <w:r w:rsidRPr="00297A95">
        <w:rPr>
          <w:rFonts w:ascii="Arial" w:hAnsi="Arial" w:cs="Arial"/>
        </w:rPr>
        <w:t xml:space="preserve">. </w:t>
      </w:r>
      <w:r>
        <w:rPr>
          <w:rFonts w:ascii="Arial" w:hAnsi="Arial" w:cs="Arial"/>
        </w:rPr>
        <w:t xml:space="preserve">Speculum examination needs to be undertaken with plastic speculums so that all vaginal walls can be fully assessed. </w:t>
      </w:r>
      <w:r w:rsidRPr="00297A95">
        <w:rPr>
          <w:rFonts w:ascii="Arial" w:hAnsi="Arial" w:cs="Arial"/>
        </w:rPr>
        <w:t xml:space="preserve">Uncircumcised male patients should be checked for preputial </w:t>
      </w:r>
      <w:proofErr w:type="spellStart"/>
      <w:r w:rsidRPr="00297A95">
        <w:rPr>
          <w:rFonts w:ascii="Arial" w:hAnsi="Arial" w:cs="Arial"/>
        </w:rPr>
        <w:t>retractability</w:t>
      </w:r>
      <w:proofErr w:type="spellEnd"/>
      <w:r w:rsidRPr="00297A95">
        <w:rPr>
          <w:rFonts w:ascii="Arial" w:hAnsi="Arial" w:cs="Arial"/>
        </w:rPr>
        <w:t>. Thereafter, daily documented urogenital review is necessary during the acute illness.</w:t>
      </w:r>
    </w:p>
    <w:p w:rsidR="00BD084C" w:rsidRPr="00297A95"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13"/>
        </w:numPr>
        <w:spacing w:line="276" w:lineRule="auto"/>
        <w:ind w:left="714" w:hanging="357"/>
        <w:jc w:val="both"/>
        <w:rPr>
          <w:rFonts w:ascii="Arial" w:hAnsi="Arial" w:cs="Arial"/>
        </w:rPr>
      </w:pPr>
      <w:r w:rsidRPr="00297A95">
        <w:rPr>
          <w:rFonts w:ascii="Arial" w:hAnsi="Arial" w:cs="Arial"/>
        </w:rPr>
        <w:t xml:space="preserve">Apply white soft paraffin ointment to the urogenital skin and mucosae immediately and thereafter 4 hourly through the acute illness. </w:t>
      </w:r>
    </w:p>
    <w:p w:rsidR="00BD084C" w:rsidRPr="00297A95"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13"/>
        </w:numPr>
        <w:spacing w:line="276" w:lineRule="auto"/>
        <w:ind w:left="714" w:hanging="357"/>
        <w:jc w:val="both"/>
        <w:rPr>
          <w:rFonts w:ascii="Arial" w:hAnsi="Arial" w:cs="Arial"/>
        </w:rPr>
      </w:pPr>
      <w:r w:rsidRPr="00297A95">
        <w:rPr>
          <w:rFonts w:ascii="Arial" w:hAnsi="Arial" w:cs="Arial"/>
        </w:rPr>
        <w:t xml:space="preserve">Use </w:t>
      </w:r>
      <w:proofErr w:type="spellStart"/>
      <w:r w:rsidRPr="00297A95">
        <w:rPr>
          <w:rFonts w:ascii="Arial" w:hAnsi="Arial" w:cs="Arial"/>
        </w:rPr>
        <w:t>Mepitel</w:t>
      </w:r>
      <w:proofErr w:type="spellEnd"/>
      <w:r w:rsidRPr="00297A95">
        <w:rPr>
          <w:rFonts w:ascii="Arial" w:hAnsi="Arial" w:cs="Arial"/>
        </w:rPr>
        <w:t xml:space="preserve">™ dressings to eroded areas in the </w:t>
      </w:r>
      <w:r>
        <w:rPr>
          <w:rFonts w:ascii="Arial" w:hAnsi="Arial" w:cs="Arial"/>
        </w:rPr>
        <w:t xml:space="preserve">vulva and </w:t>
      </w:r>
      <w:r w:rsidRPr="00297A95">
        <w:rPr>
          <w:rFonts w:ascii="Arial" w:hAnsi="Arial" w:cs="Arial"/>
        </w:rPr>
        <w:t xml:space="preserve">vagina to reduce pain and prevent adhesions. </w:t>
      </w:r>
      <w:r>
        <w:rPr>
          <w:rFonts w:ascii="Arial" w:hAnsi="Arial" w:cs="Arial"/>
        </w:rPr>
        <w:t xml:space="preserve">A dilator or tampon wrapped in </w:t>
      </w:r>
      <w:proofErr w:type="spellStart"/>
      <w:r>
        <w:rPr>
          <w:rFonts w:ascii="Arial" w:hAnsi="Arial" w:cs="Arial"/>
        </w:rPr>
        <w:t>Mepitel</w:t>
      </w:r>
      <w:proofErr w:type="spellEnd"/>
      <w:r w:rsidRPr="00297A95">
        <w:rPr>
          <w:rFonts w:ascii="Arial" w:hAnsi="Arial" w:cs="Arial"/>
        </w:rPr>
        <w:t>™</w:t>
      </w:r>
      <w:r>
        <w:rPr>
          <w:rFonts w:ascii="Arial" w:hAnsi="Arial" w:cs="Arial"/>
        </w:rPr>
        <w:t xml:space="preserve"> should be inserted into the vagina to prevent formation of </w:t>
      </w:r>
      <w:proofErr w:type="spellStart"/>
      <w:r>
        <w:rPr>
          <w:rFonts w:ascii="Arial" w:hAnsi="Arial" w:cs="Arial"/>
        </w:rPr>
        <w:t>synechiae</w:t>
      </w:r>
      <w:proofErr w:type="spellEnd"/>
      <w:r>
        <w:rPr>
          <w:rFonts w:ascii="Arial" w:hAnsi="Arial" w:cs="Arial"/>
        </w:rPr>
        <w:t>.</w:t>
      </w:r>
    </w:p>
    <w:p w:rsidR="00BD084C" w:rsidRPr="00297A95"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13"/>
        </w:numPr>
        <w:spacing w:line="276" w:lineRule="auto"/>
        <w:ind w:left="714" w:hanging="357"/>
        <w:jc w:val="both"/>
        <w:rPr>
          <w:rFonts w:ascii="Arial" w:hAnsi="Arial" w:cs="Arial"/>
        </w:rPr>
      </w:pPr>
      <w:r w:rsidRPr="00297A95">
        <w:rPr>
          <w:rFonts w:ascii="Arial" w:hAnsi="Arial" w:cs="Arial"/>
        </w:rPr>
        <w:lastRenderedPageBreak/>
        <w:t xml:space="preserve">Consider applying a </w:t>
      </w:r>
      <w:r>
        <w:rPr>
          <w:rFonts w:ascii="Arial" w:hAnsi="Arial" w:cs="Arial"/>
        </w:rPr>
        <w:t xml:space="preserve">potent </w:t>
      </w:r>
      <w:r w:rsidRPr="00297A95">
        <w:rPr>
          <w:rFonts w:ascii="Arial" w:hAnsi="Arial" w:cs="Arial"/>
        </w:rPr>
        <w:t xml:space="preserve">topical corticosteroid </w:t>
      </w:r>
      <w:r>
        <w:rPr>
          <w:rFonts w:ascii="Arial" w:hAnsi="Arial" w:cs="Arial"/>
        </w:rPr>
        <w:t>ointment</w:t>
      </w:r>
      <w:r w:rsidRPr="00297A95">
        <w:rPr>
          <w:rFonts w:ascii="Arial" w:hAnsi="Arial" w:cs="Arial"/>
        </w:rPr>
        <w:t xml:space="preserve"> </w:t>
      </w:r>
      <w:r>
        <w:rPr>
          <w:rFonts w:ascii="Arial" w:hAnsi="Arial" w:cs="Arial"/>
        </w:rPr>
        <w:t>once</w:t>
      </w:r>
      <w:r w:rsidRPr="00297A95">
        <w:rPr>
          <w:rFonts w:ascii="Arial" w:hAnsi="Arial" w:cs="Arial"/>
        </w:rPr>
        <w:t xml:space="preserve"> </w:t>
      </w:r>
      <w:r>
        <w:rPr>
          <w:rFonts w:ascii="Arial" w:hAnsi="Arial" w:cs="Arial"/>
        </w:rPr>
        <w:t>a day</w:t>
      </w:r>
      <w:r w:rsidRPr="00297A95">
        <w:rPr>
          <w:rFonts w:ascii="Arial" w:hAnsi="Arial" w:cs="Arial"/>
        </w:rPr>
        <w:t xml:space="preserve"> to the involved, non-eroded, urogenital surfaces.</w:t>
      </w:r>
    </w:p>
    <w:p w:rsidR="00BD084C" w:rsidRPr="00297A95"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13"/>
        </w:numPr>
        <w:spacing w:line="276" w:lineRule="auto"/>
        <w:ind w:left="714" w:hanging="357"/>
        <w:jc w:val="both"/>
        <w:rPr>
          <w:rFonts w:ascii="Arial" w:hAnsi="Arial" w:cs="Arial"/>
        </w:rPr>
      </w:pPr>
      <w:r w:rsidRPr="00297A95">
        <w:rPr>
          <w:rFonts w:ascii="Arial" w:hAnsi="Arial" w:cs="Arial"/>
        </w:rPr>
        <w:t>Catheterize all patients to prevent strictures forming in the urethra.</w:t>
      </w:r>
    </w:p>
    <w:p w:rsidR="00BD084C" w:rsidRPr="00297A95" w:rsidRDefault="00BD084C" w:rsidP="0085034D">
      <w:pPr>
        <w:pStyle w:val="NoSpacing"/>
        <w:spacing w:line="276" w:lineRule="auto"/>
        <w:jc w:val="both"/>
        <w:rPr>
          <w:rFonts w:ascii="Arial" w:hAnsi="Arial" w:cs="Arial"/>
          <w:i/>
        </w:rPr>
      </w:pPr>
    </w:p>
    <w:p w:rsidR="00BD084C" w:rsidRPr="00297A95" w:rsidRDefault="00BD084C" w:rsidP="0085034D">
      <w:pPr>
        <w:pStyle w:val="NoSpacing"/>
        <w:spacing w:line="276" w:lineRule="auto"/>
        <w:jc w:val="both"/>
        <w:rPr>
          <w:rFonts w:ascii="Arial" w:hAnsi="Arial" w:cs="Arial"/>
          <w:b/>
        </w:rPr>
      </w:pPr>
      <w:r w:rsidRPr="00297A95">
        <w:rPr>
          <w:rFonts w:ascii="Arial" w:hAnsi="Arial" w:cs="Arial"/>
          <w:b/>
        </w:rPr>
        <w:t>11.2 In SJS/TEN, is systemic therapy effective in treating urogenital involvement?</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There are no published studies of urogenital outcomes in acute SJS/TEN treated with systemic corticosteroids, </w:t>
      </w:r>
      <w:proofErr w:type="spellStart"/>
      <w:r w:rsidRPr="00297A95">
        <w:rPr>
          <w:rFonts w:ascii="Arial" w:hAnsi="Arial" w:cs="Arial"/>
        </w:rPr>
        <w:t>ciclosporin</w:t>
      </w:r>
      <w:proofErr w:type="spellEnd"/>
      <w:r w:rsidRPr="00297A95">
        <w:rPr>
          <w:rFonts w:ascii="Arial" w:hAnsi="Arial" w:cs="Arial"/>
        </w:rPr>
        <w:t xml:space="preserve"> or </w:t>
      </w:r>
      <w:proofErr w:type="spellStart"/>
      <w:r>
        <w:rPr>
          <w:rFonts w:ascii="Arial" w:hAnsi="Arial" w:cs="Arial"/>
        </w:rPr>
        <w:t>IVIg</w:t>
      </w:r>
      <w:proofErr w:type="spellEnd"/>
      <w:r w:rsidRPr="00297A95">
        <w:rPr>
          <w:rFonts w:ascii="Arial" w:hAnsi="Arial" w:cs="Arial"/>
        </w:rPr>
        <w:t xml:space="preserve">.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color w:val="0070C0"/>
        </w:rPr>
      </w:pPr>
    </w:p>
    <w:p w:rsidR="00BD084C" w:rsidRPr="006276EE" w:rsidRDefault="00BD084C" w:rsidP="0085034D">
      <w:pPr>
        <w:pStyle w:val="NoSpacing"/>
        <w:spacing w:line="276" w:lineRule="auto"/>
        <w:jc w:val="both"/>
        <w:rPr>
          <w:rFonts w:ascii="Arial" w:hAnsi="Arial" w:cs="Arial"/>
          <w:b/>
          <w:color w:val="00B0F0"/>
        </w:rPr>
      </w:pPr>
      <w:r w:rsidRPr="006276EE">
        <w:rPr>
          <w:rFonts w:ascii="Arial" w:hAnsi="Arial" w:cs="Arial"/>
          <w:b/>
          <w:color w:val="00B0F0"/>
        </w:rPr>
        <w:t>12.0 TREATMENT OF AIRWAY INVOLVEMENT IN SJS/TEN</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Pulmonary complications are an under-appreciated manifestation of SJS/TEN, and may be a marker of disease severity and mortality. Respiratory tract involvement does not seem to correlate with the extent of epidermal detachment.</w:t>
      </w: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 </w:t>
      </w: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A single-centre, prospective study characterized airway involvement </w:t>
      </w:r>
      <w:r>
        <w:rPr>
          <w:rFonts w:ascii="Arial" w:hAnsi="Arial" w:cs="Arial"/>
        </w:rPr>
        <w:t xml:space="preserve">in SJS/TEN </w:t>
      </w:r>
      <w:r w:rsidRPr="00297A95">
        <w:rPr>
          <w:rFonts w:ascii="Arial" w:hAnsi="Arial" w:cs="Arial"/>
        </w:rPr>
        <w:t>into three groups based on whether hypoxaemia and respiratory symptoms were present, and the time-course of the development of hypoxaemia.</w:t>
      </w:r>
      <w:r w:rsidRPr="00F0553C">
        <w:rPr>
          <w:rFonts w:ascii="Arial" w:hAnsi="Arial" w:cs="Arial"/>
          <w:noProof/>
          <w:vertAlign w:val="superscript"/>
        </w:rPr>
        <w:t>90</w:t>
      </w:r>
      <w:r w:rsidRPr="00297A95">
        <w:rPr>
          <w:rFonts w:ascii="Arial" w:hAnsi="Arial" w:cs="Arial"/>
        </w:rPr>
        <w:t xml:space="preserve"> Patients without hypoxaemia</w:t>
      </w:r>
      <w:r>
        <w:rPr>
          <w:rFonts w:ascii="Arial" w:hAnsi="Arial" w:cs="Arial"/>
        </w:rPr>
        <w:t xml:space="preserve"> during the acute phase</w:t>
      </w:r>
      <w:r w:rsidRPr="00297A95">
        <w:rPr>
          <w:rFonts w:ascii="Arial" w:hAnsi="Arial" w:cs="Arial"/>
        </w:rPr>
        <w:t xml:space="preserve"> (group 1) suffered no pulmonary complications or sequelae and had low mortality.</w:t>
      </w:r>
      <w:r w:rsidRPr="00F0553C">
        <w:rPr>
          <w:rFonts w:ascii="Arial" w:hAnsi="Arial" w:cs="Arial"/>
          <w:noProof/>
          <w:vertAlign w:val="superscript"/>
        </w:rPr>
        <w:t>90</w:t>
      </w:r>
      <w:hyperlink w:anchor="_ENREF_77" w:tooltip="Lebargy, 1997 #3082" w:history="1"/>
      <w:r w:rsidRPr="00297A95">
        <w:rPr>
          <w:rFonts w:ascii="Arial" w:hAnsi="Arial" w:cs="Arial"/>
        </w:rPr>
        <w:t xml:space="preserve"> </w:t>
      </w:r>
      <w:r>
        <w:rPr>
          <w:rFonts w:ascii="Arial" w:hAnsi="Arial" w:cs="Arial"/>
        </w:rPr>
        <w:t>One-quarter of patients presented with e</w:t>
      </w:r>
      <w:r w:rsidRPr="00297A95">
        <w:rPr>
          <w:rFonts w:ascii="Arial" w:hAnsi="Arial" w:cs="Arial"/>
        </w:rPr>
        <w:t>arly pulmonary manifestations (group 2)</w:t>
      </w:r>
      <w:r>
        <w:rPr>
          <w:rFonts w:ascii="Arial" w:hAnsi="Arial" w:cs="Arial"/>
        </w:rPr>
        <w:t xml:space="preserve"> characterized by</w:t>
      </w:r>
      <w:r w:rsidRPr="00297A95">
        <w:rPr>
          <w:rFonts w:ascii="Arial" w:hAnsi="Arial" w:cs="Arial"/>
        </w:rPr>
        <w:t xml:space="preserve"> dyspnoea and an increased respiratory rate</w:t>
      </w:r>
      <w:r>
        <w:rPr>
          <w:rFonts w:ascii="Arial" w:hAnsi="Arial" w:cs="Arial"/>
        </w:rPr>
        <w:t xml:space="preserve"> - c</w:t>
      </w:r>
      <w:hyperlink w:anchor="_ENREF_77" w:tooltip="Lebargy, 1997 #3082" w:history="1"/>
      <w:r w:rsidRPr="00297A95">
        <w:rPr>
          <w:rFonts w:ascii="Arial" w:hAnsi="Arial" w:cs="Arial"/>
        </w:rPr>
        <w:t>hest radiographs were typically normal on admission, with later diffuse pulmonary infiltrates.</w:t>
      </w:r>
      <w:r w:rsidRPr="00F0553C">
        <w:rPr>
          <w:rFonts w:ascii="Arial" w:hAnsi="Arial" w:cs="Arial"/>
          <w:noProof/>
          <w:vertAlign w:val="superscript"/>
        </w:rPr>
        <w:t>90</w:t>
      </w:r>
      <w:r w:rsidRPr="00297A95">
        <w:rPr>
          <w:rFonts w:ascii="Arial" w:hAnsi="Arial" w:cs="Arial"/>
        </w:rPr>
        <w:t xml:space="preserve"> Bronchial hypersecretion occurred in 70% of </w:t>
      </w:r>
      <w:r>
        <w:rPr>
          <w:rFonts w:ascii="Arial" w:hAnsi="Arial" w:cs="Arial"/>
        </w:rPr>
        <w:t xml:space="preserve">these </w:t>
      </w:r>
      <w:r w:rsidRPr="00297A95">
        <w:rPr>
          <w:rFonts w:ascii="Arial" w:hAnsi="Arial" w:cs="Arial"/>
        </w:rPr>
        <w:t xml:space="preserve">patients, and fibre-optic bronchoscopy revealed a pattern of diffuse loss of bronchial epithelium in the proximal airways, with evolving epithelial detachment caused by epithelial necrosis. There was no evidence of airway infection in this group, and normal bronchial mucosa began to recover at the same time as skin recovery in survivors. Mechanical ventilation was required in 90% of cases, and a high mortality rate (70%) was reported. </w:t>
      </w:r>
      <w:r>
        <w:rPr>
          <w:rFonts w:ascii="Arial" w:hAnsi="Arial" w:cs="Arial"/>
        </w:rPr>
        <w:t>In patients with bronchial epithelial necrolysis a</w:t>
      </w:r>
      <w:r w:rsidRPr="00297A95">
        <w:rPr>
          <w:rFonts w:ascii="Arial" w:hAnsi="Arial" w:cs="Arial"/>
        </w:rPr>
        <w:t xml:space="preserve">irway sloughing </w:t>
      </w:r>
      <w:r>
        <w:rPr>
          <w:rFonts w:ascii="Arial" w:hAnsi="Arial" w:cs="Arial"/>
        </w:rPr>
        <w:t>may occur,</w:t>
      </w:r>
      <w:r w:rsidRPr="00297A95">
        <w:rPr>
          <w:rFonts w:ascii="Arial" w:hAnsi="Arial" w:cs="Arial"/>
        </w:rPr>
        <w:t xml:space="preserve"> </w:t>
      </w:r>
      <w:r>
        <w:rPr>
          <w:rFonts w:ascii="Arial" w:hAnsi="Arial" w:cs="Arial"/>
        </w:rPr>
        <w:t>and can</w:t>
      </w:r>
      <w:r w:rsidRPr="00297A95">
        <w:rPr>
          <w:rFonts w:ascii="Arial" w:hAnsi="Arial" w:cs="Arial"/>
        </w:rPr>
        <w:t xml:space="preserve"> cause sudden airway obstruction and death.</w:t>
      </w:r>
      <w:r w:rsidRPr="00F0553C">
        <w:rPr>
          <w:rFonts w:ascii="Arial" w:hAnsi="Arial" w:cs="Arial"/>
          <w:noProof/>
          <w:vertAlign w:val="superscript"/>
        </w:rPr>
        <w:t>91</w:t>
      </w:r>
      <w:r w:rsidRPr="00297A95">
        <w:rPr>
          <w:rFonts w:ascii="Arial" w:hAnsi="Arial" w:cs="Arial"/>
        </w:rPr>
        <w:t xml:space="preserve"> </w:t>
      </w:r>
      <w:proofErr w:type="gramStart"/>
      <w:r w:rsidRPr="00297A95">
        <w:rPr>
          <w:rFonts w:ascii="Arial" w:hAnsi="Arial" w:cs="Arial"/>
        </w:rPr>
        <w:t>A</w:t>
      </w:r>
      <w:proofErr w:type="gramEnd"/>
      <w:r w:rsidRPr="00297A95">
        <w:rPr>
          <w:rFonts w:ascii="Arial" w:hAnsi="Arial" w:cs="Arial"/>
        </w:rPr>
        <w:t xml:space="preserve"> small percentage of patients w</w:t>
      </w:r>
      <w:r>
        <w:rPr>
          <w:rFonts w:ascii="Arial" w:hAnsi="Arial" w:cs="Arial"/>
        </w:rPr>
        <w:t>ith</w:t>
      </w:r>
      <w:r w:rsidRPr="00297A95">
        <w:rPr>
          <w:rFonts w:ascii="Arial" w:hAnsi="Arial" w:cs="Arial"/>
        </w:rPr>
        <w:t xml:space="preserve"> early pulmonary manifestations go on to develop chronic </w:t>
      </w:r>
      <w:r>
        <w:rPr>
          <w:rFonts w:ascii="Arial" w:hAnsi="Arial" w:cs="Arial"/>
        </w:rPr>
        <w:t>respiratory problems</w:t>
      </w:r>
      <w:r w:rsidRPr="00297A95">
        <w:rPr>
          <w:rFonts w:ascii="Arial" w:hAnsi="Arial" w:cs="Arial"/>
        </w:rPr>
        <w:t xml:space="preserve">, </w:t>
      </w:r>
      <w:r>
        <w:rPr>
          <w:rFonts w:ascii="Arial" w:hAnsi="Arial" w:cs="Arial"/>
        </w:rPr>
        <w:t xml:space="preserve">which </w:t>
      </w:r>
      <w:r w:rsidRPr="00297A95">
        <w:rPr>
          <w:rFonts w:ascii="Arial" w:hAnsi="Arial" w:cs="Arial"/>
        </w:rPr>
        <w:t>includ</w:t>
      </w:r>
      <w:r>
        <w:rPr>
          <w:rFonts w:ascii="Arial" w:hAnsi="Arial" w:cs="Arial"/>
        </w:rPr>
        <w:t>e</w:t>
      </w:r>
      <w:r w:rsidRPr="00297A95">
        <w:rPr>
          <w:rFonts w:ascii="Arial" w:hAnsi="Arial" w:cs="Arial"/>
        </w:rPr>
        <w:t xml:space="preserve"> bronchiolitis obliterans, bronchiectasis and chronic bronchitis. The prognosis is poor, with a mortality rate </w:t>
      </w:r>
      <w:r>
        <w:rPr>
          <w:rFonts w:ascii="Arial" w:hAnsi="Arial" w:cs="Arial"/>
        </w:rPr>
        <w:t xml:space="preserve">of approximately </w:t>
      </w:r>
      <w:r w:rsidRPr="00297A95">
        <w:rPr>
          <w:rFonts w:ascii="Arial" w:hAnsi="Arial" w:cs="Arial"/>
        </w:rPr>
        <w:t>40%.</w:t>
      </w:r>
      <w:r w:rsidRPr="00F0553C">
        <w:rPr>
          <w:rFonts w:ascii="Arial" w:hAnsi="Arial" w:cs="Arial"/>
          <w:noProof/>
          <w:vertAlign w:val="superscript"/>
        </w:rPr>
        <w:t>92</w:t>
      </w:r>
      <w:r w:rsidRPr="00297A95">
        <w:rPr>
          <w:rFonts w:ascii="Arial" w:hAnsi="Arial" w:cs="Arial"/>
        </w:rPr>
        <w:t xml:space="preserve"> Delayed pulmonary manifestations (group 3) occurred in 19% of cases and consisted of a heterogen</w:t>
      </w:r>
      <w:r>
        <w:rPr>
          <w:rFonts w:ascii="Arial" w:hAnsi="Arial" w:cs="Arial"/>
        </w:rPr>
        <w:t>e</w:t>
      </w:r>
      <w:r w:rsidRPr="00297A95">
        <w:rPr>
          <w:rFonts w:ascii="Arial" w:hAnsi="Arial" w:cs="Arial"/>
        </w:rPr>
        <w:t>ous group of conditions including atelectasis, bacterial pneumonia and fluid overload.</w:t>
      </w:r>
      <w:r w:rsidRPr="00F0553C">
        <w:rPr>
          <w:rFonts w:ascii="Arial" w:hAnsi="Arial" w:cs="Arial"/>
          <w:noProof/>
          <w:vertAlign w:val="superscript"/>
        </w:rPr>
        <w:t>90</w:t>
      </w:r>
      <w:r w:rsidRPr="00297A95">
        <w:rPr>
          <w:rFonts w:ascii="Arial" w:hAnsi="Arial" w:cs="Arial"/>
        </w:rPr>
        <w:t xml:space="preserve"> Biopsy confirmed the absence of pulmonary epithelial detachment in these patients; there was no requirement for ventilation in this group, and all patients recovered.</w:t>
      </w:r>
      <w:r w:rsidRPr="00F0553C">
        <w:rPr>
          <w:rFonts w:ascii="Arial" w:hAnsi="Arial" w:cs="Arial"/>
          <w:noProof/>
          <w:vertAlign w:val="superscript"/>
        </w:rPr>
        <w:t>90</w:t>
      </w:r>
      <w:hyperlink w:anchor="_ENREF_77" w:tooltip="Lebargy, 1997 #3082" w:history="1"/>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i/>
        </w:rPr>
      </w:pPr>
      <w:r w:rsidRPr="00297A95">
        <w:rPr>
          <w:rFonts w:ascii="Arial" w:hAnsi="Arial" w:cs="Arial"/>
        </w:rPr>
        <w:t xml:space="preserve"> </w:t>
      </w:r>
      <w:r w:rsidRPr="00297A95">
        <w:rPr>
          <w:rFonts w:ascii="Arial" w:hAnsi="Arial" w:cs="Arial"/>
          <w:b/>
        </w:rPr>
        <w:t>Recommendations:</w:t>
      </w:r>
      <w:r>
        <w:rPr>
          <w:rFonts w:ascii="Arial" w:hAnsi="Arial" w:cs="Arial"/>
          <w:b/>
        </w:rPr>
        <w:t xml:space="preserve"> </w:t>
      </w:r>
      <w:r w:rsidRPr="00297A95">
        <w:rPr>
          <w:rFonts w:ascii="Arial" w:hAnsi="Arial" w:cs="Arial"/>
          <w:b/>
          <w:i/>
        </w:rPr>
        <w:t>(Strength of recommendation D (GPP); level of evidence 4)</w:t>
      </w:r>
    </w:p>
    <w:p w:rsidR="00BD084C" w:rsidRPr="00297A95" w:rsidRDefault="00BD084C" w:rsidP="0085034D">
      <w:pPr>
        <w:pStyle w:val="NoSpacing"/>
        <w:spacing w:line="276" w:lineRule="auto"/>
        <w:jc w:val="both"/>
        <w:rPr>
          <w:rFonts w:ascii="Arial" w:hAnsi="Arial" w:cs="Arial"/>
        </w:rPr>
      </w:pPr>
    </w:p>
    <w:p w:rsidR="00BD084C" w:rsidRPr="00297A95" w:rsidRDefault="00BD084C" w:rsidP="00BD084C">
      <w:pPr>
        <w:pStyle w:val="NoSpacing"/>
        <w:numPr>
          <w:ilvl w:val="0"/>
          <w:numId w:val="14"/>
        </w:numPr>
        <w:spacing w:line="276" w:lineRule="auto"/>
        <w:ind w:left="714" w:hanging="357"/>
        <w:jc w:val="both"/>
        <w:rPr>
          <w:rFonts w:ascii="Arial" w:hAnsi="Arial" w:cs="Arial"/>
        </w:rPr>
      </w:pPr>
      <w:r w:rsidRPr="00297A95">
        <w:rPr>
          <w:rFonts w:ascii="Arial" w:hAnsi="Arial" w:cs="Arial"/>
        </w:rPr>
        <w:t>Respiratory symptoms and hypoxaemia on admission should prompt</w:t>
      </w:r>
      <w:r>
        <w:rPr>
          <w:rFonts w:ascii="Arial" w:hAnsi="Arial" w:cs="Arial"/>
        </w:rPr>
        <w:t xml:space="preserve"> urgent</w:t>
      </w:r>
      <w:r w:rsidRPr="00297A95">
        <w:rPr>
          <w:rFonts w:ascii="Arial" w:hAnsi="Arial" w:cs="Arial"/>
        </w:rPr>
        <w:t xml:space="preserve"> discussion with an intensivist and rapid transfer to the ICU</w:t>
      </w:r>
      <w:r>
        <w:rPr>
          <w:rFonts w:ascii="Arial" w:hAnsi="Arial" w:cs="Arial"/>
        </w:rPr>
        <w:t xml:space="preserve"> or Burn Centre</w:t>
      </w:r>
      <w:r w:rsidRPr="00297A95">
        <w:rPr>
          <w:rFonts w:ascii="Arial" w:hAnsi="Arial" w:cs="Arial"/>
        </w:rPr>
        <w:t>, since deterioration requiring mechanical ventilation is likely. Relatives should be counselled as to the prognostic significance of this development.</w:t>
      </w:r>
    </w:p>
    <w:p w:rsidR="00BD084C" w:rsidRPr="00297A95"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14"/>
        </w:numPr>
        <w:spacing w:line="276" w:lineRule="auto"/>
        <w:ind w:left="714" w:hanging="357"/>
        <w:jc w:val="both"/>
        <w:rPr>
          <w:rFonts w:ascii="Arial" w:hAnsi="Arial" w:cs="Arial"/>
        </w:rPr>
      </w:pPr>
      <w:r w:rsidRPr="00297A95">
        <w:rPr>
          <w:rFonts w:ascii="Arial" w:hAnsi="Arial" w:cs="Arial"/>
        </w:rPr>
        <w:lastRenderedPageBreak/>
        <w:t>Fibre-optic bronchoscopy should be undertaken to identify bronchial involvement, evaluate prognosis and investigate the presence of pneumonitis by bacterial sampling. Bronchoscopy may have a role in preventing atelectasis and airway obstruction by allowing the mechanical removal of sloughed bronchial epithelium.</w:t>
      </w:r>
    </w:p>
    <w:p w:rsidR="00BD084C" w:rsidRPr="00297A95"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14"/>
        </w:numPr>
        <w:spacing w:line="276" w:lineRule="auto"/>
        <w:ind w:left="714" w:hanging="357"/>
        <w:jc w:val="both"/>
        <w:rPr>
          <w:rFonts w:ascii="Arial" w:hAnsi="Arial" w:cs="Arial"/>
        </w:rPr>
      </w:pPr>
      <w:r w:rsidRPr="00297A95">
        <w:rPr>
          <w:rFonts w:ascii="Arial" w:hAnsi="Arial" w:cs="Arial"/>
        </w:rPr>
        <w:t>Patients with on</w:t>
      </w:r>
      <w:r>
        <w:rPr>
          <w:rFonts w:ascii="Arial" w:hAnsi="Arial" w:cs="Arial"/>
        </w:rPr>
        <w:t>-</w:t>
      </w:r>
      <w:r w:rsidRPr="00297A95">
        <w:rPr>
          <w:rFonts w:ascii="Arial" w:hAnsi="Arial" w:cs="Arial"/>
        </w:rPr>
        <w:t>going respiratory symptoms should be closely monitored with pulmonary function testing and high-resolution CT scanning.</w:t>
      </w:r>
    </w:p>
    <w:p w:rsidR="00BD084C" w:rsidRPr="00297A95" w:rsidRDefault="00BD084C" w:rsidP="0085034D">
      <w:pPr>
        <w:pStyle w:val="NoSpacing"/>
        <w:spacing w:line="276" w:lineRule="auto"/>
        <w:ind w:left="714" w:hanging="357"/>
        <w:jc w:val="both"/>
        <w:rPr>
          <w:rFonts w:ascii="Arial" w:hAnsi="Arial" w:cs="Arial"/>
          <w:b/>
          <w:i/>
        </w:rPr>
      </w:pPr>
    </w:p>
    <w:p w:rsidR="00BD084C" w:rsidRPr="00297A95" w:rsidRDefault="00BD084C" w:rsidP="0085034D">
      <w:pPr>
        <w:pStyle w:val="NoSpacing"/>
        <w:spacing w:line="276" w:lineRule="auto"/>
        <w:jc w:val="both"/>
        <w:rPr>
          <w:rFonts w:ascii="Arial" w:hAnsi="Arial" w:cs="Arial"/>
          <w:b/>
          <w:i/>
        </w:rPr>
      </w:pPr>
    </w:p>
    <w:p w:rsidR="00BD084C" w:rsidRPr="006276EE" w:rsidRDefault="00BD084C" w:rsidP="0085034D">
      <w:pPr>
        <w:pStyle w:val="NoSpacing"/>
        <w:spacing w:line="276" w:lineRule="auto"/>
        <w:jc w:val="both"/>
        <w:rPr>
          <w:rFonts w:ascii="Arial" w:hAnsi="Arial" w:cs="Arial"/>
          <w:color w:val="00B0F0"/>
        </w:rPr>
      </w:pPr>
      <w:r w:rsidRPr="006276EE">
        <w:rPr>
          <w:rFonts w:ascii="Arial" w:hAnsi="Arial" w:cs="Arial"/>
          <w:b/>
          <w:color w:val="00B0F0"/>
        </w:rPr>
        <w:t>13.0 ACTIVE THERAPY IN SJS/TEN</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Currently, no active therapeutic regimen with unequivocal benefit exists for SJS/TEN. Only one randomized controlled trial has been conducted in TEN: the anti-TNF agent thalidomide was compared to placebo, however the study was discontinued prematurely because of an excess of deaths in the thalidomide treatment group.</w:t>
      </w:r>
      <w:r w:rsidRPr="00F0553C">
        <w:rPr>
          <w:rFonts w:ascii="Arial" w:hAnsi="Arial" w:cs="Arial"/>
          <w:noProof/>
          <w:vertAlign w:val="superscript"/>
        </w:rPr>
        <w:t>93</w:t>
      </w:r>
      <w:r w:rsidRPr="00297A95">
        <w:rPr>
          <w:rFonts w:ascii="Arial" w:hAnsi="Arial" w:cs="Arial"/>
        </w:rPr>
        <w:t xml:space="preserve"> </w:t>
      </w:r>
    </w:p>
    <w:p w:rsidR="00BD084C" w:rsidRPr="00297A95" w:rsidRDefault="00BD084C" w:rsidP="0085034D">
      <w:pPr>
        <w:pStyle w:val="NoSpacing"/>
        <w:spacing w:line="276" w:lineRule="auto"/>
        <w:jc w:val="both"/>
        <w:rPr>
          <w:rFonts w:ascii="Arial" w:hAnsi="Arial" w:cs="Arial"/>
        </w:rPr>
      </w:pPr>
    </w:p>
    <w:p w:rsidR="00BD084C" w:rsidRDefault="00BD084C" w:rsidP="0085034D">
      <w:pPr>
        <w:pStyle w:val="NoSpacing"/>
        <w:spacing w:line="276" w:lineRule="auto"/>
        <w:jc w:val="both"/>
        <w:rPr>
          <w:rFonts w:ascii="Arial" w:hAnsi="Arial" w:cs="Arial"/>
        </w:rPr>
      </w:pPr>
      <w:r w:rsidRPr="00297A95">
        <w:rPr>
          <w:rFonts w:ascii="Arial" w:hAnsi="Arial" w:cs="Arial"/>
        </w:rPr>
        <w:t xml:space="preserve">The immunological basis for SJS/TEN has lead physicians to prescribe </w:t>
      </w:r>
      <w:proofErr w:type="spellStart"/>
      <w:r w:rsidRPr="00297A95">
        <w:rPr>
          <w:rFonts w:ascii="Arial" w:hAnsi="Arial" w:cs="Arial"/>
        </w:rPr>
        <w:t>immunomodulating</w:t>
      </w:r>
      <w:proofErr w:type="spellEnd"/>
      <w:r w:rsidRPr="00297A95">
        <w:rPr>
          <w:rFonts w:ascii="Arial" w:hAnsi="Arial" w:cs="Arial"/>
        </w:rPr>
        <w:t xml:space="preserve"> drugs, several of which have been studied in uncontrolled series. In this guideline, active interventions were assessed if studies recruited at least eight SJS/TEN patients into the treatment group. </w:t>
      </w:r>
      <w:r>
        <w:rPr>
          <w:rFonts w:ascii="Arial" w:hAnsi="Arial" w:cs="Arial"/>
        </w:rPr>
        <w:t xml:space="preserve">Of all active interventions (excluding thalidomide) only three drugs fulfilled the inclusion criteria; </w:t>
      </w:r>
      <w:proofErr w:type="spellStart"/>
      <w:r>
        <w:rPr>
          <w:rFonts w:ascii="Arial" w:hAnsi="Arial" w:cs="Arial"/>
        </w:rPr>
        <w:t>IVIg</w:t>
      </w:r>
      <w:proofErr w:type="spellEnd"/>
      <w:r>
        <w:rPr>
          <w:rFonts w:ascii="Arial" w:hAnsi="Arial" w:cs="Arial"/>
        </w:rPr>
        <w:t xml:space="preserve">, systemic corticosteroid and ciclosporin.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rPr>
      </w:pPr>
      <w:r w:rsidRPr="00297A95">
        <w:rPr>
          <w:rFonts w:ascii="Arial" w:hAnsi="Arial" w:cs="Arial"/>
          <w:b/>
        </w:rPr>
        <w:t>13.1 Is treatment with intravenous immunoglobulin effective in SJS/TEN?</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Evidence for possible efficacy of </w:t>
      </w:r>
      <w:proofErr w:type="spellStart"/>
      <w:r w:rsidRPr="00297A95">
        <w:rPr>
          <w:rFonts w:ascii="Arial" w:hAnsi="Arial" w:cs="Arial"/>
        </w:rPr>
        <w:t>IVIg</w:t>
      </w:r>
      <w:proofErr w:type="spellEnd"/>
      <w:r w:rsidRPr="00297A95">
        <w:rPr>
          <w:rFonts w:ascii="Arial" w:hAnsi="Arial" w:cs="Arial"/>
        </w:rPr>
        <w:t xml:space="preserve"> in SJS/TEN came from a study indicating a role for </w:t>
      </w:r>
      <w:proofErr w:type="spellStart"/>
      <w:r w:rsidRPr="00297A95">
        <w:rPr>
          <w:rFonts w:ascii="Arial" w:hAnsi="Arial" w:cs="Arial"/>
        </w:rPr>
        <w:t>Fas-Fas</w:t>
      </w:r>
      <w:proofErr w:type="spellEnd"/>
      <w:r w:rsidRPr="00297A95">
        <w:rPr>
          <w:rFonts w:ascii="Arial" w:hAnsi="Arial" w:cs="Arial"/>
        </w:rPr>
        <w:t xml:space="preserve"> ligand (</w:t>
      </w:r>
      <w:proofErr w:type="spellStart"/>
      <w:r w:rsidRPr="00297A95">
        <w:rPr>
          <w:rFonts w:ascii="Arial" w:hAnsi="Arial" w:cs="Arial"/>
        </w:rPr>
        <w:t>Fas-FasL</w:t>
      </w:r>
      <w:proofErr w:type="spellEnd"/>
      <w:r w:rsidRPr="00297A95">
        <w:rPr>
          <w:rFonts w:ascii="Arial" w:hAnsi="Arial" w:cs="Arial"/>
        </w:rPr>
        <w:t>) interaction in TEN keratinocyte apoptosis.</w:t>
      </w:r>
      <w:r w:rsidRPr="000A7318">
        <w:rPr>
          <w:rFonts w:ascii="Arial" w:hAnsi="Arial" w:cs="Arial"/>
          <w:noProof/>
          <w:vertAlign w:val="superscript"/>
        </w:rPr>
        <w:t>12</w:t>
      </w:r>
      <w:r>
        <w:rPr>
          <w:rFonts w:ascii="Arial" w:hAnsi="Arial" w:cs="Arial"/>
          <w:i/>
        </w:rPr>
        <w:t xml:space="preserve"> </w:t>
      </w:r>
      <w:r w:rsidRPr="00577763">
        <w:rPr>
          <w:rFonts w:ascii="Arial" w:hAnsi="Arial" w:cs="Arial"/>
        </w:rPr>
        <w:t>This study</w:t>
      </w:r>
      <w:r w:rsidRPr="00297A95">
        <w:rPr>
          <w:rFonts w:ascii="Arial" w:hAnsi="Arial" w:cs="Arial"/>
        </w:rPr>
        <w:t xml:space="preserve"> demonstrated that high concentrations of normal immunoglobulin inhibited </w:t>
      </w:r>
      <w:proofErr w:type="spellStart"/>
      <w:r w:rsidRPr="00297A95">
        <w:rPr>
          <w:rFonts w:ascii="Arial" w:hAnsi="Arial" w:cs="Arial"/>
        </w:rPr>
        <w:t>Fas-FasL</w:t>
      </w:r>
      <w:proofErr w:type="spellEnd"/>
      <w:r w:rsidRPr="00297A95">
        <w:rPr>
          <w:rFonts w:ascii="Arial" w:hAnsi="Arial" w:cs="Arial"/>
        </w:rPr>
        <w:t xml:space="preserve"> interaction and apoptosis through anti-</w:t>
      </w:r>
      <w:proofErr w:type="spellStart"/>
      <w:r w:rsidRPr="00297A95">
        <w:rPr>
          <w:rFonts w:ascii="Arial" w:hAnsi="Arial" w:cs="Arial"/>
        </w:rPr>
        <w:t>Fas</w:t>
      </w:r>
      <w:proofErr w:type="spellEnd"/>
      <w:r w:rsidRPr="00297A95">
        <w:rPr>
          <w:rFonts w:ascii="Arial" w:hAnsi="Arial" w:cs="Arial"/>
        </w:rPr>
        <w:t xml:space="preserve"> activity.</w:t>
      </w:r>
      <w:hyperlink w:anchor="_ENREF_11" w:tooltip="Viard, 1998 #612" w:history="1"/>
      <w:r w:rsidRPr="00297A95">
        <w:rPr>
          <w:rFonts w:ascii="Arial" w:hAnsi="Arial" w:cs="Arial"/>
        </w:rPr>
        <w:t xml:space="preserve"> The authors then reported an uncontrolled, prospective open trial of ten </w:t>
      </w:r>
      <w:proofErr w:type="spellStart"/>
      <w:r w:rsidRPr="00297A95">
        <w:rPr>
          <w:rFonts w:ascii="Arial" w:hAnsi="Arial" w:cs="Arial"/>
        </w:rPr>
        <w:t>TEN</w:t>
      </w:r>
      <w:proofErr w:type="spellEnd"/>
      <w:r w:rsidRPr="00297A95">
        <w:rPr>
          <w:rFonts w:ascii="Arial" w:hAnsi="Arial" w:cs="Arial"/>
        </w:rPr>
        <w:t xml:space="preserve"> patients treated with </w:t>
      </w:r>
      <w:proofErr w:type="spellStart"/>
      <w:r w:rsidRPr="00297A95">
        <w:rPr>
          <w:rFonts w:ascii="Arial" w:hAnsi="Arial" w:cs="Arial"/>
        </w:rPr>
        <w:t>IVIg</w:t>
      </w:r>
      <w:proofErr w:type="spellEnd"/>
      <w:r w:rsidRPr="00297A95">
        <w:rPr>
          <w:rFonts w:ascii="Arial" w:hAnsi="Arial" w:cs="Arial"/>
        </w:rPr>
        <w:t>, none of whom died.</w:t>
      </w:r>
      <w:r w:rsidRPr="000A7318">
        <w:rPr>
          <w:rFonts w:ascii="Arial" w:hAnsi="Arial" w:cs="Arial"/>
          <w:noProof/>
          <w:vertAlign w:val="superscript"/>
        </w:rPr>
        <w:t>12</w:t>
      </w:r>
      <w:hyperlink w:anchor="_ENREF_11" w:tooltip="Viard, 1998 #612" w:history="1"/>
      <w:r w:rsidRPr="00297A95">
        <w:rPr>
          <w:rFonts w:ascii="Arial" w:hAnsi="Arial" w:cs="Arial"/>
        </w:rPr>
        <w:t xml:space="preserve"> Since </w:t>
      </w:r>
      <w:proofErr w:type="spellStart"/>
      <w:r w:rsidRPr="00297A95">
        <w:rPr>
          <w:rFonts w:ascii="Arial" w:hAnsi="Arial" w:cs="Arial"/>
        </w:rPr>
        <w:t>Viard</w:t>
      </w:r>
      <w:proofErr w:type="spellEnd"/>
      <w:r w:rsidRPr="00297A95">
        <w:rPr>
          <w:rFonts w:ascii="Arial" w:hAnsi="Arial" w:cs="Arial"/>
          <w:i/>
        </w:rPr>
        <w:t xml:space="preserve"> et al.</w:t>
      </w:r>
      <w:r w:rsidRPr="00297A95">
        <w:rPr>
          <w:rFonts w:ascii="Arial" w:hAnsi="Arial" w:cs="Arial"/>
        </w:rPr>
        <w:t xml:space="preserve">’s report in 1998, </w:t>
      </w:r>
      <w:r>
        <w:rPr>
          <w:rFonts w:ascii="Arial" w:hAnsi="Arial" w:cs="Arial"/>
        </w:rPr>
        <w:t xml:space="preserve">a further </w:t>
      </w:r>
      <w:r w:rsidRPr="00297A95">
        <w:rPr>
          <w:rFonts w:ascii="Arial" w:hAnsi="Arial" w:cs="Arial"/>
        </w:rPr>
        <w:t xml:space="preserve">14 studies of </w:t>
      </w:r>
      <w:proofErr w:type="spellStart"/>
      <w:r w:rsidRPr="00297A95">
        <w:rPr>
          <w:rFonts w:ascii="Arial" w:hAnsi="Arial" w:cs="Arial"/>
        </w:rPr>
        <w:t>IVIg</w:t>
      </w:r>
      <w:proofErr w:type="spellEnd"/>
      <w:r w:rsidRPr="00297A95">
        <w:rPr>
          <w:rFonts w:ascii="Arial" w:hAnsi="Arial" w:cs="Arial"/>
        </w:rPr>
        <w:t xml:space="preserve"> treatment in SJS/TEN have </w:t>
      </w:r>
      <w:r>
        <w:rPr>
          <w:rFonts w:ascii="Arial" w:hAnsi="Arial" w:cs="Arial"/>
        </w:rPr>
        <w:t>met the inclusion criteria</w:t>
      </w:r>
      <w:r w:rsidRPr="00297A95">
        <w:rPr>
          <w:rFonts w:ascii="Arial" w:hAnsi="Arial" w:cs="Arial"/>
        </w:rPr>
        <w:t xml:space="preserve"> for assessment</w:t>
      </w:r>
      <w:r>
        <w:rPr>
          <w:rFonts w:ascii="Arial" w:hAnsi="Arial" w:cs="Arial"/>
        </w:rPr>
        <w:t xml:space="preserve"> (data summarized in Table 7)</w:t>
      </w:r>
      <w:r w:rsidRPr="00297A95">
        <w:rPr>
          <w:rFonts w:ascii="Arial" w:hAnsi="Arial" w:cs="Arial"/>
        </w:rPr>
        <w:t>.</w:t>
      </w:r>
      <w:r w:rsidRPr="00704610">
        <w:rPr>
          <w:rFonts w:ascii="Arial" w:hAnsi="Arial" w:cs="Arial"/>
          <w:noProof/>
          <w:vertAlign w:val="superscript"/>
        </w:rPr>
        <w:t>28,34,46,94-</w:t>
      </w:r>
      <w:proofErr w:type="gramStart"/>
      <w:r w:rsidRPr="00704610">
        <w:rPr>
          <w:rFonts w:ascii="Arial" w:hAnsi="Arial" w:cs="Arial"/>
          <w:noProof/>
          <w:vertAlign w:val="superscript"/>
        </w:rPr>
        <w:t>104</w:t>
      </w:r>
      <w:r w:rsidRPr="00297A95">
        <w:rPr>
          <w:rFonts w:ascii="Arial" w:hAnsi="Arial" w:cs="Arial"/>
        </w:rPr>
        <w:t xml:space="preserve"> </w:t>
      </w:r>
      <w:r>
        <w:rPr>
          <w:rFonts w:ascii="Arial" w:hAnsi="Arial" w:cs="Arial"/>
        </w:rPr>
        <w:t xml:space="preserve"> Of</w:t>
      </w:r>
      <w:proofErr w:type="gramEnd"/>
      <w:r>
        <w:rPr>
          <w:rFonts w:ascii="Arial" w:hAnsi="Arial" w:cs="Arial"/>
        </w:rPr>
        <w:t xml:space="preserve"> the 15 studies identified, ten are retrospective cohort studies and five are prospective. Pooling the results yields a total of 302 SJS/TEN patients receiving </w:t>
      </w:r>
      <w:proofErr w:type="spellStart"/>
      <w:r>
        <w:rPr>
          <w:rFonts w:ascii="Arial" w:hAnsi="Arial" w:cs="Arial"/>
        </w:rPr>
        <w:t>IVIg</w:t>
      </w:r>
      <w:proofErr w:type="spellEnd"/>
      <w:r>
        <w:rPr>
          <w:rFonts w:ascii="Arial" w:hAnsi="Arial" w:cs="Arial"/>
        </w:rPr>
        <w:t>, however, one study</w:t>
      </w:r>
      <w:r w:rsidRPr="00F0553C">
        <w:rPr>
          <w:rFonts w:ascii="Arial" w:hAnsi="Arial" w:cs="Arial"/>
          <w:noProof/>
          <w:vertAlign w:val="superscript"/>
        </w:rPr>
        <w:t>96</w:t>
      </w:r>
      <w:r>
        <w:rPr>
          <w:rFonts w:ascii="Arial" w:hAnsi="Arial" w:cs="Arial"/>
        </w:rPr>
        <w:t xml:space="preserve"> contained patients reported in previously published series, thus the total number of patients is lower. In all studies the primary outcome measure is mortality. In a systemic review and meta-analysis</w:t>
      </w:r>
      <w:r w:rsidRPr="00297A95">
        <w:rPr>
          <w:rFonts w:ascii="Arial" w:hAnsi="Arial" w:cs="Arial"/>
        </w:rPr>
        <w:t xml:space="preserve">, published in 2012 by Huang </w:t>
      </w:r>
      <w:r w:rsidRPr="00297A95">
        <w:rPr>
          <w:rFonts w:ascii="Arial" w:hAnsi="Arial" w:cs="Arial"/>
          <w:i/>
        </w:rPr>
        <w:t>et al.</w:t>
      </w:r>
      <w:r w:rsidRPr="00297A95">
        <w:rPr>
          <w:rFonts w:ascii="Arial" w:hAnsi="Arial" w:cs="Arial"/>
        </w:rPr>
        <w:t xml:space="preserve"> </w:t>
      </w:r>
      <w:r>
        <w:rPr>
          <w:rFonts w:ascii="Arial" w:hAnsi="Arial" w:cs="Arial"/>
        </w:rPr>
        <w:t>(</w:t>
      </w:r>
      <w:r w:rsidRPr="00297A95">
        <w:rPr>
          <w:rFonts w:ascii="Arial" w:hAnsi="Arial" w:cs="Arial"/>
        </w:rPr>
        <w:t>all studies</w:t>
      </w:r>
      <w:r>
        <w:rPr>
          <w:rFonts w:ascii="Arial" w:hAnsi="Arial" w:cs="Arial"/>
        </w:rPr>
        <w:t xml:space="preserve"> of at least</w:t>
      </w:r>
      <w:r w:rsidRPr="00297A95">
        <w:rPr>
          <w:rFonts w:ascii="Arial" w:hAnsi="Arial" w:cs="Arial"/>
        </w:rPr>
        <w:t xml:space="preserve"> eight SJS/TEN patients receiving </w:t>
      </w:r>
      <w:proofErr w:type="spellStart"/>
      <w:r w:rsidRPr="00297A95">
        <w:rPr>
          <w:rFonts w:ascii="Arial" w:hAnsi="Arial" w:cs="Arial"/>
        </w:rPr>
        <w:t>IVIg</w:t>
      </w:r>
      <w:proofErr w:type="spellEnd"/>
      <w:r>
        <w:rPr>
          <w:rFonts w:ascii="Arial" w:hAnsi="Arial" w:cs="Arial"/>
        </w:rPr>
        <w:t>)</w:t>
      </w:r>
      <w:r w:rsidRPr="00F6670C">
        <w:rPr>
          <w:rFonts w:ascii="Arial" w:hAnsi="Arial" w:cs="Arial"/>
        </w:rPr>
        <w:t xml:space="preserve"> </w:t>
      </w:r>
      <w:r>
        <w:rPr>
          <w:rFonts w:ascii="Arial" w:hAnsi="Arial" w:cs="Arial"/>
        </w:rPr>
        <w:t>a</w:t>
      </w:r>
      <w:r w:rsidRPr="00297A95">
        <w:rPr>
          <w:rFonts w:ascii="Arial" w:hAnsi="Arial" w:cs="Arial"/>
        </w:rPr>
        <w:t xml:space="preserve"> pooled estimate of mortality risk was determined, comparing </w:t>
      </w:r>
      <w:proofErr w:type="spellStart"/>
      <w:r w:rsidRPr="00297A95">
        <w:rPr>
          <w:rFonts w:ascii="Arial" w:hAnsi="Arial" w:cs="Arial"/>
        </w:rPr>
        <w:t>IVIg</w:t>
      </w:r>
      <w:proofErr w:type="spellEnd"/>
      <w:r w:rsidRPr="00297A95">
        <w:rPr>
          <w:rFonts w:ascii="Arial" w:hAnsi="Arial" w:cs="Arial"/>
        </w:rPr>
        <w:t xml:space="preserve"> and supportive care in patients with TEN and SJS-TEN overlap.</w:t>
      </w:r>
      <w:r w:rsidRPr="00F0553C">
        <w:rPr>
          <w:rFonts w:ascii="Arial" w:hAnsi="Arial" w:cs="Arial"/>
          <w:noProof/>
          <w:vertAlign w:val="superscript"/>
        </w:rPr>
        <w:t>105</w:t>
      </w:r>
      <w:r>
        <w:rPr>
          <w:rFonts w:ascii="Arial" w:hAnsi="Arial" w:cs="Arial"/>
        </w:rPr>
        <w:t xml:space="preserve"> </w:t>
      </w:r>
      <w:r w:rsidRPr="00297A95">
        <w:rPr>
          <w:rFonts w:ascii="Arial" w:hAnsi="Arial" w:cs="Arial"/>
        </w:rPr>
        <w:t xml:space="preserve">Statistical analysis was also performed on the raw data to compare the clinical differences between high-dose and low-dose treatment in adult patients and between paediatric and adult patients treated with </w:t>
      </w:r>
      <w:proofErr w:type="spellStart"/>
      <w:r w:rsidRPr="00297A95">
        <w:rPr>
          <w:rFonts w:ascii="Arial" w:hAnsi="Arial" w:cs="Arial"/>
        </w:rPr>
        <w:t>IVIg</w:t>
      </w:r>
      <w:proofErr w:type="spellEnd"/>
      <w:r w:rsidRPr="00297A95">
        <w:rPr>
          <w:rFonts w:ascii="Arial" w:hAnsi="Arial" w:cs="Arial"/>
        </w:rPr>
        <w:t>.</w:t>
      </w:r>
      <w:hyperlink w:anchor="_ENREF_91" w:tooltip="Brown, 2004 #963" w:history="1"/>
      <w:hyperlink w:anchor="_ENREF_91" w:tooltip="Huang, 2012 #3077" w:history="1"/>
      <w:r w:rsidRPr="00297A95">
        <w:rPr>
          <w:rFonts w:ascii="Arial" w:hAnsi="Arial" w:cs="Arial"/>
        </w:rPr>
        <w:t xml:space="preserve"> Overall mortality rate of 221 patients with TEN and SJS-TEN overlap</w:t>
      </w:r>
      <w:r>
        <w:rPr>
          <w:rFonts w:ascii="Arial" w:hAnsi="Arial" w:cs="Arial"/>
        </w:rPr>
        <w:t xml:space="preserve"> (patients with SJS were not included) </w:t>
      </w:r>
      <w:r w:rsidRPr="00297A95">
        <w:rPr>
          <w:rFonts w:ascii="Arial" w:hAnsi="Arial" w:cs="Arial"/>
        </w:rPr>
        <w:t xml:space="preserve">treated with </w:t>
      </w:r>
      <w:proofErr w:type="spellStart"/>
      <w:r w:rsidRPr="00297A95">
        <w:rPr>
          <w:rFonts w:ascii="Arial" w:hAnsi="Arial" w:cs="Arial"/>
        </w:rPr>
        <w:t>IVIg</w:t>
      </w:r>
      <w:proofErr w:type="spellEnd"/>
      <w:r w:rsidRPr="00297A95">
        <w:rPr>
          <w:rFonts w:ascii="Arial" w:hAnsi="Arial" w:cs="Arial"/>
        </w:rPr>
        <w:t xml:space="preserve"> was 19.9%. The pooled odds ratio (OR) for mortality from six observational controlled studies comparing </w:t>
      </w:r>
      <w:proofErr w:type="spellStart"/>
      <w:r w:rsidRPr="00297A95">
        <w:rPr>
          <w:rFonts w:ascii="Arial" w:hAnsi="Arial" w:cs="Arial"/>
        </w:rPr>
        <w:t>IVIg</w:t>
      </w:r>
      <w:proofErr w:type="spellEnd"/>
      <w:r w:rsidRPr="00297A95">
        <w:rPr>
          <w:rFonts w:ascii="Arial" w:hAnsi="Arial" w:cs="Arial"/>
        </w:rPr>
        <w:t xml:space="preserve"> and supportive care was 1.00 [95% confidence interval (CI) 0.58-1.75; P=0.99].</w:t>
      </w:r>
      <w:r w:rsidRPr="00F0553C">
        <w:rPr>
          <w:rFonts w:ascii="Arial" w:hAnsi="Arial" w:cs="Arial"/>
          <w:noProof/>
          <w:vertAlign w:val="superscript"/>
        </w:rPr>
        <w:t>105</w:t>
      </w:r>
      <w:hyperlink w:anchor="_ENREF_91" w:tooltip="Brown, 2004 #963" w:history="1"/>
      <w:hyperlink w:anchor="_ENREF_91" w:tooltip="Huang, 2012 #3077" w:history="1"/>
      <w:r w:rsidRPr="00297A95">
        <w:rPr>
          <w:rFonts w:ascii="Arial" w:hAnsi="Arial" w:cs="Arial"/>
        </w:rPr>
        <w:t xml:space="preserve"> Paediatric patients treated with </w:t>
      </w:r>
      <w:proofErr w:type="spellStart"/>
      <w:r w:rsidRPr="00297A95">
        <w:rPr>
          <w:rFonts w:ascii="Arial" w:hAnsi="Arial" w:cs="Arial"/>
        </w:rPr>
        <w:t>IVIg</w:t>
      </w:r>
      <w:proofErr w:type="spellEnd"/>
      <w:r w:rsidRPr="00297A95">
        <w:rPr>
          <w:rFonts w:ascii="Arial" w:hAnsi="Arial" w:cs="Arial"/>
        </w:rPr>
        <w:t xml:space="preserve"> had significantly lower mortality than adults (0% versus 21.6%, respectively; P=0.001). Adults treated with high-dose </w:t>
      </w:r>
      <w:proofErr w:type="spellStart"/>
      <w:r w:rsidRPr="00297A95">
        <w:rPr>
          <w:rFonts w:ascii="Arial" w:hAnsi="Arial" w:cs="Arial"/>
        </w:rPr>
        <w:t>IVIg</w:t>
      </w:r>
      <w:proofErr w:type="spellEnd"/>
      <w:r w:rsidRPr="00297A95">
        <w:rPr>
          <w:rFonts w:ascii="Arial" w:hAnsi="Arial" w:cs="Arial"/>
        </w:rPr>
        <w:t xml:space="preserve"> exhibited significantly lower mortality than those treated with low-dose </w:t>
      </w:r>
      <w:proofErr w:type="spellStart"/>
      <w:r w:rsidRPr="00297A95">
        <w:rPr>
          <w:rFonts w:ascii="Arial" w:hAnsi="Arial" w:cs="Arial"/>
        </w:rPr>
        <w:t>IVIg</w:t>
      </w:r>
      <w:proofErr w:type="spellEnd"/>
      <w:r w:rsidRPr="00297A95">
        <w:rPr>
          <w:rFonts w:ascii="Arial" w:hAnsi="Arial" w:cs="Arial"/>
        </w:rPr>
        <w:t xml:space="preserve"> (18.9% versus 50%, respectively; P=0.022); </w:t>
      </w:r>
      <w:r w:rsidRPr="00297A95">
        <w:rPr>
          <w:rFonts w:ascii="Arial" w:hAnsi="Arial" w:cs="Arial"/>
        </w:rPr>
        <w:lastRenderedPageBreak/>
        <w:t xml:space="preserve">however, multivariate logistic regression model adjustment indicated that </w:t>
      </w:r>
      <w:proofErr w:type="spellStart"/>
      <w:r w:rsidRPr="00297A95">
        <w:rPr>
          <w:rFonts w:ascii="Arial" w:hAnsi="Arial" w:cs="Arial"/>
        </w:rPr>
        <w:t>IVIg</w:t>
      </w:r>
      <w:proofErr w:type="spellEnd"/>
      <w:r w:rsidRPr="00297A95">
        <w:rPr>
          <w:rFonts w:ascii="Arial" w:hAnsi="Arial" w:cs="Arial"/>
        </w:rPr>
        <w:t xml:space="preserve"> dose does not correlate with mortality (high</w:t>
      </w:r>
      <w:r>
        <w:rPr>
          <w:rFonts w:ascii="Arial" w:hAnsi="Arial" w:cs="Arial"/>
        </w:rPr>
        <w:t>-</w:t>
      </w:r>
      <w:r w:rsidRPr="00297A95">
        <w:rPr>
          <w:rFonts w:ascii="Arial" w:hAnsi="Arial" w:cs="Arial"/>
        </w:rPr>
        <w:t>dose versus low</w:t>
      </w:r>
      <w:r>
        <w:rPr>
          <w:rFonts w:ascii="Arial" w:hAnsi="Arial" w:cs="Arial"/>
        </w:rPr>
        <w:t>-</w:t>
      </w:r>
      <w:r w:rsidRPr="00297A95">
        <w:rPr>
          <w:rFonts w:ascii="Arial" w:hAnsi="Arial" w:cs="Arial"/>
        </w:rPr>
        <w:t>dose: OR 0.494; 95% CI 0.106-2.300; P=0.369).</w:t>
      </w:r>
      <w:r w:rsidRPr="00F0553C">
        <w:rPr>
          <w:rFonts w:ascii="Arial" w:hAnsi="Arial" w:cs="Arial"/>
          <w:noProof/>
          <w:vertAlign w:val="superscript"/>
        </w:rPr>
        <w:t>105</w:t>
      </w:r>
      <w:r w:rsidRPr="00297A95">
        <w:rPr>
          <w:rFonts w:ascii="Arial" w:hAnsi="Arial" w:cs="Arial"/>
        </w:rPr>
        <w:t xml:space="preserve"> </w:t>
      </w:r>
      <w:r>
        <w:rPr>
          <w:rFonts w:ascii="Arial" w:hAnsi="Arial" w:cs="Arial"/>
        </w:rPr>
        <w:t xml:space="preserve">These findings should however, be interpreted with caution given the major methodological limitations of the original cohorts. </w:t>
      </w:r>
      <w:r w:rsidRPr="00297A95">
        <w:rPr>
          <w:rFonts w:ascii="Arial" w:hAnsi="Arial" w:cs="Arial"/>
        </w:rPr>
        <w:t xml:space="preserve">Since </w:t>
      </w:r>
      <w:r>
        <w:rPr>
          <w:rFonts w:ascii="Arial" w:hAnsi="Arial" w:cs="Arial"/>
        </w:rPr>
        <w:t xml:space="preserve">the </w:t>
      </w:r>
      <w:r w:rsidRPr="00297A95">
        <w:rPr>
          <w:rFonts w:ascii="Arial" w:hAnsi="Arial" w:cs="Arial"/>
        </w:rPr>
        <w:t xml:space="preserve">publication of Huang </w:t>
      </w:r>
      <w:r w:rsidRPr="00297A95">
        <w:rPr>
          <w:rFonts w:ascii="Arial" w:hAnsi="Arial" w:cs="Arial"/>
          <w:i/>
        </w:rPr>
        <w:t>et al.</w:t>
      </w:r>
      <w:r w:rsidRPr="00297A95">
        <w:rPr>
          <w:rFonts w:ascii="Arial" w:hAnsi="Arial" w:cs="Arial"/>
        </w:rPr>
        <w:t xml:space="preserve">’s meta-analysis, a further study by </w:t>
      </w:r>
      <w:proofErr w:type="spellStart"/>
      <w:r w:rsidRPr="00297A95">
        <w:rPr>
          <w:rFonts w:ascii="Arial" w:hAnsi="Arial" w:cs="Arial"/>
        </w:rPr>
        <w:t>Firoz</w:t>
      </w:r>
      <w:proofErr w:type="spellEnd"/>
      <w:r w:rsidRPr="00297A95">
        <w:rPr>
          <w:rFonts w:ascii="Arial" w:hAnsi="Arial" w:cs="Arial"/>
        </w:rPr>
        <w:t xml:space="preserve"> </w:t>
      </w:r>
      <w:r w:rsidRPr="00297A95">
        <w:rPr>
          <w:rFonts w:ascii="Arial" w:hAnsi="Arial" w:cs="Arial"/>
          <w:i/>
        </w:rPr>
        <w:t>et al.</w:t>
      </w:r>
      <w:r w:rsidRPr="00297A95">
        <w:rPr>
          <w:rFonts w:ascii="Arial" w:hAnsi="Arial" w:cs="Arial"/>
        </w:rPr>
        <w:t xml:space="preserve">, which included 23 TEN patients treated with </w:t>
      </w:r>
      <w:proofErr w:type="spellStart"/>
      <w:r w:rsidRPr="00297A95">
        <w:rPr>
          <w:rFonts w:ascii="Arial" w:hAnsi="Arial" w:cs="Arial"/>
        </w:rPr>
        <w:t>IVIg</w:t>
      </w:r>
      <w:proofErr w:type="spellEnd"/>
      <w:r w:rsidRPr="00297A95">
        <w:rPr>
          <w:rFonts w:ascii="Arial" w:hAnsi="Arial" w:cs="Arial"/>
        </w:rPr>
        <w:t xml:space="preserve">, demonstrated no improved survival in subjects receiving </w:t>
      </w:r>
      <w:proofErr w:type="spellStart"/>
      <w:r w:rsidRPr="00297A95">
        <w:rPr>
          <w:rFonts w:ascii="Arial" w:hAnsi="Arial" w:cs="Arial"/>
        </w:rPr>
        <w:t>IVIg</w:t>
      </w:r>
      <w:proofErr w:type="spellEnd"/>
      <w:r w:rsidRPr="00297A95">
        <w:rPr>
          <w:rFonts w:ascii="Arial" w:hAnsi="Arial" w:cs="Arial"/>
        </w:rPr>
        <w:t xml:space="preserve"> versus supportive care alone.</w:t>
      </w:r>
      <w:r w:rsidRPr="00F0553C">
        <w:rPr>
          <w:rFonts w:ascii="Arial" w:hAnsi="Arial" w:cs="Arial"/>
          <w:noProof/>
          <w:vertAlign w:val="superscript"/>
        </w:rPr>
        <w:t>104</w:t>
      </w:r>
      <w:r>
        <w:rPr>
          <w:rFonts w:ascii="Arial" w:hAnsi="Arial" w:cs="Arial"/>
        </w:rPr>
        <w:t xml:space="preserve"> </w:t>
      </w:r>
      <w:r w:rsidRPr="00BF0F49">
        <w:rPr>
          <w:rFonts w:ascii="Arial" w:hAnsi="Arial" w:cs="Arial"/>
        </w:rPr>
        <w:t xml:space="preserve">In 2013 Lee </w:t>
      </w:r>
      <w:r>
        <w:rPr>
          <w:rFonts w:ascii="Arial" w:hAnsi="Arial" w:cs="Arial"/>
          <w:i/>
        </w:rPr>
        <w:t>et al.</w:t>
      </w:r>
      <w:r w:rsidRPr="00BF0F49">
        <w:rPr>
          <w:rFonts w:ascii="Arial" w:hAnsi="Arial" w:cs="Arial"/>
        </w:rPr>
        <w:t xml:space="preserve"> published a retrospective analysis of 64 patients with </w:t>
      </w:r>
      <w:r>
        <w:rPr>
          <w:rFonts w:ascii="Arial" w:hAnsi="Arial" w:cs="Arial"/>
        </w:rPr>
        <w:t>SJS-TEN</w:t>
      </w:r>
      <w:r w:rsidRPr="00BF0F49">
        <w:rPr>
          <w:rFonts w:ascii="Arial" w:hAnsi="Arial" w:cs="Arial"/>
        </w:rPr>
        <w:t xml:space="preserve"> overlap or TEN treated with </w:t>
      </w:r>
      <w:proofErr w:type="spellStart"/>
      <w:r w:rsidRPr="00BF0F49">
        <w:rPr>
          <w:rFonts w:ascii="Arial" w:hAnsi="Arial" w:cs="Arial"/>
        </w:rPr>
        <w:t>IVIg</w:t>
      </w:r>
      <w:proofErr w:type="spellEnd"/>
      <w:r w:rsidRPr="00BF0F49">
        <w:rPr>
          <w:rFonts w:ascii="Arial" w:hAnsi="Arial" w:cs="Arial"/>
        </w:rPr>
        <w:t xml:space="preserve"> at a single specialised referral centre in Singapore.</w:t>
      </w:r>
      <w:r w:rsidRPr="00BF0F49">
        <w:rPr>
          <w:rFonts w:ascii="Arial" w:hAnsi="Arial" w:cs="Arial"/>
          <w:noProof/>
          <w:vertAlign w:val="superscript"/>
        </w:rPr>
        <w:t>106</w:t>
      </w:r>
      <w:r w:rsidRPr="00BF0F49">
        <w:rPr>
          <w:rFonts w:ascii="Arial" w:hAnsi="Arial" w:cs="Arial"/>
        </w:rPr>
        <w:t xml:space="preserve"> The mortality in their patients, when compared to predicted outcome from SCORTEN, showed no benefit from IVIg.</w:t>
      </w:r>
      <w:r w:rsidRPr="00BF0F49">
        <w:rPr>
          <w:rFonts w:ascii="Arial" w:hAnsi="Arial" w:cs="Arial"/>
          <w:noProof/>
          <w:vertAlign w:val="superscript"/>
        </w:rPr>
        <w:t>106</w:t>
      </w:r>
      <w:r w:rsidRPr="00BF0F49">
        <w:rPr>
          <w:rFonts w:ascii="Arial" w:hAnsi="Arial" w:cs="Arial"/>
        </w:rPr>
        <w:t xml:space="preserve"> In addition, when stratified according to dosage, there was no mortality difference between patients who received high-dose (&gt;3</w:t>
      </w:r>
      <w:r>
        <w:rPr>
          <w:rFonts w:ascii="Arial" w:hAnsi="Arial" w:cs="Arial"/>
        </w:rPr>
        <w:t xml:space="preserve"> </w:t>
      </w:r>
      <w:r w:rsidRPr="00BF0F49">
        <w:rPr>
          <w:rFonts w:ascii="Arial" w:hAnsi="Arial" w:cs="Arial"/>
        </w:rPr>
        <w:t>g/kg) versus low-dose (&lt;3</w:t>
      </w:r>
      <w:r>
        <w:rPr>
          <w:rFonts w:ascii="Arial" w:hAnsi="Arial" w:cs="Arial"/>
        </w:rPr>
        <w:t xml:space="preserve"> </w:t>
      </w:r>
      <w:r w:rsidRPr="00BF0F49">
        <w:rPr>
          <w:rFonts w:ascii="Arial" w:hAnsi="Arial" w:cs="Arial"/>
        </w:rPr>
        <w:t>g/kg) IVIg.</w:t>
      </w:r>
      <w:r w:rsidRPr="00BF0F49">
        <w:rPr>
          <w:rFonts w:ascii="Arial" w:hAnsi="Arial" w:cs="Arial"/>
          <w:noProof/>
          <w:vertAlign w:val="superscript"/>
        </w:rPr>
        <w:t>106</w:t>
      </w:r>
    </w:p>
    <w:p w:rsidR="00BD084C"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rPr>
      </w:pPr>
      <w:r w:rsidRPr="00297A95">
        <w:rPr>
          <w:rFonts w:ascii="Arial" w:hAnsi="Arial" w:cs="Arial"/>
          <w:b/>
        </w:rPr>
        <w:t>13.2 Is treatment with systemic corticosteroid effective in SJS/TEN?</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Corticosteroids have been used in the management of SJS/TEN for many years. Proponents emphasize the importance of high-dose corticosteroid given early in the disease course to inhibit inflammation; opponents suggest that systemic corticosteroids increase the risk of sepsis. </w:t>
      </w:r>
      <w:r>
        <w:rPr>
          <w:rFonts w:ascii="Arial" w:hAnsi="Arial" w:cs="Arial"/>
        </w:rPr>
        <w:t>Ten</w:t>
      </w:r>
      <w:r w:rsidRPr="00297A95">
        <w:rPr>
          <w:rFonts w:ascii="Arial" w:hAnsi="Arial" w:cs="Arial"/>
        </w:rPr>
        <w:t xml:space="preserve"> published studies of corticosteroid treatment in SJS/TEN meet the inclusion criteria for assessment: all are case series, none are randomized controlled trials and most are retrospective.</w:t>
      </w:r>
      <w:r w:rsidRPr="00BF0F49">
        <w:rPr>
          <w:rFonts w:ascii="Arial" w:hAnsi="Arial" w:cs="Arial"/>
          <w:noProof/>
          <w:vertAlign w:val="superscript"/>
        </w:rPr>
        <w:t>28-30,34,107-111</w:t>
      </w:r>
      <w:r w:rsidRPr="00297A95">
        <w:rPr>
          <w:rFonts w:ascii="Arial" w:hAnsi="Arial" w:cs="Arial"/>
        </w:rPr>
        <w:t xml:space="preserve"> </w:t>
      </w:r>
      <w:r w:rsidRPr="009F5762">
        <w:rPr>
          <w:rFonts w:ascii="Arial" w:hAnsi="Arial" w:cs="Arial"/>
        </w:rPr>
        <w:t xml:space="preserve">Retrospective analysis of the </w:t>
      </w:r>
      <w:proofErr w:type="spellStart"/>
      <w:r w:rsidRPr="009F5762">
        <w:rPr>
          <w:rFonts w:ascii="Arial" w:hAnsi="Arial" w:cs="Arial"/>
        </w:rPr>
        <w:t>EuroSCAR</w:t>
      </w:r>
      <w:proofErr w:type="spellEnd"/>
      <w:r w:rsidRPr="009F5762">
        <w:rPr>
          <w:rFonts w:ascii="Arial" w:hAnsi="Arial" w:cs="Arial"/>
        </w:rPr>
        <w:t xml:space="preserve"> data indicated a lower mortality in German patients (but not French patients) treated with corticosteroids compared to controls receiving supportive care alone.</w:t>
      </w:r>
      <w:r w:rsidRPr="00FF70EF">
        <w:rPr>
          <w:rFonts w:ascii="Arial" w:hAnsi="Arial" w:cs="Arial"/>
          <w:noProof/>
          <w:vertAlign w:val="superscript"/>
        </w:rPr>
        <w:t>28</w:t>
      </w:r>
      <w:r w:rsidRPr="009F5762">
        <w:rPr>
          <w:rFonts w:ascii="Arial" w:hAnsi="Arial" w:cs="Arial"/>
        </w:rPr>
        <w:t xml:space="preserve"> Two studies have investigated the effects of pulsed intravenous high dose corticosteroids.</w:t>
      </w:r>
      <w:r w:rsidRPr="00BF0F49">
        <w:rPr>
          <w:rFonts w:ascii="Arial" w:hAnsi="Arial" w:cs="Arial"/>
          <w:noProof/>
          <w:vertAlign w:val="superscript"/>
        </w:rPr>
        <w:t>107,112</w:t>
      </w:r>
      <w:r w:rsidRPr="009F5762">
        <w:rPr>
          <w:rFonts w:ascii="Arial" w:hAnsi="Arial" w:cs="Arial"/>
        </w:rPr>
        <w:t xml:space="preserve"> In the study by </w:t>
      </w:r>
      <w:proofErr w:type="spellStart"/>
      <w:r w:rsidRPr="009F5762">
        <w:rPr>
          <w:rFonts w:ascii="Arial" w:hAnsi="Arial" w:cs="Arial"/>
        </w:rPr>
        <w:t>Kardaun</w:t>
      </w:r>
      <w:proofErr w:type="spellEnd"/>
      <w:r>
        <w:rPr>
          <w:rFonts w:ascii="Arial" w:hAnsi="Arial" w:cs="Arial"/>
        </w:rPr>
        <w:t xml:space="preserve"> </w:t>
      </w:r>
      <w:r w:rsidRPr="00FB3410">
        <w:rPr>
          <w:rFonts w:ascii="Arial" w:hAnsi="Arial" w:cs="Arial"/>
          <w:i/>
        </w:rPr>
        <w:t>et al.</w:t>
      </w:r>
      <w:r w:rsidRPr="009F5762">
        <w:rPr>
          <w:rFonts w:ascii="Arial" w:hAnsi="Arial" w:cs="Arial"/>
        </w:rPr>
        <w:t>, 12 patients received 100mg or 1.5 mg/kg of IV dexamethasone for 3 days and were reported to have a decreased mortality compared with SCORTEN.</w:t>
      </w:r>
      <w:r w:rsidRPr="00BF0F49">
        <w:rPr>
          <w:rFonts w:ascii="Arial" w:hAnsi="Arial" w:cs="Arial"/>
          <w:noProof/>
          <w:vertAlign w:val="superscript"/>
        </w:rPr>
        <w:t>112</w:t>
      </w:r>
      <w:r w:rsidRPr="009F5762">
        <w:rPr>
          <w:rFonts w:ascii="Arial" w:hAnsi="Arial" w:cs="Arial"/>
        </w:rPr>
        <w:t xml:space="preserve"> </w:t>
      </w:r>
      <w:proofErr w:type="spellStart"/>
      <w:r w:rsidRPr="009F5762">
        <w:rPr>
          <w:rFonts w:ascii="Arial" w:hAnsi="Arial" w:cs="Arial"/>
        </w:rPr>
        <w:t>Hirahara</w:t>
      </w:r>
      <w:proofErr w:type="spellEnd"/>
      <w:r w:rsidRPr="009F5762">
        <w:rPr>
          <w:rFonts w:ascii="Arial" w:hAnsi="Arial" w:cs="Arial"/>
        </w:rPr>
        <w:t xml:space="preserve"> </w:t>
      </w:r>
      <w:r w:rsidRPr="00FB3410">
        <w:rPr>
          <w:rFonts w:ascii="Arial" w:hAnsi="Arial" w:cs="Arial"/>
          <w:i/>
        </w:rPr>
        <w:t>et al</w:t>
      </w:r>
      <w:r>
        <w:rPr>
          <w:rFonts w:ascii="Arial" w:hAnsi="Arial" w:cs="Arial"/>
          <w:i/>
        </w:rPr>
        <w:t>.</w:t>
      </w:r>
      <w:r w:rsidRPr="009F5762">
        <w:rPr>
          <w:rFonts w:ascii="Arial" w:hAnsi="Arial" w:cs="Arial"/>
        </w:rPr>
        <w:t xml:space="preserve"> presented a series of </w:t>
      </w:r>
      <w:r>
        <w:rPr>
          <w:rFonts w:ascii="Arial" w:hAnsi="Arial" w:cs="Arial"/>
        </w:rPr>
        <w:t>eight</w:t>
      </w:r>
      <w:r w:rsidRPr="009F5762">
        <w:rPr>
          <w:rFonts w:ascii="Arial" w:hAnsi="Arial" w:cs="Arial"/>
        </w:rPr>
        <w:t xml:space="preserve"> SJS/TEN patients who received 1000</w:t>
      </w:r>
      <w:r>
        <w:rPr>
          <w:rFonts w:ascii="Arial" w:hAnsi="Arial" w:cs="Arial"/>
        </w:rPr>
        <w:t xml:space="preserve"> </w:t>
      </w:r>
      <w:r w:rsidRPr="009F5762">
        <w:rPr>
          <w:rFonts w:ascii="Arial" w:hAnsi="Arial" w:cs="Arial"/>
        </w:rPr>
        <w:t>mg of IV methylprednisolone on 3 consecutive days, followed by either a tapering course of oral prednisolone, or a further 2 days of half-dose IV methylprednisolone.</w:t>
      </w:r>
      <w:r w:rsidRPr="00BF0F49">
        <w:rPr>
          <w:rFonts w:ascii="Arial" w:hAnsi="Arial" w:cs="Arial"/>
          <w:noProof/>
          <w:vertAlign w:val="superscript"/>
        </w:rPr>
        <w:t>112</w:t>
      </w:r>
      <w:r w:rsidRPr="009F5762">
        <w:rPr>
          <w:rFonts w:ascii="Arial" w:hAnsi="Arial" w:cs="Arial"/>
        </w:rPr>
        <w:t xml:space="preserve"> No patients died despite a SCORTEN-predicted mortality of 1.6.</w:t>
      </w:r>
      <w:r w:rsidRPr="00BF0F49">
        <w:rPr>
          <w:rFonts w:ascii="Arial" w:hAnsi="Arial" w:cs="Arial"/>
          <w:noProof/>
          <w:vertAlign w:val="superscript"/>
        </w:rPr>
        <w:t>112</w:t>
      </w:r>
      <w:r w:rsidRPr="009F5762">
        <w:rPr>
          <w:rFonts w:ascii="Arial" w:hAnsi="Arial" w:cs="Arial"/>
        </w:rPr>
        <w:t xml:space="preserve"> </w:t>
      </w:r>
      <w:r w:rsidRPr="00297A95">
        <w:rPr>
          <w:rFonts w:ascii="Arial" w:hAnsi="Arial" w:cs="Arial"/>
        </w:rPr>
        <w:t xml:space="preserve">Data from the corticosteroid studies are summarized in Table </w:t>
      </w:r>
      <w:r>
        <w:rPr>
          <w:rFonts w:ascii="Arial" w:hAnsi="Arial" w:cs="Arial"/>
        </w:rPr>
        <w:t>8</w:t>
      </w:r>
      <w:r w:rsidRPr="00297A95">
        <w:rPr>
          <w:rFonts w:ascii="Arial" w:hAnsi="Arial" w:cs="Arial"/>
        </w:rPr>
        <w:t xml:space="preserve">. Sources of potential bias are indicated in the table.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rPr>
      </w:pPr>
      <w:r w:rsidRPr="00297A95">
        <w:rPr>
          <w:rFonts w:ascii="Arial" w:hAnsi="Arial" w:cs="Arial"/>
          <w:b/>
        </w:rPr>
        <w:t>13.3 Is treatment with ciclosporin effective in SJS/TEN?</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Effective inhibition of lymphocyte function identifies ciclosporin as a drug with theoretical efficacy in SJS/TEN. </w:t>
      </w:r>
      <w:r>
        <w:rPr>
          <w:rFonts w:ascii="Arial" w:hAnsi="Arial" w:cs="Arial"/>
        </w:rPr>
        <w:t>Four cohort studies</w:t>
      </w:r>
      <w:r w:rsidRPr="00297A95">
        <w:rPr>
          <w:rFonts w:ascii="Arial" w:hAnsi="Arial" w:cs="Arial"/>
        </w:rPr>
        <w:t xml:space="preserve"> of ciclosporin treatment in SJS/TEN meet the inclusion criteria for assessment</w:t>
      </w:r>
      <w:r>
        <w:rPr>
          <w:rFonts w:ascii="Arial" w:hAnsi="Arial" w:cs="Arial"/>
        </w:rPr>
        <w:t xml:space="preserve"> (summarized in Table 9)</w:t>
      </w:r>
      <w:r w:rsidRPr="00297A95">
        <w:rPr>
          <w:rFonts w:ascii="Arial" w:hAnsi="Arial" w:cs="Arial"/>
        </w:rPr>
        <w:t>.</w:t>
      </w:r>
      <w:r w:rsidRPr="00BF0F49">
        <w:rPr>
          <w:rFonts w:ascii="Arial" w:hAnsi="Arial" w:cs="Arial"/>
          <w:noProof/>
          <w:vertAlign w:val="superscript"/>
        </w:rPr>
        <w:t>113-116</w:t>
      </w:r>
      <w:r w:rsidRPr="00297A95">
        <w:rPr>
          <w:rFonts w:ascii="Arial" w:hAnsi="Arial" w:cs="Arial"/>
        </w:rPr>
        <w:t xml:space="preserve"> </w:t>
      </w:r>
      <w:r>
        <w:rPr>
          <w:rFonts w:ascii="Arial" w:hAnsi="Arial" w:cs="Arial"/>
        </w:rPr>
        <w:t xml:space="preserve"> </w:t>
      </w:r>
      <w:r w:rsidRPr="006D45E6">
        <w:rPr>
          <w:rFonts w:ascii="Arial" w:hAnsi="Arial" w:cs="Arial"/>
        </w:rPr>
        <w:t xml:space="preserve">A study by </w:t>
      </w:r>
      <w:proofErr w:type="spellStart"/>
      <w:r w:rsidRPr="006D45E6">
        <w:rPr>
          <w:rFonts w:ascii="Arial" w:hAnsi="Arial" w:cs="Arial"/>
        </w:rPr>
        <w:t>Valeyrie-Allanore</w:t>
      </w:r>
      <w:proofErr w:type="spellEnd"/>
      <w:r w:rsidRPr="006D45E6">
        <w:rPr>
          <w:rFonts w:ascii="Arial" w:hAnsi="Arial" w:cs="Arial"/>
        </w:rPr>
        <w:t xml:space="preserve"> </w:t>
      </w:r>
      <w:r w:rsidRPr="004C7289">
        <w:rPr>
          <w:rFonts w:ascii="Arial" w:hAnsi="Arial" w:cs="Arial"/>
          <w:i/>
        </w:rPr>
        <w:t>et al</w:t>
      </w:r>
      <w:r>
        <w:rPr>
          <w:rFonts w:ascii="Arial" w:hAnsi="Arial" w:cs="Arial"/>
          <w:i/>
        </w:rPr>
        <w:t>.</w:t>
      </w:r>
      <w:r w:rsidRPr="006D45E6">
        <w:rPr>
          <w:rFonts w:ascii="Arial" w:hAnsi="Arial" w:cs="Arial"/>
        </w:rPr>
        <w:t xml:space="preserve"> from the dermatology ITU in Creteil, Paris demonstrated that in 29 SJS/TEN patients ciclosporin given at a dose of 3</w:t>
      </w:r>
      <w:r>
        <w:rPr>
          <w:rFonts w:ascii="Arial" w:hAnsi="Arial" w:cs="Arial"/>
        </w:rPr>
        <w:t xml:space="preserve"> </w:t>
      </w:r>
      <w:r w:rsidRPr="006D45E6">
        <w:rPr>
          <w:rFonts w:ascii="Arial" w:hAnsi="Arial" w:cs="Arial"/>
        </w:rPr>
        <w:t>mg/kg/day for 10 days, and thereafter tapered, was effective. There were no deaths, despite a SCORTEN predicted mortality of 2.75</w:t>
      </w:r>
      <w:r>
        <w:rPr>
          <w:rFonts w:ascii="Arial" w:hAnsi="Arial" w:cs="Arial"/>
        </w:rPr>
        <w:t>/29</w:t>
      </w:r>
      <w:r w:rsidRPr="006D45E6">
        <w:rPr>
          <w:rFonts w:ascii="Arial" w:hAnsi="Arial" w:cs="Arial"/>
        </w:rPr>
        <w:t>.</w:t>
      </w:r>
      <w:r w:rsidRPr="00BF0F49">
        <w:rPr>
          <w:rFonts w:ascii="Arial" w:hAnsi="Arial" w:cs="Arial"/>
          <w:noProof/>
          <w:vertAlign w:val="superscript"/>
        </w:rPr>
        <w:t>114</w:t>
      </w:r>
      <w:r w:rsidRPr="006D45E6">
        <w:rPr>
          <w:rFonts w:ascii="Arial" w:hAnsi="Arial" w:cs="Arial"/>
        </w:rPr>
        <w:t xml:space="preserve"> Singh </w:t>
      </w:r>
      <w:r w:rsidRPr="004C7289">
        <w:rPr>
          <w:rFonts w:ascii="Arial" w:hAnsi="Arial" w:cs="Arial"/>
          <w:i/>
        </w:rPr>
        <w:t>et al.</w:t>
      </w:r>
      <w:r w:rsidRPr="006D45E6">
        <w:rPr>
          <w:rFonts w:ascii="Arial" w:hAnsi="Arial" w:cs="Arial"/>
        </w:rPr>
        <w:t xml:space="preserve"> reported 11 SJS/TEN patients treated with cicl</w:t>
      </w:r>
      <w:r>
        <w:rPr>
          <w:rFonts w:ascii="Arial" w:hAnsi="Arial" w:cs="Arial"/>
        </w:rPr>
        <w:t>o</w:t>
      </w:r>
      <w:r w:rsidRPr="006D45E6">
        <w:rPr>
          <w:rFonts w:ascii="Arial" w:hAnsi="Arial" w:cs="Arial"/>
        </w:rPr>
        <w:t>sporin 3</w:t>
      </w:r>
      <w:r>
        <w:rPr>
          <w:rFonts w:ascii="Arial" w:hAnsi="Arial" w:cs="Arial"/>
        </w:rPr>
        <w:t xml:space="preserve"> </w:t>
      </w:r>
      <w:r w:rsidRPr="006D45E6">
        <w:rPr>
          <w:rFonts w:ascii="Arial" w:hAnsi="Arial" w:cs="Arial"/>
        </w:rPr>
        <w:t xml:space="preserve">mg/kg/day for 7 days, and then tapered over a further 7 days. This group was compared to </w:t>
      </w:r>
      <w:r>
        <w:rPr>
          <w:rFonts w:ascii="Arial" w:hAnsi="Arial" w:cs="Arial"/>
        </w:rPr>
        <w:t>six</w:t>
      </w:r>
      <w:r w:rsidRPr="006D45E6">
        <w:rPr>
          <w:rFonts w:ascii="Arial" w:hAnsi="Arial" w:cs="Arial"/>
        </w:rPr>
        <w:t xml:space="preserve"> historical SJS/TEN controls treated with systemic corticosteroids.</w:t>
      </w:r>
      <w:r w:rsidRPr="00BF0F49">
        <w:rPr>
          <w:rFonts w:ascii="Arial" w:hAnsi="Arial" w:cs="Arial"/>
          <w:noProof/>
          <w:vertAlign w:val="superscript"/>
        </w:rPr>
        <w:t>115</w:t>
      </w:r>
      <w:r w:rsidRPr="006D45E6">
        <w:rPr>
          <w:rFonts w:ascii="Arial" w:hAnsi="Arial" w:cs="Arial"/>
        </w:rPr>
        <w:t xml:space="preserve"> There was a significantly enhanced speed of epithelialisation and reduced length of hospital stay in the cicl</w:t>
      </w:r>
      <w:r>
        <w:rPr>
          <w:rFonts w:ascii="Arial" w:hAnsi="Arial" w:cs="Arial"/>
        </w:rPr>
        <w:t>o</w:t>
      </w:r>
      <w:r w:rsidRPr="006D45E6">
        <w:rPr>
          <w:rFonts w:ascii="Arial" w:hAnsi="Arial" w:cs="Arial"/>
        </w:rPr>
        <w:t>sporin group.</w:t>
      </w:r>
      <w:r w:rsidRPr="00BF0F49">
        <w:rPr>
          <w:rFonts w:ascii="Arial" w:hAnsi="Arial" w:cs="Arial"/>
          <w:noProof/>
          <w:vertAlign w:val="superscript"/>
        </w:rPr>
        <w:t>115</w:t>
      </w:r>
      <w:r w:rsidRPr="006D45E6">
        <w:rPr>
          <w:rFonts w:ascii="Arial" w:hAnsi="Arial" w:cs="Arial"/>
        </w:rPr>
        <w:t xml:space="preserve"> Comparison of SCORTEN-predicted mortality demonstrated a benefit of </w:t>
      </w:r>
      <w:proofErr w:type="spellStart"/>
      <w:r w:rsidRPr="006D45E6">
        <w:rPr>
          <w:rFonts w:ascii="Arial" w:hAnsi="Arial" w:cs="Arial"/>
        </w:rPr>
        <w:t>ciclosporin</w:t>
      </w:r>
      <w:proofErr w:type="spellEnd"/>
      <w:r w:rsidRPr="006D45E6">
        <w:rPr>
          <w:rFonts w:ascii="Arial" w:hAnsi="Arial" w:cs="Arial"/>
        </w:rPr>
        <w:t xml:space="preserve"> over corticosteroids.</w:t>
      </w:r>
      <w:r w:rsidRPr="00BF0F49">
        <w:rPr>
          <w:rFonts w:ascii="Arial" w:hAnsi="Arial" w:cs="Arial"/>
          <w:noProof/>
          <w:vertAlign w:val="superscript"/>
        </w:rPr>
        <w:t>115</w:t>
      </w:r>
      <w:r w:rsidRPr="006D45E6">
        <w:rPr>
          <w:rFonts w:ascii="Arial" w:hAnsi="Arial" w:cs="Arial"/>
        </w:rPr>
        <w:t xml:space="preserve"> </w:t>
      </w:r>
      <w:proofErr w:type="spellStart"/>
      <w:r w:rsidRPr="006D45E6">
        <w:rPr>
          <w:rFonts w:ascii="Arial" w:hAnsi="Arial" w:cs="Arial"/>
        </w:rPr>
        <w:t>Kirchhof</w:t>
      </w:r>
      <w:proofErr w:type="spellEnd"/>
      <w:r w:rsidRPr="006D45E6">
        <w:rPr>
          <w:rFonts w:ascii="Arial" w:hAnsi="Arial" w:cs="Arial"/>
        </w:rPr>
        <w:t xml:space="preserve"> </w:t>
      </w:r>
      <w:r w:rsidRPr="004C7289">
        <w:rPr>
          <w:rFonts w:ascii="Arial" w:hAnsi="Arial" w:cs="Arial"/>
          <w:i/>
        </w:rPr>
        <w:t>et al.</w:t>
      </w:r>
      <w:r w:rsidRPr="006D45E6">
        <w:rPr>
          <w:rFonts w:ascii="Arial" w:hAnsi="Arial" w:cs="Arial"/>
        </w:rPr>
        <w:t xml:space="preserve"> published a retrospective review from a single centre of 64 SJS/TEN patients receiving either </w:t>
      </w:r>
      <w:proofErr w:type="spellStart"/>
      <w:r w:rsidRPr="006D45E6">
        <w:rPr>
          <w:rFonts w:ascii="Arial" w:hAnsi="Arial" w:cs="Arial"/>
        </w:rPr>
        <w:t>ciclosporin</w:t>
      </w:r>
      <w:proofErr w:type="spellEnd"/>
      <w:r w:rsidRPr="006D45E6">
        <w:rPr>
          <w:rFonts w:ascii="Arial" w:hAnsi="Arial" w:cs="Arial"/>
        </w:rPr>
        <w:t xml:space="preserve"> or </w:t>
      </w:r>
      <w:proofErr w:type="spellStart"/>
      <w:r w:rsidRPr="006D45E6">
        <w:rPr>
          <w:rFonts w:ascii="Arial" w:hAnsi="Arial" w:cs="Arial"/>
        </w:rPr>
        <w:t>IVIg</w:t>
      </w:r>
      <w:proofErr w:type="spellEnd"/>
      <w:r w:rsidRPr="006D45E6">
        <w:rPr>
          <w:rFonts w:ascii="Arial" w:hAnsi="Arial" w:cs="Arial"/>
        </w:rPr>
        <w:t xml:space="preserve"> (doses of each varied).</w:t>
      </w:r>
      <w:r w:rsidRPr="00BF0F49">
        <w:rPr>
          <w:rFonts w:ascii="Arial" w:hAnsi="Arial" w:cs="Arial"/>
          <w:noProof/>
          <w:vertAlign w:val="superscript"/>
        </w:rPr>
        <w:t>116</w:t>
      </w:r>
      <w:r w:rsidRPr="006D45E6">
        <w:rPr>
          <w:rFonts w:ascii="Arial" w:hAnsi="Arial" w:cs="Arial"/>
        </w:rPr>
        <w:t xml:space="preserve"> Analysis of </w:t>
      </w:r>
      <w:r w:rsidRPr="006D45E6">
        <w:rPr>
          <w:rFonts w:ascii="Arial" w:hAnsi="Arial" w:cs="Arial"/>
        </w:rPr>
        <w:lastRenderedPageBreak/>
        <w:t xml:space="preserve">predicted SCORTEN mortality compared with actual mortality indicated a relative mortality benefit for the use of ciclosporin (standardised mortality ratio [SMR] 0.43) versus </w:t>
      </w:r>
      <w:proofErr w:type="spellStart"/>
      <w:r w:rsidRPr="006D45E6">
        <w:rPr>
          <w:rFonts w:ascii="Arial" w:hAnsi="Arial" w:cs="Arial"/>
        </w:rPr>
        <w:t>IVIg</w:t>
      </w:r>
      <w:proofErr w:type="spellEnd"/>
      <w:r w:rsidRPr="006D45E6">
        <w:rPr>
          <w:rFonts w:ascii="Arial" w:hAnsi="Arial" w:cs="Arial"/>
        </w:rPr>
        <w:t xml:space="preserve"> (SMR </w:t>
      </w:r>
      <w:r>
        <w:rPr>
          <w:rFonts w:ascii="Arial" w:hAnsi="Arial" w:cs="Arial"/>
        </w:rPr>
        <w:t>1</w:t>
      </w:r>
      <w:r w:rsidRPr="006D45E6">
        <w:rPr>
          <w:rFonts w:ascii="Arial" w:hAnsi="Arial" w:cs="Arial"/>
        </w:rPr>
        <w:t>.43).</w:t>
      </w:r>
      <w:r w:rsidRPr="00BF0F49">
        <w:rPr>
          <w:rFonts w:ascii="Arial" w:hAnsi="Arial" w:cs="Arial"/>
          <w:noProof/>
          <w:vertAlign w:val="superscript"/>
        </w:rPr>
        <w:t>116</w:t>
      </w:r>
      <w:r w:rsidRPr="006D45E6">
        <w:rPr>
          <w:rFonts w:ascii="Arial" w:hAnsi="Arial" w:cs="Arial"/>
        </w:rPr>
        <w:t xml:space="preserve"> Data from the ciclosporin studies are summarised in Table </w:t>
      </w:r>
      <w:r>
        <w:rPr>
          <w:rFonts w:ascii="Arial" w:hAnsi="Arial" w:cs="Arial"/>
        </w:rPr>
        <w:t>9</w:t>
      </w:r>
      <w:r w:rsidRPr="006D45E6">
        <w:rPr>
          <w:rFonts w:ascii="Arial" w:hAnsi="Arial" w:cs="Arial"/>
        </w:rPr>
        <w:t>. Sources of potential bias are indicated in the table</w:t>
      </w:r>
      <w:r>
        <w:rPr>
          <w:rFonts w:ascii="Arial" w:hAnsi="Arial" w:cs="Arial"/>
        </w:rPr>
        <w:t xml:space="preserve">. </w:t>
      </w:r>
    </w:p>
    <w:p w:rsidR="00BD084C" w:rsidRDefault="00BD084C" w:rsidP="0085034D">
      <w:pPr>
        <w:pStyle w:val="NoSpacing"/>
        <w:spacing w:line="276" w:lineRule="auto"/>
        <w:jc w:val="both"/>
        <w:rPr>
          <w:rFonts w:ascii="Arial" w:hAnsi="Arial" w:cs="Arial"/>
          <w:b/>
        </w:rPr>
      </w:pPr>
    </w:p>
    <w:p w:rsidR="00BD084C" w:rsidRDefault="00BD084C" w:rsidP="0085034D">
      <w:pPr>
        <w:pStyle w:val="NoSpacing"/>
        <w:jc w:val="both"/>
        <w:rPr>
          <w:rFonts w:ascii="Arial" w:hAnsi="Arial" w:cs="Arial"/>
          <w:b/>
          <w:color w:val="000000"/>
        </w:rPr>
      </w:pPr>
      <w:r>
        <w:rPr>
          <w:rFonts w:ascii="Arial" w:hAnsi="Arial" w:cs="Arial"/>
          <w:b/>
          <w:color w:val="000000"/>
        </w:rPr>
        <w:t>13.4 O</w:t>
      </w:r>
      <w:r w:rsidRPr="005346F3">
        <w:rPr>
          <w:rFonts w:ascii="Arial" w:hAnsi="Arial" w:cs="Arial"/>
          <w:b/>
          <w:color w:val="000000"/>
        </w:rPr>
        <w:t>ther treatments used in the management of SJS/TEN</w:t>
      </w:r>
    </w:p>
    <w:p w:rsidR="00BD084C" w:rsidRPr="005346F3" w:rsidRDefault="00BD084C" w:rsidP="0085034D">
      <w:pPr>
        <w:pStyle w:val="NoSpacing"/>
        <w:jc w:val="both"/>
        <w:rPr>
          <w:rFonts w:ascii="Arial" w:hAnsi="Arial" w:cs="Arial"/>
          <w:b/>
          <w:color w:val="000000"/>
        </w:rPr>
      </w:pPr>
    </w:p>
    <w:p w:rsidR="00BD084C" w:rsidRPr="005346F3" w:rsidRDefault="00BD084C" w:rsidP="0085034D">
      <w:pPr>
        <w:pStyle w:val="NoSpacing"/>
        <w:spacing w:line="276" w:lineRule="auto"/>
        <w:jc w:val="both"/>
        <w:rPr>
          <w:rFonts w:ascii="Arial" w:hAnsi="Arial" w:cs="Arial"/>
          <w:color w:val="000000"/>
        </w:rPr>
      </w:pPr>
      <w:r w:rsidRPr="005346F3">
        <w:rPr>
          <w:rFonts w:ascii="Arial" w:hAnsi="Arial" w:cs="Arial"/>
          <w:color w:val="000000"/>
        </w:rPr>
        <w:t>Other therapies have been tried in SJS/TEN, but studies contain small numbers of patients and are, generally, uncontrolled. Plasmapheresis has been used in SJS/TEN which is refractory to treatment; reports suggest that this therapeutic modality may provide a rapid benefit.</w:t>
      </w:r>
      <w:r w:rsidRPr="00BF0F49">
        <w:rPr>
          <w:rFonts w:ascii="Arial" w:hAnsi="Arial" w:cs="Arial"/>
          <w:noProof/>
          <w:color w:val="000000"/>
          <w:vertAlign w:val="superscript"/>
        </w:rPr>
        <w:t>117,118</w:t>
      </w:r>
      <w:r w:rsidRPr="005346F3">
        <w:rPr>
          <w:rFonts w:ascii="Arial" w:hAnsi="Arial" w:cs="Arial"/>
          <w:color w:val="000000"/>
        </w:rPr>
        <w:t xml:space="preserve"> </w:t>
      </w:r>
      <w:r w:rsidRPr="00E26768">
        <w:rPr>
          <w:rFonts w:ascii="Arial" w:hAnsi="Arial" w:cs="Arial"/>
        </w:rPr>
        <w:t xml:space="preserve">The </w:t>
      </w:r>
      <w:proofErr w:type="spellStart"/>
      <w:r w:rsidRPr="00E26768">
        <w:rPr>
          <w:rFonts w:ascii="Arial" w:hAnsi="Arial" w:cs="Arial"/>
        </w:rPr>
        <w:t>bioregeneratory</w:t>
      </w:r>
      <w:proofErr w:type="spellEnd"/>
      <w:r w:rsidRPr="00E26768">
        <w:rPr>
          <w:rFonts w:ascii="Arial" w:hAnsi="Arial" w:cs="Arial"/>
        </w:rPr>
        <w:t xml:space="preserve"> and immunomodulatory properties of G-CSF, have led some to claim efficacy (that transcends the management of </w:t>
      </w:r>
      <w:proofErr w:type="spellStart"/>
      <w:r w:rsidRPr="00E26768">
        <w:rPr>
          <w:rFonts w:ascii="Arial" w:hAnsi="Arial" w:cs="Arial"/>
        </w:rPr>
        <w:t>leucopaenia</w:t>
      </w:r>
      <w:proofErr w:type="spellEnd"/>
      <w:r w:rsidRPr="00E26768">
        <w:rPr>
          <w:rFonts w:ascii="Arial" w:hAnsi="Arial" w:cs="Arial"/>
        </w:rPr>
        <w:t>) in the active treatment of TEN by arresting the hypersensitivity and stimulating re-epithelialisation.</w:t>
      </w:r>
      <w:r w:rsidRPr="00FF70EF">
        <w:rPr>
          <w:rFonts w:ascii="Arial" w:hAnsi="Arial" w:cs="Arial"/>
          <w:noProof/>
          <w:vertAlign w:val="superscript"/>
        </w:rPr>
        <w:t>58</w:t>
      </w:r>
      <w:r>
        <w:rPr>
          <w:rFonts w:ascii="Arial" w:hAnsi="Arial" w:cs="Arial"/>
        </w:rPr>
        <w:t xml:space="preserve"> </w:t>
      </w:r>
      <w:r w:rsidRPr="00063E3C">
        <w:rPr>
          <w:rFonts w:ascii="Arial" w:hAnsi="Arial" w:cs="Arial"/>
        </w:rPr>
        <w:t>M</w:t>
      </w:r>
      <w:r w:rsidRPr="005346F3">
        <w:rPr>
          <w:rFonts w:ascii="Arial" w:hAnsi="Arial" w:cs="Arial"/>
          <w:color w:val="000000"/>
        </w:rPr>
        <w:t xml:space="preserve">ore recently there has been interest in a therapeutic role for TNF-alpha inhibitors. </w:t>
      </w:r>
      <w:proofErr w:type="spellStart"/>
      <w:r w:rsidRPr="005346F3">
        <w:rPr>
          <w:rFonts w:ascii="Arial" w:hAnsi="Arial" w:cs="Arial"/>
          <w:color w:val="000000"/>
        </w:rPr>
        <w:t>Paradisi</w:t>
      </w:r>
      <w:proofErr w:type="spellEnd"/>
      <w:r w:rsidRPr="005346F3">
        <w:rPr>
          <w:rFonts w:ascii="Arial" w:hAnsi="Arial" w:cs="Arial"/>
          <w:color w:val="000000"/>
        </w:rPr>
        <w:t xml:space="preserve"> </w:t>
      </w:r>
      <w:r w:rsidRPr="00901B15">
        <w:rPr>
          <w:rFonts w:ascii="Arial" w:hAnsi="Arial" w:cs="Arial"/>
          <w:i/>
          <w:color w:val="000000"/>
        </w:rPr>
        <w:t>et al.</w:t>
      </w:r>
      <w:r w:rsidRPr="005346F3">
        <w:rPr>
          <w:rFonts w:ascii="Arial" w:hAnsi="Arial" w:cs="Arial"/>
          <w:color w:val="000000"/>
        </w:rPr>
        <w:t xml:space="preserve"> reported a series of </w:t>
      </w:r>
      <w:r>
        <w:rPr>
          <w:rFonts w:ascii="Arial" w:hAnsi="Arial" w:cs="Arial"/>
          <w:color w:val="000000"/>
        </w:rPr>
        <w:t>ten</w:t>
      </w:r>
      <w:r w:rsidRPr="005346F3">
        <w:rPr>
          <w:rFonts w:ascii="Arial" w:hAnsi="Arial" w:cs="Arial"/>
          <w:color w:val="000000"/>
        </w:rPr>
        <w:t xml:space="preserve"> SJS/TEN patients treated with a single 50</w:t>
      </w:r>
      <w:r>
        <w:rPr>
          <w:rFonts w:ascii="Arial" w:hAnsi="Arial" w:cs="Arial"/>
          <w:color w:val="000000"/>
        </w:rPr>
        <w:t xml:space="preserve"> </w:t>
      </w:r>
      <w:r w:rsidRPr="005346F3">
        <w:rPr>
          <w:rFonts w:ascii="Arial" w:hAnsi="Arial" w:cs="Arial"/>
          <w:color w:val="000000"/>
        </w:rPr>
        <w:t>mg subcutaneous dose of etanercept. There was no control group. All patients responded with a mean re-epithelialisation time of 8.5 days. None of the patients died, despite a mean SCORTEN-predicted mortality rate of ~50%.</w:t>
      </w:r>
      <w:r w:rsidRPr="00BF0F49">
        <w:rPr>
          <w:rFonts w:ascii="Arial" w:hAnsi="Arial" w:cs="Arial"/>
          <w:noProof/>
          <w:color w:val="000000"/>
          <w:vertAlign w:val="superscript"/>
        </w:rPr>
        <w:t>119</w:t>
      </w:r>
    </w:p>
    <w:p w:rsidR="00BD084C" w:rsidRDefault="00BD084C" w:rsidP="0085034D">
      <w:pPr>
        <w:pStyle w:val="NoSpacing"/>
        <w:spacing w:line="276" w:lineRule="auto"/>
        <w:jc w:val="both"/>
        <w:rPr>
          <w:rFonts w:ascii="Arial" w:hAnsi="Arial" w:cs="Arial"/>
          <w:b/>
          <w:color w:val="000000"/>
        </w:rPr>
      </w:pPr>
    </w:p>
    <w:p w:rsidR="00BD084C" w:rsidRDefault="00BD084C" w:rsidP="0085034D">
      <w:pPr>
        <w:pStyle w:val="NoSpacing"/>
        <w:spacing w:line="276" w:lineRule="auto"/>
        <w:jc w:val="both"/>
        <w:rPr>
          <w:rFonts w:ascii="Arial" w:hAnsi="Arial" w:cs="Arial"/>
          <w:b/>
          <w:color w:val="000000"/>
        </w:rPr>
      </w:pPr>
      <w:r>
        <w:rPr>
          <w:rFonts w:ascii="Arial" w:hAnsi="Arial" w:cs="Arial"/>
          <w:b/>
          <w:color w:val="000000"/>
        </w:rPr>
        <w:t>13.5 Evidence synthesis</w:t>
      </w:r>
    </w:p>
    <w:p w:rsidR="00BD084C" w:rsidRDefault="00BD084C" w:rsidP="0085034D">
      <w:pPr>
        <w:pStyle w:val="NoSpacing"/>
        <w:spacing w:line="276" w:lineRule="auto"/>
        <w:jc w:val="both"/>
        <w:rPr>
          <w:rFonts w:ascii="Arial" w:hAnsi="Arial" w:cs="Arial"/>
          <w:b/>
          <w:color w:val="000000"/>
        </w:rPr>
      </w:pPr>
    </w:p>
    <w:p w:rsidR="00BD084C" w:rsidRDefault="00BD084C" w:rsidP="0085034D">
      <w:pPr>
        <w:pStyle w:val="NoSpacing"/>
        <w:spacing w:line="276" w:lineRule="auto"/>
        <w:jc w:val="both"/>
        <w:rPr>
          <w:rFonts w:ascii="Arial" w:hAnsi="Arial" w:cs="Arial"/>
          <w:color w:val="000000"/>
        </w:rPr>
      </w:pPr>
      <w:r w:rsidRPr="00785BF6">
        <w:rPr>
          <w:rFonts w:ascii="Arial" w:hAnsi="Arial" w:cs="Arial"/>
          <w:color w:val="000000"/>
        </w:rPr>
        <w:t>T</w:t>
      </w:r>
      <w:r>
        <w:rPr>
          <w:rFonts w:ascii="Arial" w:hAnsi="Arial" w:cs="Arial"/>
          <w:color w:val="000000"/>
        </w:rPr>
        <w:t>he</w:t>
      </w:r>
      <w:r w:rsidRPr="00785BF6">
        <w:rPr>
          <w:rFonts w:ascii="Arial" w:hAnsi="Arial" w:cs="Arial"/>
          <w:color w:val="000000"/>
        </w:rPr>
        <w:t xml:space="preserve"> GDG found interpretation of the reviewed studies challenging given major</w:t>
      </w:r>
      <w:r>
        <w:rPr>
          <w:rFonts w:ascii="Arial" w:hAnsi="Arial" w:cs="Arial"/>
          <w:color w:val="000000"/>
        </w:rPr>
        <w:t xml:space="preserve"> ascertainment bias in reported cohorts, low numbers of patients, </w:t>
      </w:r>
      <w:proofErr w:type="gramStart"/>
      <w:r>
        <w:rPr>
          <w:rFonts w:ascii="Arial" w:hAnsi="Arial" w:cs="Arial"/>
          <w:color w:val="000000"/>
        </w:rPr>
        <w:t>variation</w:t>
      </w:r>
      <w:proofErr w:type="gramEnd"/>
      <w:r>
        <w:rPr>
          <w:rFonts w:ascii="Arial" w:hAnsi="Arial" w:cs="Arial"/>
          <w:color w:val="000000"/>
        </w:rPr>
        <w:t xml:space="preserve"> in the timing and nature of intervention, case mix and setting, and quality of supportive care. The GDG did not consider any of the data presented of sufficient quality or consistency to make specific recommendations either for or against the use of active interventions and highlighted the need for future research (See Section 16). It was noted that there is a lack of consensus even amongst clinicians with experience in managing SJS/TEN, with, for example, strong advocates for use and avoidance of </w:t>
      </w:r>
      <w:proofErr w:type="spellStart"/>
      <w:r>
        <w:rPr>
          <w:rFonts w:ascii="Arial" w:hAnsi="Arial" w:cs="Arial"/>
          <w:color w:val="000000"/>
        </w:rPr>
        <w:t>IVIg</w:t>
      </w:r>
      <w:proofErr w:type="spellEnd"/>
      <w:r>
        <w:rPr>
          <w:rFonts w:ascii="Arial" w:hAnsi="Arial" w:cs="Arial"/>
          <w:color w:val="000000"/>
        </w:rPr>
        <w:t xml:space="preserve">. </w:t>
      </w:r>
    </w:p>
    <w:p w:rsidR="00BD084C" w:rsidRDefault="00BD084C" w:rsidP="0085034D">
      <w:pPr>
        <w:pStyle w:val="NoSpacing"/>
        <w:spacing w:line="276" w:lineRule="auto"/>
        <w:jc w:val="both"/>
        <w:rPr>
          <w:rFonts w:ascii="Arial" w:hAnsi="Arial" w:cs="Arial"/>
          <w:color w:val="000000"/>
        </w:rPr>
      </w:pPr>
    </w:p>
    <w:p w:rsidR="00BD084C" w:rsidRDefault="00BD084C" w:rsidP="0085034D">
      <w:pPr>
        <w:pStyle w:val="NoSpacing"/>
        <w:spacing w:line="276" w:lineRule="auto"/>
        <w:jc w:val="both"/>
        <w:rPr>
          <w:rFonts w:ascii="Arial" w:hAnsi="Arial" w:cs="Arial"/>
          <w:color w:val="000000"/>
        </w:rPr>
      </w:pPr>
      <w:r>
        <w:rPr>
          <w:rFonts w:ascii="Arial" w:hAnsi="Arial" w:cs="Arial"/>
          <w:color w:val="000000"/>
        </w:rPr>
        <w:t>Withdrawal of culprit drug and meticulous attention to high quality, multidisciplinary supportive care is the priority.</w:t>
      </w:r>
    </w:p>
    <w:p w:rsidR="00BD084C" w:rsidRPr="00785BF6" w:rsidRDefault="00BD084C" w:rsidP="0085034D">
      <w:pPr>
        <w:pStyle w:val="NoSpacing"/>
        <w:spacing w:line="276" w:lineRule="auto"/>
        <w:jc w:val="both"/>
        <w:rPr>
          <w:rFonts w:ascii="Arial" w:hAnsi="Arial" w:cs="Arial"/>
          <w:color w:val="000000"/>
        </w:rPr>
      </w:pPr>
    </w:p>
    <w:p w:rsidR="00BD084C" w:rsidRPr="00297A95" w:rsidRDefault="00BD084C" w:rsidP="0085034D">
      <w:pPr>
        <w:pStyle w:val="NoSpacing"/>
        <w:spacing w:line="276" w:lineRule="auto"/>
        <w:jc w:val="both"/>
        <w:rPr>
          <w:rFonts w:ascii="Arial" w:hAnsi="Arial" w:cs="Arial"/>
          <w:b/>
          <w:color w:val="000000"/>
        </w:rPr>
      </w:pPr>
      <w:r>
        <w:rPr>
          <w:rFonts w:ascii="Arial" w:hAnsi="Arial" w:cs="Arial"/>
          <w:b/>
          <w:color w:val="000000"/>
        </w:rPr>
        <w:t xml:space="preserve">Recommendations: </w:t>
      </w:r>
      <w:r w:rsidRPr="00297A95">
        <w:rPr>
          <w:rFonts w:ascii="Arial" w:hAnsi="Arial" w:cs="Arial"/>
          <w:b/>
          <w:i/>
        </w:rPr>
        <w:t>(Strength of recommendation D; level of evidence 4)</w:t>
      </w:r>
    </w:p>
    <w:p w:rsidR="00BD084C" w:rsidRDefault="00BD084C" w:rsidP="0085034D">
      <w:pPr>
        <w:pStyle w:val="NoSpacing"/>
        <w:spacing w:line="276" w:lineRule="auto"/>
        <w:jc w:val="both"/>
        <w:rPr>
          <w:rFonts w:ascii="Arial" w:hAnsi="Arial" w:cs="Arial"/>
          <w:color w:val="000000"/>
        </w:rPr>
      </w:pPr>
    </w:p>
    <w:p w:rsidR="00BD084C" w:rsidRDefault="00BD084C" w:rsidP="00BD084C">
      <w:pPr>
        <w:pStyle w:val="NoSpacing"/>
        <w:numPr>
          <w:ilvl w:val="0"/>
          <w:numId w:val="37"/>
        </w:numPr>
        <w:spacing w:line="276" w:lineRule="auto"/>
        <w:ind w:left="714" w:hanging="357"/>
        <w:jc w:val="both"/>
        <w:rPr>
          <w:rFonts w:ascii="Arial" w:hAnsi="Arial" w:cs="Arial"/>
          <w:color w:val="000000"/>
        </w:rPr>
      </w:pPr>
      <w:r w:rsidRPr="00AD0A7A">
        <w:rPr>
          <w:rFonts w:ascii="Arial" w:hAnsi="Arial" w:cs="Arial"/>
          <w:color w:val="000000"/>
        </w:rPr>
        <w:t xml:space="preserve">There is no conclusive evidence to demonstrate the benefit of any one intervention over conservative management, nor evidence to demonstrate harm from </w:t>
      </w:r>
      <w:proofErr w:type="spellStart"/>
      <w:r w:rsidRPr="00AD0A7A">
        <w:rPr>
          <w:rFonts w:ascii="Arial" w:hAnsi="Arial" w:cs="Arial"/>
          <w:color w:val="000000"/>
        </w:rPr>
        <w:t>IVIg</w:t>
      </w:r>
      <w:proofErr w:type="spellEnd"/>
      <w:r w:rsidRPr="00AD0A7A">
        <w:rPr>
          <w:rFonts w:ascii="Arial" w:hAnsi="Arial" w:cs="Arial"/>
          <w:color w:val="000000"/>
        </w:rPr>
        <w:t>, systemic corticosteroids or ciclosporin in the context of SJS/TEN. The GDG considers that</w:t>
      </w:r>
      <w:r>
        <w:rPr>
          <w:rFonts w:ascii="Arial" w:hAnsi="Arial" w:cs="Arial"/>
          <w:color w:val="000000"/>
        </w:rPr>
        <w:t>,</w:t>
      </w:r>
      <w:r w:rsidRPr="00AD0A7A">
        <w:rPr>
          <w:rFonts w:ascii="Arial" w:hAnsi="Arial" w:cs="Arial"/>
          <w:color w:val="000000"/>
        </w:rPr>
        <w:t xml:space="preserve"> ideally</w:t>
      </w:r>
      <w:r>
        <w:rPr>
          <w:rFonts w:ascii="Arial" w:hAnsi="Arial" w:cs="Arial"/>
          <w:color w:val="000000"/>
        </w:rPr>
        <w:t>,</w:t>
      </w:r>
      <w:r w:rsidRPr="00AD0A7A">
        <w:rPr>
          <w:rFonts w:ascii="Arial" w:hAnsi="Arial" w:cs="Arial"/>
          <w:color w:val="000000"/>
        </w:rPr>
        <w:t xml:space="preserve"> such interventions should be practi</w:t>
      </w:r>
      <w:r>
        <w:rPr>
          <w:rFonts w:ascii="Arial" w:hAnsi="Arial" w:cs="Arial"/>
          <w:color w:val="000000"/>
        </w:rPr>
        <w:t>s</w:t>
      </w:r>
      <w:r w:rsidRPr="00AD0A7A">
        <w:rPr>
          <w:rFonts w:ascii="Arial" w:hAnsi="Arial" w:cs="Arial"/>
          <w:color w:val="000000"/>
        </w:rPr>
        <w:t>ed under the supervision of a specialist skin failure MDT in the context of a clinical study or a case registry</w:t>
      </w:r>
      <w:r>
        <w:rPr>
          <w:rFonts w:ascii="Arial" w:hAnsi="Arial" w:cs="Arial"/>
          <w:color w:val="000000"/>
        </w:rPr>
        <w:t>.</w:t>
      </w:r>
    </w:p>
    <w:p w:rsidR="00BD084C" w:rsidRDefault="00BD084C" w:rsidP="0085034D">
      <w:pPr>
        <w:pStyle w:val="NoSpacing"/>
        <w:spacing w:line="276" w:lineRule="auto"/>
        <w:ind w:left="357"/>
        <w:jc w:val="both"/>
        <w:rPr>
          <w:rFonts w:ascii="Arial" w:hAnsi="Arial" w:cs="Arial"/>
          <w:color w:val="000000"/>
        </w:rPr>
      </w:pPr>
    </w:p>
    <w:p w:rsidR="00BD084C" w:rsidRDefault="00BD084C" w:rsidP="0085034D">
      <w:pPr>
        <w:pStyle w:val="NoSpacing"/>
        <w:spacing w:line="276" w:lineRule="auto"/>
        <w:jc w:val="both"/>
        <w:rPr>
          <w:rFonts w:ascii="Arial" w:hAnsi="Arial" w:cs="Arial"/>
          <w:color w:val="000000"/>
        </w:rPr>
      </w:pPr>
    </w:p>
    <w:p w:rsidR="00BD084C" w:rsidRPr="006276EE" w:rsidRDefault="00BD084C" w:rsidP="0085034D">
      <w:pPr>
        <w:pStyle w:val="NoSpacing"/>
        <w:spacing w:line="276" w:lineRule="auto"/>
        <w:jc w:val="both"/>
        <w:rPr>
          <w:rFonts w:ascii="Arial" w:hAnsi="Arial" w:cs="Arial"/>
          <w:b/>
          <w:color w:val="00B0F0"/>
        </w:rPr>
      </w:pPr>
      <w:r w:rsidRPr="006276EE">
        <w:rPr>
          <w:rFonts w:ascii="Arial" w:hAnsi="Arial" w:cs="Arial"/>
          <w:b/>
          <w:color w:val="00B0F0"/>
        </w:rPr>
        <w:t>14.0 DISCHARGE AND FOLLOW-UP</w:t>
      </w:r>
    </w:p>
    <w:p w:rsidR="00BD084C" w:rsidRPr="00297A95" w:rsidRDefault="00BD084C" w:rsidP="0085034D">
      <w:pPr>
        <w:pStyle w:val="NoSpacing"/>
        <w:spacing w:line="276" w:lineRule="auto"/>
        <w:jc w:val="both"/>
        <w:rPr>
          <w:rFonts w:ascii="Arial" w:hAnsi="Arial" w:cs="Arial"/>
          <w:b/>
        </w:rPr>
      </w:pPr>
    </w:p>
    <w:p w:rsidR="00BD084C" w:rsidRDefault="00BD084C">
      <w:pPr>
        <w:pStyle w:val="NoSpacing"/>
        <w:spacing w:line="276" w:lineRule="auto"/>
        <w:jc w:val="both"/>
        <w:rPr>
          <w:rFonts w:ascii="Arial" w:hAnsi="Arial" w:cs="Arial"/>
        </w:rPr>
      </w:pPr>
      <w:r w:rsidRPr="00297A95">
        <w:rPr>
          <w:rFonts w:ascii="Arial" w:hAnsi="Arial" w:cs="Arial"/>
        </w:rPr>
        <w:t xml:space="preserve">As the patient recovers from the </w:t>
      </w:r>
      <w:proofErr w:type="spellStart"/>
      <w:r w:rsidRPr="00297A95">
        <w:rPr>
          <w:rFonts w:ascii="Arial" w:hAnsi="Arial" w:cs="Arial"/>
        </w:rPr>
        <w:t>muco</w:t>
      </w:r>
      <w:proofErr w:type="spellEnd"/>
      <w:r w:rsidRPr="00297A95">
        <w:rPr>
          <w:rFonts w:ascii="Arial" w:hAnsi="Arial" w:cs="Arial"/>
        </w:rPr>
        <w:t xml:space="preserve">-cutaneous and systemic manifestations of acute SJS/TEN, preparations can be made for discharge. Before leaving the hospital, information on the culprit drug should be relayed to the patient. The drug allergy should be documented </w:t>
      </w:r>
      <w:r w:rsidRPr="00297A95">
        <w:rPr>
          <w:rFonts w:ascii="Arial" w:hAnsi="Arial" w:cs="Arial"/>
        </w:rPr>
        <w:lastRenderedPageBreak/>
        <w:t xml:space="preserve">in the patient’s notes (or electronic patient record) and communicated to all physicians involved in the patient’s care. </w:t>
      </w:r>
      <w:r>
        <w:rPr>
          <w:rFonts w:ascii="Arial" w:hAnsi="Arial" w:cs="Arial"/>
        </w:rPr>
        <w:t>Recent NICE guidelines highlight the importance of ensuring adequate documentation and information sharing regarding drug allergy.</w:t>
      </w:r>
      <w:r w:rsidRPr="00EF73B5">
        <w:rPr>
          <w:rFonts w:ascii="Arial" w:hAnsi="Arial" w:cs="Arial"/>
          <w:noProof/>
          <w:vertAlign w:val="superscript"/>
        </w:rPr>
        <w:t>120</w:t>
      </w:r>
      <w:r w:rsidRPr="00297A95">
        <w:rPr>
          <w:rFonts w:ascii="Arial" w:hAnsi="Arial" w:cs="Arial"/>
        </w:rPr>
        <w:t xml:space="preserve"> </w:t>
      </w:r>
      <w:proofErr w:type="gramStart"/>
      <w:r w:rsidRPr="00297A95">
        <w:rPr>
          <w:rFonts w:ascii="Arial" w:hAnsi="Arial" w:cs="Arial"/>
        </w:rPr>
        <w:t>An</w:t>
      </w:r>
      <w:proofErr w:type="gramEnd"/>
      <w:r w:rsidRPr="00297A95">
        <w:rPr>
          <w:rFonts w:ascii="Arial" w:hAnsi="Arial" w:cs="Arial"/>
        </w:rPr>
        <w:t xml:space="preserve"> adverse drug reaction should be reported to the pharmacovigilance authorities (the MHRA in the UK, </w:t>
      </w:r>
      <w:hyperlink r:id="rId18" w:history="1">
        <w:r w:rsidRPr="00297A95">
          <w:rPr>
            <w:rStyle w:val="Hyperlink"/>
            <w:rFonts w:ascii="Arial" w:hAnsi="Arial" w:cs="Arial"/>
          </w:rPr>
          <w:t>www.mhra.gov.uk</w:t>
        </w:r>
      </w:hyperlink>
      <w:r w:rsidRPr="00297A95">
        <w:rPr>
          <w:rFonts w:ascii="Arial" w:hAnsi="Arial" w:cs="Arial"/>
        </w:rPr>
        <w:t xml:space="preserve">). </w:t>
      </w:r>
    </w:p>
    <w:p w:rsidR="00BD084C" w:rsidRPr="00297A95" w:rsidRDefault="00BD084C">
      <w:pPr>
        <w:pStyle w:val="NoSpacing"/>
        <w:spacing w:line="276" w:lineRule="auto"/>
        <w:jc w:val="both"/>
        <w:rPr>
          <w:rFonts w:ascii="Arial" w:hAnsi="Arial" w:cs="Arial"/>
        </w:rPr>
      </w:pPr>
      <w:r w:rsidRPr="00297A95">
        <w:rPr>
          <w:rFonts w:ascii="Arial" w:hAnsi="Arial" w:cs="Arial"/>
        </w:rPr>
        <w:t>At discharge an explanatory letter outlining the disorder should be sent to the patient’s GP. The letter should state the culprit medication, outline the potential complications of SJS/TEN, and specify the patient’s follow-up plan (see Appendix 2: Specimen discharge letter).</w:t>
      </w:r>
      <w:r>
        <w:rPr>
          <w:rFonts w:ascii="Arial" w:hAnsi="Arial" w:cs="Arial"/>
        </w:rPr>
        <w:t xml:space="preserve">  NICE guidance suggests that </w:t>
      </w:r>
      <w:r w:rsidRPr="00C9602E">
        <w:rPr>
          <w:rFonts w:ascii="Arial" w:hAnsi="Arial" w:cs="Arial"/>
        </w:rPr>
        <w:t>severe non</w:t>
      </w:r>
      <w:r w:rsidRPr="00C9602E">
        <w:rPr>
          <w:rFonts w:ascii="MS Gothic" w:hAnsi="MS Gothic" w:cs="MS Gothic"/>
        </w:rPr>
        <w:t>‑</w:t>
      </w:r>
      <w:r w:rsidRPr="00C9602E">
        <w:rPr>
          <w:rFonts w:ascii="Arial" w:hAnsi="Arial" w:cs="Arial"/>
        </w:rPr>
        <w:t>immediate cutaneous reaction</w:t>
      </w:r>
      <w:r>
        <w:rPr>
          <w:rFonts w:ascii="Arial" w:hAnsi="Arial" w:cs="Arial"/>
        </w:rPr>
        <w:t>s</w:t>
      </w:r>
      <w:r w:rsidRPr="00C9602E">
        <w:rPr>
          <w:rFonts w:ascii="Arial" w:hAnsi="Arial" w:cs="Arial"/>
        </w:rPr>
        <w:t xml:space="preserve"> </w:t>
      </w:r>
      <w:r>
        <w:rPr>
          <w:rFonts w:ascii="Arial" w:hAnsi="Arial" w:cs="Arial"/>
        </w:rPr>
        <w:t>are referred to a specialist drug allergy service for expert review, which in the context of SJS/TEN is likely to be a dermatology unit</w:t>
      </w:r>
      <w:r w:rsidRPr="001718A7">
        <w:rPr>
          <w:rFonts w:ascii="Arial" w:hAnsi="Arial" w:cs="Arial"/>
        </w:rPr>
        <w:t xml:space="preserve"> </w:t>
      </w:r>
      <w:r>
        <w:rPr>
          <w:rFonts w:ascii="Arial" w:hAnsi="Arial" w:cs="Arial"/>
        </w:rPr>
        <w:t>with appropriate sub-specialty interest.</w:t>
      </w:r>
      <w:r w:rsidRPr="00EF73B5">
        <w:rPr>
          <w:rFonts w:ascii="Arial" w:hAnsi="Arial" w:cs="Arial"/>
          <w:noProof/>
          <w:vertAlign w:val="superscript"/>
        </w:rPr>
        <w:t>120</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Fatigue and lethargy is a major problem for several weeks following discharge; the patient, his/her relations and employers need to be aware of this. Usually a period of convalescence following hospital discharge is necessary. Psychological problems, including depression, are also common during this time.</w:t>
      </w:r>
      <w:r w:rsidRPr="00EF73B5">
        <w:rPr>
          <w:rFonts w:ascii="Arial" w:hAnsi="Arial" w:cs="Arial"/>
          <w:noProof/>
          <w:vertAlign w:val="superscript"/>
        </w:rPr>
        <w:t>121</w:t>
      </w:r>
      <w:r w:rsidRPr="00297A95">
        <w:rPr>
          <w:rFonts w:ascii="Arial" w:hAnsi="Arial" w:cs="Arial"/>
        </w:rPr>
        <w:t xml:space="preserve"> Chronic complications of SJS/TEN may develop weeks to months after the acute episode and are associated with significant morbidity and reduced quality of life. Ocular damage, arising from corneal scarring, is the most disabling </w:t>
      </w:r>
      <w:r>
        <w:rPr>
          <w:rFonts w:ascii="Arial" w:hAnsi="Arial" w:cs="Arial"/>
        </w:rPr>
        <w:t xml:space="preserve">complication </w:t>
      </w:r>
      <w:r w:rsidRPr="00297A95">
        <w:rPr>
          <w:rFonts w:ascii="Arial" w:hAnsi="Arial" w:cs="Arial"/>
        </w:rPr>
        <w:t>and may develop at a variable period after the acute disease.</w:t>
      </w:r>
      <w:r w:rsidRPr="00EF73B5">
        <w:rPr>
          <w:rFonts w:ascii="Arial" w:hAnsi="Arial" w:cs="Arial"/>
          <w:noProof/>
          <w:vertAlign w:val="superscript"/>
        </w:rPr>
        <w:t>122</w:t>
      </w:r>
      <w:r w:rsidRPr="00297A95">
        <w:rPr>
          <w:rFonts w:ascii="Arial" w:hAnsi="Arial" w:cs="Arial"/>
        </w:rPr>
        <w:t xml:space="preserve"> Long-term sequelae can involve other organs and survivors need monitoring for potential complications in multiple systems. </w:t>
      </w:r>
    </w:p>
    <w:p w:rsidR="00BD084C" w:rsidRDefault="00BD084C" w:rsidP="0085034D">
      <w:pPr>
        <w:pStyle w:val="NoSpacing"/>
        <w:spacing w:line="276" w:lineRule="auto"/>
        <w:jc w:val="both"/>
        <w:rPr>
          <w:rFonts w:ascii="Arial" w:hAnsi="Arial" w:cs="Arial"/>
          <w:color w:val="000000"/>
        </w:rPr>
      </w:pPr>
      <w:r w:rsidRPr="00297A95">
        <w:rPr>
          <w:rFonts w:ascii="Arial" w:hAnsi="Arial" w:cs="Arial"/>
          <w:color w:val="000000"/>
        </w:rPr>
        <w:t xml:space="preserve"> </w:t>
      </w:r>
    </w:p>
    <w:p w:rsidR="00BD084C" w:rsidRPr="00297A95" w:rsidRDefault="00BD084C" w:rsidP="0085034D">
      <w:pPr>
        <w:pStyle w:val="NoSpacing"/>
        <w:spacing w:line="276" w:lineRule="auto"/>
        <w:jc w:val="both"/>
        <w:rPr>
          <w:rFonts w:ascii="Arial" w:hAnsi="Arial" w:cs="Arial"/>
          <w:b/>
          <w:i/>
        </w:rPr>
      </w:pPr>
      <w:r w:rsidRPr="00297A95">
        <w:rPr>
          <w:rFonts w:ascii="Arial" w:hAnsi="Arial" w:cs="Arial"/>
          <w:b/>
        </w:rPr>
        <w:t>Recommendations:</w:t>
      </w:r>
      <w:r>
        <w:rPr>
          <w:rFonts w:ascii="Arial" w:hAnsi="Arial" w:cs="Arial"/>
          <w:b/>
        </w:rPr>
        <w:t xml:space="preserve"> </w:t>
      </w:r>
      <w:r w:rsidRPr="00297A95">
        <w:rPr>
          <w:rFonts w:ascii="Arial" w:hAnsi="Arial" w:cs="Arial"/>
          <w:b/>
          <w:i/>
        </w:rPr>
        <w:t xml:space="preserve">(Strength of recommendation </w:t>
      </w:r>
      <w:proofErr w:type="gramStart"/>
      <w:r w:rsidRPr="00297A95">
        <w:rPr>
          <w:rFonts w:ascii="Arial" w:hAnsi="Arial" w:cs="Arial"/>
          <w:b/>
          <w:i/>
        </w:rPr>
        <w:t>D(</w:t>
      </w:r>
      <w:proofErr w:type="gramEnd"/>
      <w:r w:rsidRPr="00297A95">
        <w:rPr>
          <w:rFonts w:ascii="Arial" w:hAnsi="Arial" w:cs="Arial"/>
          <w:b/>
          <w:i/>
        </w:rPr>
        <w:t>GPP); level of evidence 4)</w:t>
      </w:r>
    </w:p>
    <w:p w:rsidR="00BD084C" w:rsidRPr="00297A95" w:rsidRDefault="00BD084C" w:rsidP="0085034D">
      <w:pPr>
        <w:pStyle w:val="NoSpacing"/>
        <w:spacing w:line="276" w:lineRule="auto"/>
        <w:jc w:val="both"/>
        <w:rPr>
          <w:rFonts w:ascii="Arial" w:hAnsi="Arial" w:cs="Arial"/>
        </w:rPr>
      </w:pPr>
    </w:p>
    <w:p w:rsidR="00BD084C" w:rsidRPr="00297A95" w:rsidRDefault="00BD084C" w:rsidP="00BD084C">
      <w:pPr>
        <w:pStyle w:val="NoSpacing"/>
        <w:numPr>
          <w:ilvl w:val="0"/>
          <w:numId w:val="15"/>
        </w:numPr>
        <w:spacing w:line="276" w:lineRule="auto"/>
        <w:ind w:left="714" w:hanging="357"/>
        <w:jc w:val="both"/>
        <w:rPr>
          <w:rFonts w:ascii="Arial" w:hAnsi="Arial" w:cs="Arial"/>
        </w:rPr>
      </w:pPr>
      <w:r w:rsidRPr="00297A95">
        <w:rPr>
          <w:rFonts w:ascii="Arial" w:hAnsi="Arial" w:cs="Arial"/>
        </w:rPr>
        <w:t>Give the patient written information about the drug(s) to avoid. The name(s) of any related medication(s) which may cross-react with the culprit should also be given to the patient. Educate the patient about the necessity to avoid the triggering drug(s).</w:t>
      </w:r>
    </w:p>
    <w:p w:rsidR="00BD084C" w:rsidRPr="00297A95" w:rsidRDefault="00BD084C" w:rsidP="0085034D">
      <w:pPr>
        <w:pStyle w:val="NoSpacing"/>
        <w:spacing w:line="276" w:lineRule="auto"/>
        <w:ind w:left="714" w:hanging="357"/>
        <w:jc w:val="both"/>
        <w:rPr>
          <w:rFonts w:ascii="Arial" w:hAnsi="Arial" w:cs="Arial"/>
        </w:rPr>
      </w:pPr>
    </w:p>
    <w:p w:rsidR="00BD084C" w:rsidRDefault="00BD084C" w:rsidP="00BD084C">
      <w:pPr>
        <w:pStyle w:val="NoSpacing"/>
        <w:numPr>
          <w:ilvl w:val="0"/>
          <w:numId w:val="15"/>
        </w:numPr>
        <w:spacing w:line="276" w:lineRule="auto"/>
        <w:ind w:left="714" w:hanging="357"/>
        <w:jc w:val="both"/>
        <w:rPr>
          <w:rFonts w:ascii="Arial" w:hAnsi="Arial" w:cs="Arial"/>
        </w:rPr>
      </w:pPr>
      <w:r>
        <w:rPr>
          <w:rFonts w:ascii="Arial" w:hAnsi="Arial" w:cs="Arial"/>
        </w:rPr>
        <w:t>At discharge, refer the patient to local social services, when appropriate to arrange a needs assessment for support. If necessary, refer to the occupation therapy department.</w:t>
      </w:r>
    </w:p>
    <w:p w:rsidR="00BD084C" w:rsidRDefault="00BD084C" w:rsidP="0085034D">
      <w:pPr>
        <w:pStyle w:val="NoSpacing"/>
        <w:spacing w:line="276" w:lineRule="auto"/>
        <w:ind w:left="714" w:hanging="357"/>
        <w:jc w:val="both"/>
        <w:rPr>
          <w:rFonts w:ascii="Arial" w:hAnsi="Arial" w:cs="Arial"/>
        </w:rPr>
      </w:pPr>
    </w:p>
    <w:p w:rsidR="00BD084C" w:rsidRDefault="00BD084C" w:rsidP="00BD084C">
      <w:pPr>
        <w:pStyle w:val="NoSpacing"/>
        <w:numPr>
          <w:ilvl w:val="0"/>
          <w:numId w:val="15"/>
        </w:numPr>
        <w:spacing w:line="276" w:lineRule="auto"/>
        <w:ind w:left="714" w:hanging="357"/>
        <w:jc w:val="both"/>
        <w:rPr>
          <w:rFonts w:ascii="Arial" w:hAnsi="Arial" w:cs="Arial"/>
        </w:rPr>
      </w:pPr>
      <w:r>
        <w:rPr>
          <w:rFonts w:ascii="Arial" w:hAnsi="Arial" w:cs="Arial"/>
        </w:rPr>
        <w:t xml:space="preserve">Access support from SJS Awareness UK </w:t>
      </w:r>
      <w:r w:rsidRPr="0011138B">
        <w:rPr>
          <w:rFonts w:ascii="Arial" w:hAnsi="Arial" w:cs="Arial"/>
        </w:rPr>
        <w:t>http://www.sjsawareness.org.uk/</w:t>
      </w:r>
      <w:r>
        <w:rPr>
          <w:rFonts w:ascii="Arial" w:hAnsi="Arial" w:cs="Arial"/>
        </w:rPr>
        <w:t xml:space="preserve"> or appropriate national SJS/TEN support group.</w:t>
      </w:r>
    </w:p>
    <w:p w:rsidR="00BD084C"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15"/>
        </w:numPr>
        <w:spacing w:line="276" w:lineRule="auto"/>
        <w:ind w:left="714" w:hanging="357"/>
        <w:jc w:val="both"/>
        <w:rPr>
          <w:rFonts w:ascii="Arial" w:hAnsi="Arial" w:cs="Arial"/>
        </w:rPr>
      </w:pPr>
      <w:r w:rsidRPr="00297A95">
        <w:rPr>
          <w:rFonts w:ascii="Arial" w:hAnsi="Arial" w:cs="Arial"/>
        </w:rPr>
        <w:t xml:space="preserve">Encourage the patient to wear a </w:t>
      </w:r>
      <w:proofErr w:type="spellStart"/>
      <w:r w:rsidRPr="00297A95">
        <w:rPr>
          <w:rFonts w:ascii="Arial" w:hAnsi="Arial" w:cs="Arial"/>
        </w:rPr>
        <w:t>MedicAlert</w:t>
      </w:r>
      <w:proofErr w:type="spellEnd"/>
      <w:r w:rsidRPr="00297A95">
        <w:rPr>
          <w:rFonts w:ascii="Arial" w:hAnsi="Arial" w:cs="Arial"/>
        </w:rPr>
        <w:t xml:space="preserve"> bracelet or amulet bearing the name of the culprit drug.</w:t>
      </w:r>
    </w:p>
    <w:p w:rsidR="00BD084C" w:rsidRPr="00297A95"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15"/>
        </w:numPr>
        <w:spacing w:line="276" w:lineRule="auto"/>
        <w:ind w:left="714" w:hanging="357"/>
        <w:jc w:val="both"/>
        <w:rPr>
          <w:rFonts w:ascii="Arial" w:hAnsi="Arial" w:cs="Arial"/>
        </w:rPr>
      </w:pPr>
      <w:r w:rsidRPr="00297A95">
        <w:rPr>
          <w:rFonts w:ascii="Arial" w:hAnsi="Arial" w:cs="Arial"/>
        </w:rPr>
        <w:t>The drug allergy should be documented in the patient’s notes. All doctors involved in the patient’s care, especially the GP, should be informed about the drug allergy episode and the culprit.</w:t>
      </w:r>
    </w:p>
    <w:p w:rsidR="00BD084C" w:rsidRPr="00297A95"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15"/>
        </w:numPr>
        <w:spacing w:line="276" w:lineRule="auto"/>
        <w:ind w:left="714" w:hanging="357"/>
        <w:jc w:val="both"/>
        <w:rPr>
          <w:rFonts w:ascii="Arial" w:hAnsi="Arial" w:cs="Arial"/>
        </w:rPr>
      </w:pPr>
      <w:r w:rsidRPr="00297A95">
        <w:rPr>
          <w:rFonts w:ascii="Arial" w:hAnsi="Arial" w:cs="Arial"/>
        </w:rPr>
        <w:t xml:space="preserve">Warn </w:t>
      </w:r>
      <w:r>
        <w:rPr>
          <w:rFonts w:ascii="Arial" w:hAnsi="Arial" w:cs="Arial"/>
        </w:rPr>
        <w:t xml:space="preserve">the </w:t>
      </w:r>
      <w:r w:rsidRPr="00297A95">
        <w:rPr>
          <w:rFonts w:ascii="Arial" w:hAnsi="Arial" w:cs="Arial"/>
        </w:rPr>
        <w:t>patient to avoid over-the-counter medications where precise constituents are unclear.</w:t>
      </w:r>
    </w:p>
    <w:p w:rsidR="00BD084C" w:rsidRPr="00297A95"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15"/>
        </w:numPr>
        <w:spacing w:line="276" w:lineRule="auto"/>
        <w:ind w:left="714" w:hanging="357"/>
        <w:jc w:val="both"/>
        <w:rPr>
          <w:rFonts w:ascii="Arial" w:hAnsi="Arial" w:cs="Arial"/>
        </w:rPr>
      </w:pPr>
      <w:r w:rsidRPr="00297A95">
        <w:rPr>
          <w:rFonts w:ascii="Arial" w:hAnsi="Arial" w:cs="Arial"/>
        </w:rPr>
        <w:lastRenderedPageBreak/>
        <w:t xml:space="preserve">Report episode of drug-induced SJS/TEN to the national pharmacovigilance authorities (the MHRA’s Yellow Card Scheme in the UK, </w:t>
      </w:r>
      <w:hyperlink r:id="rId19" w:history="1">
        <w:r w:rsidRPr="00297A95">
          <w:rPr>
            <w:rStyle w:val="Hyperlink"/>
            <w:rFonts w:ascii="Arial" w:hAnsi="Arial" w:cs="Arial"/>
          </w:rPr>
          <w:t>w</w:t>
        </w:r>
      </w:hyperlink>
      <w:r w:rsidRPr="00297A95">
        <w:rPr>
          <w:rStyle w:val="Hyperlink"/>
          <w:rFonts w:ascii="Arial" w:hAnsi="Arial" w:cs="Arial"/>
        </w:rPr>
        <w:t>ww.yellowcard.mhra.gov.uk)</w:t>
      </w:r>
      <w:r w:rsidRPr="00297A95">
        <w:rPr>
          <w:rFonts w:ascii="Arial" w:hAnsi="Arial" w:cs="Arial"/>
        </w:rPr>
        <w:t>.</w:t>
      </w:r>
    </w:p>
    <w:p w:rsidR="00BD084C" w:rsidRPr="00297A95"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15"/>
        </w:numPr>
        <w:spacing w:line="276" w:lineRule="auto"/>
        <w:ind w:left="714" w:hanging="357"/>
        <w:jc w:val="both"/>
        <w:rPr>
          <w:rFonts w:ascii="Arial" w:hAnsi="Arial" w:cs="Arial"/>
        </w:rPr>
      </w:pPr>
      <w:r w:rsidRPr="00297A95">
        <w:rPr>
          <w:rFonts w:ascii="Arial" w:hAnsi="Arial" w:cs="Arial"/>
        </w:rPr>
        <w:t xml:space="preserve">If the patient had eye involvement during the acute phase, organize an outpatient clinic appointment with an ophthalmologist within a few weeks of discharge. </w:t>
      </w:r>
    </w:p>
    <w:p w:rsidR="00BD084C" w:rsidRPr="00297A95" w:rsidRDefault="00BD084C" w:rsidP="0085034D">
      <w:pPr>
        <w:pStyle w:val="NoSpacing"/>
        <w:spacing w:line="276" w:lineRule="auto"/>
        <w:ind w:left="714" w:hanging="357"/>
        <w:jc w:val="both"/>
        <w:rPr>
          <w:rFonts w:ascii="Arial" w:hAnsi="Arial" w:cs="Arial"/>
        </w:rPr>
      </w:pPr>
    </w:p>
    <w:p w:rsidR="00BD084C" w:rsidRDefault="00BD084C" w:rsidP="00BD084C">
      <w:pPr>
        <w:pStyle w:val="NoSpacing"/>
        <w:numPr>
          <w:ilvl w:val="0"/>
          <w:numId w:val="15"/>
        </w:numPr>
        <w:spacing w:line="276" w:lineRule="auto"/>
        <w:ind w:left="714" w:hanging="357"/>
        <w:jc w:val="both"/>
        <w:rPr>
          <w:rFonts w:ascii="Arial" w:hAnsi="Arial" w:cs="Arial"/>
        </w:rPr>
      </w:pPr>
      <w:r w:rsidRPr="00297A95">
        <w:rPr>
          <w:rFonts w:ascii="Arial" w:hAnsi="Arial" w:cs="Arial"/>
        </w:rPr>
        <w:t>Organize a</w:t>
      </w:r>
      <w:r>
        <w:rPr>
          <w:rFonts w:ascii="Arial" w:hAnsi="Arial" w:cs="Arial"/>
        </w:rPr>
        <w:t>n</w:t>
      </w:r>
      <w:r w:rsidRPr="00297A95">
        <w:rPr>
          <w:rFonts w:ascii="Arial" w:hAnsi="Arial" w:cs="Arial"/>
        </w:rPr>
        <w:t xml:space="preserve"> outpatient clinic appointment within a few weeks of discharge. Patients need to be monitored for complications in skin, mouth, </w:t>
      </w:r>
      <w:proofErr w:type="gramStart"/>
      <w:r w:rsidRPr="00297A95">
        <w:rPr>
          <w:rFonts w:ascii="Arial" w:hAnsi="Arial" w:cs="Arial"/>
        </w:rPr>
        <w:t>urogenital</w:t>
      </w:r>
      <w:proofErr w:type="gramEnd"/>
      <w:r w:rsidRPr="00297A95">
        <w:rPr>
          <w:rFonts w:ascii="Arial" w:hAnsi="Arial" w:cs="Arial"/>
        </w:rPr>
        <w:t xml:space="preserve"> tract, respiratory and gastro-intestinal systems. Psychological evaluation and support should be considered.</w:t>
      </w:r>
    </w:p>
    <w:p w:rsidR="00BD084C" w:rsidRPr="00297A95" w:rsidRDefault="00BD084C" w:rsidP="0085034D">
      <w:pPr>
        <w:pStyle w:val="NoSpacing"/>
        <w:spacing w:line="276" w:lineRule="auto"/>
        <w:jc w:val="both"/>
        <w:rPr>
          <w:rFonts w:ascii="Arial" w:hAnsi="Arial" w:cs="Arial"/>
          <w:b/>
        </w:rPr>
        <w:sectPr w:rsidR="00BD084C" w:rsidRPr="00297A95" w:rsidSect="0085034D">
          <w:footerReference w:type="default" r:id="rId20"/>
          <w:pgSz w:w="11906" w:h="16838"/>
          <w:pgMar w:top="1440" w:right="1440" w:bottom="1440" w:left="1440" w:header="708" w:footer="708" w:gutter="0"/>
          <w:cols w:space="708"/>
          <w:docGrid w:linePitch="360"/>
        </w:sectPr>
      </w:pPr>
    </w:p>
    <w:p w:rsidR="00BD084C" w:rsidRPr="00297A95" w:rsidRDefault="00BD084C" w:rsidP="0085034D">
      <w:pPr>
        <w:pStyle w:val="NoSpacing"/>
        <w:spacing w:line="276" w:lineRule="auto"/>
        <w:jc w:val="both"/>
        <w:rPr>
          <w:rFonts w:ascii="Arial" w:hAnsi="Arial" w:cs="Arial"/>
        </w:rPr>
      </w:pPr>
      <w:r w:rsidRPr="00297A95">
        <w:rPr>
          <w:rFonts w:ascii="Arial" w:hAnsi="Arial" w:cs="Arial"/>
          <w:b/>
        </w:rPr>
        <w:lastRenderedPageBreak/>
        <w:t>Table</w:t>
      </w:r>
      <w:r>
        <w:rPr>
          <w:rFonts w:ascii="Arial" w:hAnsi="Arial" w:cs="Arial"/>
          <w:b/>
        </w:rPr>
        <w:t xml:space="preserve"> 7</w:t>
      </w:r>
      <w:r w:rsidRPr="00297A95">
        <w:rPr>
          <w:rFonts w:ascii="Arial" w:hAnsi="Arial" w:cs="Arial"/>
        </w:rPr>
        <w:t xml:space="preserve">: Summary of </w:t>
      </w:r>
      <w:proofErr w:type="spellStart"/>
      <w:r w:rsidRPr="00297A95">
        <w:rPr>
          <w:rFonts w:ascii="Arial" w:hAnsi="Arial" w:cs="Arial"/>
        </w:rPr>
        <w:t>IVIg</w:t>
      </w:r>
      <w:proofErr w:type="spellEnd"/>
      <w:r w:rsidRPr="00297A95">
        <w:rPr>
          <w:rFonts w:ascii="Arial" w:hAnsi="Arial" w:cs="Arial"/>
        </w:rPr>
        <w:t xml:space="preserve"> studies in SJS/TEN</w:t>
      </w:r>
    </w:p>
    <w:p w:rsidR="00BD084C" w:rsidRPr="00297A95" w:rsidRDefault="00BD084C" w:rsidP="0085034D">
      <w:pPr>
        <w:pStyle w:val="NoSpacing"/>
        <w:spacing w:line="276" w:lineRule="auto"/>
        <w:jc w:val="both"/>
        <w:rPr>
          <w:rFonts w:ascii="Arial" w:hAnsi="Arial" w:cs="Arial"/>
        </w:rPr>
      </w:pPr>
    </w:p>
    <w:tbl>
      <w:tblPr>
        <w:tblW w:w="13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350"/>
        <w:gridCol w:w="1495"/>
        <w:gridCol w:w="1061"/>
        <w:gridCol w:w="1951"/>
        <w:gridCol w:w="1306"/>
        <w:gridCol w:w="1350"/>
        <w:gridCol w:w="1128"/>
        <w:gridCol w:w="1145"/>
        <w:gridCol w:w="1706"/>
      </w:tblGrid>
      <w:tr w:rsidR="00BD084C" w:rsidRPr="003705FB" w:rsidTr="0085034D">
        <w:trPr>
          <w:trHeight w:val="413"/>
        </w:trPr>
        <w:tc>
          <w:tcPr>
            <w:tcW w:w="1183" w:type="dxa"/>
            <w:vMerge w:val="restart"/>
            <w:shd w:val="clear" w:color="auto" w:fill="auto"/>
          </w:tcPr>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Study</w:t>
            </w:r>
          </w:p>
        </w:tc>
        <w:tc>
          <w:tcPr>
            <w:tcW w:w="1462" w:type="dxa"/>
            <w:vMerge w:val="restart"/>
            <w:shd w:val="clear" w:color="auto" w:fill="auto"/>
          </w:tcPr>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Setting</w:t>
            </w:r>
          </w:p>
        </w:tc>
        <w:tc>
          <w:tcPr>
            <w:tcW w:w="1495" w:type="dxa"/>
            <w:vMerge w:val="restart"/>
            <w:shd w:val="clear" w:color="auto" w:fill="auto"/>
          </w:tcPr>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Design</w:t>
            </w:r>
          </w:p>
        </w:tc>
        <w:tc>
          <w:tcPr>
            <w:tcW w:w="1061" w:type="dxa"/>
            <w:vMerge w:val="restart"/>
            <w:shd w:val="clear" w:color="auto" w:fill="auto"/>
          </w:tcPr>
          <w:p w:rsidR="00BD084C" w:rsidRPr="003705FB" w:rsidRDefault="00BD084C" w:rsidP="0085034D">
            <w:pPr>
              <w:spacing w:after="0" w:line="240" w:lineRule="auto"/>
              <w:rPr>
                <w:rFonts w:ascii="Arial" w:hAnsi="Arial" w:cs="Arial"/>
                <w:b/>
                <w:sz w:val="20"/>
                <w:szCs w:val="20"/>
              </w:rPr>
            </w:pPr>
            <w:r>
              <w:rPr>
                <w:rFonts w:ascii="Arial" w:hAnsi="Arial" w:cs="Arial"/>
                <w:b/>
                <w:sz w:val="20"/>
                <w:szCs w:val="20"/>
              </w:rPr>
              <w:t xml:space="preserve">Patient </w:t>
            </w:r>
            <w:r w:rsidRPr="003705FB">
              <w:rPr>
                <w:rFonts w:ascii="Arial" w:hAnsi="Arial" w:cs="Arial"/>
                <w:b/>
                <w:sz w:val="20"/>
                <w:szCs w:val="20"/>
              </w:rPr>
              <w:t>number</w:t>
            </w:r>
            <w:r>
              <w:rPr>
                <w:rFonts w:ascii="Arial" w:hAnsi="Arial" w:cs="Arial"/>
                <w:b/>
                <w:sz w:val="20"/>
                <w:szCs w:val="20"/>
              </w:rPr>
              <w:t>s</w:t>
            </w:r>
          </w:p>
        </w:tc>
        <w:tc>
          <w:tcPr>
            <w:tcW w:w="1951" w:type="dxa"/>
            <w:vMerge w:val="restart"/>
            <w:shd w:val="clear" w:color="auto" w:fill="auto"/>
          </w:tcPr>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Intervention:</w:t>
            </w:r>
          </w:p>
          <w:p w:rsidR="00BD084C" w:rsidRPr="003705FB" w:rsidRDefault="00BD084C" w:rsidP="0085034D">
            <w:pPr>
              <w:spacing w:after="0" w:line="240" w:lineRule="auto"/>
              <w:rPr>
                <w:rFonts w:ascii="Arial" w:hAnsi="Arial" w:cs="Arial"/>
                <w:b/>
                <w:sz w:val="20"/>
                <w:szCs w:val="20"/>
              </w:rPr>
            </w:pPr>
            <w:proofErr w:type="spellStart"/>
            <w:r w:rsidRPr="003705FB">
              <w:rPr>
                <w:rFonts w:ascii="Arial" w:hAnsi="Arial" w:cs="Arial"/>
                <w:b/>
                <w:sz w:val="20"/>
                <w:szCs w:val="20"/>
              </w:rPr>
              <w:t>IVIg</w:t>
            </w:r>
            <w:proofErr w:type="spellEnd"/>
            <w:r w:rsidRPr="003705FB">
              <w:rPr>
                <w:rFonts w:ascii="Arial" w:hAnsi="Arial" w:cs="Arial"/>
                <w:b/>
                <w:sz w:val="20"/>
                <w:szCs w:val="20"/>
              </w:rPr>
              <w:t xml:space="preserve"> dose</w:t>
            </w:r>
          </w:p>
        </w:tc>
        <w:tc>
          <w:tcPr>
            <w:tcW w:w="1150" w:type="dxa"/>
            <w:shd w:val="clear" w:color="auto" w:fill="auto"/>
          </w:tcPr>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Outcome:</w:t>
            </w:r>
          </w:p>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mortality</w:t>
            </w:r>
          </w:p>
        </w:tc>
        <w:tc>
          <w:tcPr>
            <w:tcW w:w="1350" w:type="dxa"/>
            <w:shd w:val="clear" w:color="auto" w:fill="auto"/>
          </w:tcPr>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Comparator</w:t>
            </w:r>
          </w:p>
        </w:tc>
        <w:tc>
          <w:tcPr>
            <w:tcW w:w="1128" w:type="dxa"/>
            <w:shd w:val="clear" w:color="auto" w:fill="auto"/>
          </w:tcPr>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Reported</w:t>
            </w:r>
          </w:p>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benefit</w:t>
            </w:r>
          </w:p>
        </w:tc>
        <w:tc>
          <w:tcPr>
            <w:tcW w:w="1145" w:type="dxa"/>
            <w:vMerge w:val="restart"/>
            <w:shd w:val="clear" w:color="auto" w:fill="auto"/>
          </w:tcPr>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Level of evidence</w:t>
            </w:r>
            <w:r w:rsidRPr="003705FB">
              <w:rPr>
                <w:rFonts w:ascii="Arial" w:hAnsi="Arial" w:cs="Arial"/>
                <w:b/>
                <w:sz w:val="20"/>
                <w:szCs w:val="20"/>
                <w:vertAlign w:val="superscript"/>
              </w:rPr>
              <w:footnoteReference w:id="1"/>
            </w:r>
          </w:p>
        </w:tc>
        <w:tc>
          <w:tcPr>
            <w:tcW w:w="1706" w:type="dxa"/>
          </w:tcPr>
          <w:p w:rsidR="00BD084C" w:rsidRPr="003705FB" w:rsidRDefault="00BD084C" w:rsidP="0085034D">
            <w:pPr>
              <w:spacing w:after="0" w:line="240" w:lineRule="auto"/>
              <w:rPr>
                <w:rFonts w:ascii="Arial" w:hAnsi="Arial" w:cs="Arial"/>
                <w:b/>
                <w:sz w:val="20"/>
                <w:szCs w:val="20"/>
              </w:rPr>
            </w:pPr>
            <w:r>
              <w:rPr>
                <w:rFonts w:ascii="Arial" w:hAnsi="Arial" w:cs="Arial"/>
                <w:b/>
                <w:sz w:val="20"/>
                <w:szCs w:val="20"/>
              </w:rPr>
              <w:t xml:space="preserve"> Additional notes</w:t>
            </w:r>
          </w:p>
        </w:tc>
      </w:tr>
      <w:tr w:rsidR="00BD084C" w:rsidRPr="003705FB" w:rsidTr="0085034D">
        <w:trPr>
          <w:trHeight w:val="412"/>
        </w:trPr>
        <w:tc>
          <w:tcPr>
            <w:tcW w:w="1183" w:type="dxa"/>
            <w:vMerge/>
            <w:shd w:val="clear" w:color="auto" w:fill="auto"/>
          </w:tcPr>
          <w:p w:rsidR="00BD084C" w:rsidRPr="003705FB" w:rsidRDefault="00BD084C" w:rsidP="0085034D">
            <w:pPr>
              <w:spacing w:after="0" w:line="240" w:lineRule="auto"/>
              <w:rPr>
                <w:rFonts w:ascii="Arial" w:hAnsi="Arial" w:cs="Arial"/>
                <w:sz w:val="20"/>
                <w:szCs w:val="20"/>
              </w:rPr>
            </w:pPr>
          </w:p>
        </w:tc>
        <w:tc>
          <w:tcPr>
            <w:tcW w:w="1462" w:type="dxa"/>
            <w:vMerge/>
            <w:shd w:val="clear" w:color="auto" w:fill="auto"/>
          </w:tcPr>
          <w:p w:rsidR="00BD084C" w:rsidRPr="003705FB" w:rsidRDefault="00BD084C" w:rsidP="0085034D">
            <w:pPr>
              <w:spacing w:after="0" w:line="240" w:lineRule="auto"/>
              <w:rPr>
                <w:rFonts w:ascii="Arial" w:hAnsi="Arial" w:cs="Arial"/>
                <w:sz w:val="20"/>
                <w:szCs w:val="20"/>
              </w:rPr>
            </w:pPr>
          </w:p>
        </w:tc>
        <w:tc>
          <w:tcPr>
            <w:tcW w:w="1495" w:type="dxa"/>
            <w:vMerge/>
            <w:shd w:val="clear" w:color="auto" w:fill="auto"/>
          </w:tcPr>
          <w:p w:rsidR="00BD084C" w:rsidRPr="003705FB" w:rsidRDefault="00BD084C" w:rsidP="0085034D">
            <w:pPr>
              <w:spacing w:after="0" w:line="240" w:lineRule="auto"/>
              <w:rPr>
                <w:rFonts w:ascii="Arial" w:hAnsi="Arial" w:cs="Arial"/>
                <w:sz w:val="20"/>
                <w:szCs w:val="20"/>
              </w:rPr>
            </w:pPr>
          </w:p>
        </w:tc>
        <w:tc>
          <w:tcPr>
            <w:tcW w:w="1061" w:type="dxa"/>
            <w:vMerge/>
            <w:shd w:val="clear" w:color="auto" w:fill="auto"/>
          </w:tcPr>
          <w:p w:rsidR="00BD084C" w:rsidRPr="003705FB" w:rsidRDefault="00BD084C" w:rsidP="0085034D">
            <w:pPr>
              <w:spacing w:after="0" w:line="240" w:lineRule="auto"/>
              <w:rPr>
                <w:rFonts w:ascii="Arial" w:hAnsi="Arial" w:cs="Arial"/>
                <w:sz w:val="20"/>
                <w:szCs w:val="20"/>
              </w:rPr>
            </w:pPr>
          </w:p>
        </w:tc>
        <w:tc>
          <w:tcPr>
            <w:tcW w:w="1951" w:type="dxa"/>
            <w:vMerge/>
            <w:shd w:val="clear" w:color="auto" w:fill="auto"/>
          </w:tcPr>
          <w:p w:rsidR="00BD084C" w:rsidRPr="003705FB" w:rsidRDefault="00BD084C" w:rsidP="0085034D">
            <w:pPr>
              <w:spacing w:after="0" w:line="240" w:lineRule="auto"/>
              <w:rPr>
                <w:rFonts w:ascii="Arial" w:hAnsi="Arial" w:cs="Arial"/>
                <w:sz w:val="20"/>
                <w:szCs w:val="20"/>
              </w:rPr>
            </w:pPr>
          </w:p>
        </w:tc>
        <w:tc>
          <w:tcPr>
            <w:tcW w:w="1150" w:type="dxa"/>
            <w:shd w:val="clear" w:color="auto" w:fill="auto"/>
          </w:tcPr>
          <w:p w:rsidR="00BD084C" w:rsidRPr="003705FB" w:rsidRDefault="00BD084C" w:rsidP="0085034D">
            <w:pPr>
              <w:spacing w:after="0" w:line="240" w:lineRule="auto"/>
              <w:rPr>
                <w:rFonts w:ascii="Arial" w:hAnsi="Arial" w:cs="Arial"/>
                <w:sz w:val="20"/>
                <w:szCs w:val="20"/>
              </w:rPr>
            </w:pPr>
          </w:p>
        </w:tc>
        <w:tc>
          <w:tcPr>
            <w:tcW w:w="1350" w:type="dxa"/>
            <w:shd w:val="clear" w:color="auto" w:fill="auto"/>
          </w:tcPr>
          <w:p w:rsidR="00BD084C" w:rsidRPr="003705FB" w:rsidRDefault="00BD084C" w:rsidP="0085034D">
            <w:pPr>
              <w:spacing w:after="0" w:line="240" w:lineRule="auto"/>
              <w:rPr>
                <w:rFonts w:ascii="Arial" w:hAnsi="Arial" w:cs="Arial"/>
                <w:sz w:val="20"/>
                <w:szCs w:val="20"/>
              </w:rPr>
            </w:pPr>
          </w:p>
        </w:tc>
        <w:tc>
          <w:tcPr>
            <w:tcW w:w="1128" w:type="dxa"/>
            <w:shd w:val="clear" w:color="auto" w:fill="auto"/>
          </w:tcPr>
          <w:p w:rsidR="00BD084C" w:rsidRPr="003705FB" w:rsidRDefault="00BD084C" w:rsidP="0085034D">
            <w:pPr>
              <w:spacing w:after="0" w:line="240" w:lineRule="auto"/>
              <w:rPr>
                <w:rFonts w:ascii="Arial" w:hAnsi="Arial" w:cs="Arial"/>
                <w:sz w:val="20"/>
                <w:szCs w:val="20"/>
              </w:rPr>
            </w:pPr>
          </w:p>
        </w:tc>
        <w:tc>
          <w:tcPr>
            <w:tcW w:w="1145" w:type="dxa"/>
            <w:vMerge/>
            <w:shd w:val="clear" w:color="auto" w:fill="auto"/>
          </w:tcPr>
          <w:p w:rsidR="00BD084C" w:rsidRPr="003705FB" w:rsidRDefault="00BD084C" w:rsidP="0085034D">
            <w:pPr>
              <w:spacing w:after="0" w:line="240" w:lineRule="auto"/>
              <w:rPr>
                <w:rFonts w:ascii="Arial" w:hAnsi="Arial" w:cs="Arial"/>
                <w:sz w:val="20"/>
                <w:szCs w:val="20"/>
              </w:rPr>
            </w:pPr>
          </w:p>
        </w:tc>
        <w:tc>
          <w:tcPr>
            <w:tcW w:w="1706" w:type="dxa"/>
          </w:tcPr>
          <w:p w:rsidR="00BD084C" w:rsidRPr="003705FB" w:rsidRDefault="00BD084C" w:rsidP="0085034D">
            <w:pPr>
              <w:spacing w:after="0" w:line="240" w:lineRule="auto"/>
              <w:rPr>
                <w:rFonts w:ascii="Arial" w:hAnsi="Arial" w:cs="Arial"/>
                <w:sz w:val="20"/>
                <w:szCs w:val="20"/>
              </w:rPr>
            </w:pPr>
          </w:p>
        </w:tc>
      </w:tr>
      <w:tr w:rsidR="00BD084C" w:rsidRPr="003705FB" w:rsidTr="0085034D">
        <w:trPr>
          <w:trHeight w:val="279"/>
        </w:trPr>
        <w:tc>
          <w:tcPr>
            <w:tcW w:w="1183" w:type="dxa"/>
            <w:shd w:val="clear" w:color="auto" w:fill="auto"/>
          </w:tcPr>
          <w:p w:rsidR="00BD084C" w:rsidRPr="003705FB" w:rsidRDefault="00BD084C" w:rsidP="0085034D">
            <w:pPr>
              <w:spacing w:after="0" w:line="240" w:lineRule="auto"/>
              <w:rPr>
                <w:rFonts w:ascii="Arial" w:hAnsi="Arial" w:cs="Arial"/>
                <w:b/>
                <w:sz w:val="20"/>
                <w:szCs w:val="20"/>
              </w:rPr>
            </w:pPr>
            <w:proofErr w:type="spellStart"/>
            <w:r w:rsidRPr="003705FB">
              <w:rPr>
                <w:rFonts w:ascii="Arial" w:hAnsi="Arial" w:cs="Arial"/>
                <w:b/>
                <w:sz w:val="20"/>
                <w:szCs w:val="20"/>
              </w:rPr>
              <w:t>Viard</w:t>
            </w:r>
            <w:proofErr w:type="spellEnd"/>
            <w:r w:rsidRPr="003705FB">
              <w:rPr>
                <w:rFonts w:ascii="Arial" w:hAnsi="Arial" w:cs="Arial"/>
                <w:b/>
                <w:sz w:val="20"/>
                <w:szCs w:val="20"/>
              </w:rPr>
              <w:t xml:space="preserve"> </w:t>
            </w:r>
          </w:p>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1998</w:t>
            </w:r>
            <w:r w:rsidRPr="00A74E54">
              <w:rPr>
                <w:rFonts w:ascii="Arial" w:hAnsi="Arial" w:cs="Arial"/>
                <w:noProof/>
                <w:sz w:val="20"/>
                <w:szCs w:val="20"/>
                <w:vertAlign w:val="superscript"/>
              </w:rPr>
              <w:t>12</w:t>
            </w:r>
          </w:p>
        </w:tc>
        <w:tc>
          <w:tcPr>
            <w:tcW w:w="1462"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Multiple</w:t>
            </w:r>
          </w:p>
          <w:p w:rsidR="00BD084C" w:rsidRPr="003705FB" w:rsidRDefault="00BD084C" w:rsidP="0085034D">
            <w:pPr>
              <w:spacing w:after="0" w:line="240" w:lineRule="auto"/>
              <w:rPr>
                <w:rFonts w:ascii="Arial" w:hAnsi="Arial" w:cs="Arial"/>
                <w:sz w:val="20"/>
                <w:szCs w:val="20"/>
              </w:rPr>
            </w:pPr>
            <w:r>
              <w:rPr>
                <w:rFonts w:ascii="Arial" w:hAnsi="Arial" w:cs="Arial"/>
                <w:sz w:val="20"/>
                <w:szCs w:val="20"/>
              </w:rPr>
              <w:t>c</w:t>
            </w:r>
            <w:r w:rsidRPr="003705FB">
              <w:rPr>
                <w:rFonts w:ascii="Arial" w:hAnsi="Arial" w:cs="Arial"/>
                <w:sz w:val="20"/>
                <w:szCs w:val="20"/>
              </w:rPr>
              <w:t>entres</w:t>
            </w:r>
          </w:p>
        </w:tc>
        <w:tc>
          <w:tcPr>
            <w:tcW w:w="149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Prospective</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Case series</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Non-controlled</w:t>
            </w:r>
          </w:p>
        </w:tc>
        <w:tc>
          <w:tcPr>
            <w:tcW w:w="1061"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TEN (10)</w:t>
            </w:r>
          </w:p>
        </w:tc>
        <w:tc>
          <w:tcPr>
            <w:tcW w:w="1951"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0.2-0.75 g/kg/d for 4 days</w:t>
            </w:r>
          </w:p>
        </w:tc>
        <w:tc>
          <w:tcPr>
            <w:tcW w:w="11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0/10 (0%)</w:t>
            </w:r>
          </w:p>
        </w:tc>
        <w:tc>
          <w:tcPr>
            <w:tcW w:w="13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Not applicable</w:t>
            </w:r>
          </w:p>
        </w:tc>
        <w:tc>
          <w:tcPr>
            <w:tcW w:w="1128"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Effective</w:t>
            </w:r>
          </w:p>
        </w:tc>
        <w:tc>
          <w:tcPr>
            <w:tcW w:w="114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3</w:t>
            </w:r>
          </w:p>
        </w:tc>
        <w:tc>
          <w:tcPr>
            <w:tcW w:w="1706" w:type="dxa"/>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 xml:space="preserve">Variable </w:t>
            </w:r>
            <w:proofErr w:type="spellStart"/>
            <w:r w:rsidRPr="003705FB">
              <w:rPr>
                <w:rFonts w:ascii="Arial" w:hAnsi="Arial" w:cs="Arial"/>
                <w:sz w:val="20"/>
                <w:szCs w:val="20"/>
              </w:rPr>
              <w:t>IVIg</w:t>
            </w:r>
            <w:proofErr w:type="spellEnd"/>
            <w:r w:rsidRPr="003705FB">
              <w:rPr>
                <w:rFonts w:ascii="Arial" w:hAnsi="Arial" w:cs="Arial"/>
                <w:sz w:val="20"/>
                <w:szCs w:val="20"/>
              </w:rPr>
              <w:t xml:space="preserve"> dosing</w:t>
            </w:r>
          </w:p>
        </w:tc>
      </w:tr>
      <w:tr w:rsidR="00BD084C" w:rsidRPr="003705FB" w:rsidTr="0085034D">
        <w:trPr>
          <w:trHeight w:val="279"/>
        </w:trPr>
        <w:tc>
          <w:tcPr>
            <w:tcW w:w="1183" w:type="dxa"/>
            <w:shd w:val="clear" w:color="auto" w:fill="auto"/>
          </w:tcPr>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 xml:space="preserve">Stella </w:t>
            </w:r>
          </w:p>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2001</w:t>
            </w:r>
            <w:r w:rsidRPr="00F0553C">
              <w:rPr>
                <w:rFonts w:ascii="Arial" w:hAnsi="Arial" w:cs="Arial"/>
                <w:noProof/>
                <w:sz w:val="20"/>
                <w:szCs w:val="20"/>
                <w:vertAlign w:val="superscript"/>
              </w:rPr>
              <w:t>94</w:t>
            </w:r>
          </w:p>
        </w:tc>
        <w:tc>
          <w:tcPr>
            <w:tcW w:w="1462"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Single burns unit</w:t>
            </w:r>
          </w:p>
        </w:tc>
        <w:tc>
          <w:tcPr>
            <w:tcW w:w="149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Prospective</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Case series</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Non-controlled</w:t>
            </w:r>
          </w:p>
        </w:tc>
        <w:tc>
          <w:tcPr>
            <w:tcW w:w="1061" w:type="dxa"/>
            <w:shd w:val="clear" w:color="auto" w:fill="auto"/>
          </w:tcPr>
          <w:p w:rsidR="00BD084C" w:rsidRPr="004E684C" w:rsidRDefault="00BD084C" w:rsidP="0085034D">
            <w:pPr>
              <w:spacing w:after="0" w:line="240" w:lineRule="auto"/>
              <w:rPr>
                <w:rFonts w:ascii="Arial" w:hAnsi="Arial" w:cs="Arial"/>
                <w:sz w:val="20"/>
                <w:szCs w:val="20"/>
                <w:lang w:val="de-DE"/>
              </w:rPr>
            </w:pPr>
            <w:r w:rsidRPr="004E684C">
              <w:rPr>
                <w:rFonts w:ascii="Arial" w:hAnsi="Arial" w:cs="Arial"/>
                <w:sz w:val="20"/>
                <w:szCs w:val="20"/>
                <w:lang w:val="de-DE"/>
              </w:rPr>
              <w:t>SJS (1)</w:t>
            </w:r>
          </w:p>
          <w:p w:rsidR="00BD084C" w:rsidRPr="004E684C" w:rsidRDefault="00BD084C" w:rsidP="0085034D">
            <w:pPr>
              <w:spacing w:after="0" w:line="240" w:lineRule="auto"/>
              <w:rPr>
                <w:rFonts w:ascii="Arial" w:hAnsi="Arial" w:cs="Arial"/>
                <w:sz w:val="20"/>
                <w:szCs w:val="20"/>
                <w:lang w:val="de-DE"/>
              </w:rPr>
            </w:pPr>
            <w:r w:rsidRPr="004E684C">
              <w:rPr>
                <w:rFonts w:ascii="Arial" w:hAnsi="Arial" w:cs="Arial"/>
                <w:sz w:val="20"/>
                <w:szCs w:val="20"/>
                <w:lang w:val="de-DE"/>
              </w:rPr>
              <w:t>Overlap SJS/TEN (7)</w:t>
            </w:r>
          </w:p>
          <w:p w:rsidR="00BD084C" w:rsidRPr="004E684C" w:rsidRDefault="00BD084C" w:rsidP="0085034D">
            <w:pPr>
              <w:spacing w:after="0" w:line="240" w:lineRule="auto"/>
              <w:rPr>
                <w:rFonts w:ascii="Arial" w:hAnsi="Arial" w:cs="Arial"/>
                <w:sz w:val="20"/>
                <w:szCs w:val="20"/>
                <w:lang w:val="de-DE"/>
              </w:rPr>
            </w:pPr>
            <w:r w:rsidRPr="004E684C">
              <w:rPr>
                <w:rFonts w:ascii="Arial" w:hAnsi="Arial" w:cs="Arial"/>
                <w:sz w:val="20"/>
                <w:szCs w:val="20"/>
                <w:lang w:val="de-DE"/>
              </w:rPr>
              <w:t>TEN (1)</w:t>
            </w:r>
          </w:p>
        </w:tc>
        <w:tc>
          <w:tcPr>
            <w:tcW w:w="1951"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0.6-0.7 g/kg/d for 4 days</w:t>
            </w:r>
          </w:p>
        </w:tc>
        <w:tc>
          <w:tcPr>
            <w:tcW w:w="11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1/9 (11%)</w:t>
            </w:r>
          </w:p>
        </w:tc>
        <w:tc>
          <w:tcPr>
            <w:tcW w:w="13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Not applicable</w:t>
            </w:r>
          </w:p>
        </w:tc>
        <w:tc>
          <w:tcPr>
            <w:tcW w:w="1128"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Effective</w:t>
            </w:r>
          </w:p>
        </w:tc>
        <w:tc>
          <w:tcPr>
            <w:tcW w:w="114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3</w:t>
            </w:r>
          </w:p>
        </w:tc>
        <w:tc>
          <w:tcPr>
            <w:tcW w:w="1706" w:type="dxa"/>
          </w:tcPr>
          <w:p w:rsidR="00BD084C" w:rsidRPr="003705FB" w:rsidRDefault="00BD084C" w:rsidP="0085034D">
            <w:pPr>
              <w:spacing w:after="0" w:line="240" w:lineRule="auto"/>
              <w:rPr>
                <w:rFonts w:ascii="Arial" w:hAnsi="Arial" w:cs="Arial"/>
                <w:sz w:val="20"/>
                <w:szCs w:val="20"/>
              </w:rPr>
            </w:pPr>
          </w:p>
        </w:tc>
      </w:tr>
      <w:tr w:rsidR="00BD084C" w:rsidRPr="003705FB" w:rsidTr="0085034D">
        <w:trPr>
          <w:trHeight w:val="279"/>
        </w:trPr>
        <w:tc>
          <w:tcPr>
            <w:tcW w:w="1183" w:type="dxa"/>
            <w:shd w:val="clear" w:color="auto" w:fill="auto"/>
          </w:tcPr>
          <w:p w:rsidR="00BD084C" w:rsidRPr="003705FB" w:rsidRDefault="00BD084C" w:rsidP="0085034D">
            <w:pPr>
              <w:spacing w:after="0" w:line="240" w:lineRule="auto"/>
              <w:rPr>
                <w:rFonts w:ascii="Arial" w:hAnsi="Arial" w:cs="Arial"/>
                <w:b/>
                <w:sz w:val="20"/>
                <w:szCs w:val="20"/>
              </w:rPr>
            </w:pPr>
            <w:proofErr w:type="spellStart"/>
            <w:r w:rsidRPr="003705FB">
              <w:rPr>
                <w:rFonts w:ascii="Arial" w:hAnsi="Arial" w:cs="Arial"/>
                <w:b/>
                <w:sz w:val="20"/>
                <w:szCs w:val="20"/>
              </w:rPr>
              <w:t>Bachot</w:t>
            </w:r>
            <w:proofErr w:type="spellEnd"/>
            <w:r w:rsidRPr="003705FB">
              <w:rPr>
                <w:rFonts w:ascii="Arial" w:hAnsi="Arial" w:cs="Arial"/>
                <w:b/>
                <w:sz w:val="20"/>
                <w:szCs w:val="20"/>
              </w:rPr>
              <w:t xml:space="preserve"> </w:t>
            </w:r>
          </w:p>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2003</w:t>
            </w:r>
            <w:r w:rsidRPr="00F0553C">
              <w:rPr>
                <w:rFonts w:ascii="Arial" w:hAnsi="Arial" w:cs="Arial"/>
                <w:noProof/>
                <w:sz w:val="20"/>
                <w:szCs w:val="20"/>
                <w:vertAlign w:val="superscript"/>
              </w:rPr>
              <w:t>97</w:t>
            </w:r>
          </w:p>
        </w:tc>
        <w:tc>
          <w:tcPr>
            <w:tcW w:w="1462"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Single derm</w:t>
            </w:r>
            <w:r>
              <w:rPr>
                <w:rFonts w:ascii="Arial" w:hAnsi="Arial" w:cs="Arial"/>
                <w:sz w:val="20"/>
                <w:szCs w:val="20"/>
              </w:rPr>
              <w:t>atology</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 xml:space="preserve">HDU </w:t>
            </w:r>
          </w:p>
        </w:tc>
        <w:tc>
          <w:tcPr>
            <w:tcW w:w="149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Prospective</w:t>
            </w:r>
          </w:p>
          <w:p w:rsidR="00BD084C" w:rsidRPr="003705FB" w:rsidRDefault="00BD084C" w:rsidP="0085034D">
            <w:pPr>
              <w:spacing w:after="0" w:line="240" w:lineRule="auto"/>
              <w:rPr>
                <w:rFonts w:ascii="Arial" w:hAnsi="Arial" w:cs="Arial"/>
                <w:sz w:val="20"/>
                <w:szCs w:val="20"/>
                <w:highlight w:val="yellow"/>
              </w:rPr>
            </w:pPr>
            <w:r w:rsidRPr="003705FB">
              <w:rPr>
                <w:rFonts w:ascii="Arial" w:hAnsi="Arial" w:cs="Arial"/>
                <w:sz w:val="20"/>
                <w:szCs w:val="20"/>
              </w:rPr>
              <w:t>case series with SCORTEN-predicted mortality as comparator</w:t>
            </w:r>
          </w:p>
        </w:tc>
        <w:tc>
          <w:tcPr>
            <w:tcW w:w="1061" w:type="dxa"/>
            <w:shd w:val="clear" w:color="auto" w:fill="auto"/>
          </w:tcPr>
          <w:p w:rsidR="00BD084C" w:rsidRPr="004E684C" w:rsidRDefault="00BD084C" w:rsidP="0085034D">
            <w:pPr>
              <w:spacing w:after="0" w:line="240" w:lineRule="auto"/>
              <w:rPr>
                <w:rFonts w:ascii="Arial" w:hAnsi="Arial" w:cs="Arial"/>
                <w:sz w:val="20"/>
                <w:szCs w:val="20"/>
                <w:lang w:val="de-DE"/>
              </w:rPr>
            </w:pPr>
            <w:r w:rsidRPr="004E684C">
              <w:rPr>
                <w:rFonts w:ascii="Arial" w:hAnsi="Arial" w:cs="Arial"/>
                <w:sz w:val="20"/>
                <w:szCs w:val="20"/>
                <w:lang w:val="de-DE"/>
              </w:rPr>
              <w:t>SJS (9)</w:t>
            </w:r>
          </w:p>
          <w:p w:rsidR="00BD084C" w:rsidRPr="004E684C" w:rsidRDefault="00BD084C" w:rsidP="0085034D">
            <w:pPr>
              <w:spacing w:after="0" w:line="240" w:lineRule="auto"/>
              <w:rPr>
                <w:rFonts w:ascii="Arial" w:hAnsi="Arial" w:cs="Arial"/>
                <w:sz w:val="20"/>
                <w:szCs w:val="20"/>
                <w:lang w:val="de-DE"/>
              </w:rPr>
            </w:pPr>
            <w:r w:rsidRPr="004E684C">
              <w:rPr>
                <w:rFonts w:ascii="Arial" w:hAnsi="Arial" w:cs="Arial"/>
                <w:sz w:val="20"/>
                <w:szCs w:val="20"/>
                <w:lang w:val="de-DE"/>
              </w:rPr>
              <w:t xml:space="preserve">Overlap </w:t>
            </w:r>
          </w:p>
          <w:p w:rsidR="00BD084C" w:rsidRPr="004E684C" w:rsidRDefault="00BD084C" w:rsidP="0085034D">
            <w:pPr>
              <w:spacing w:after="0" w:line="240" w:lineRule="auto"/>
              <w:rPr>
                <w:rFonts w:ascii="Arial" w:hAnsi="Arial" w:cs="Arial"/>
                <w:sz w:val="20"/>
                <w:szCs w:val="20"/>
                <w:lang w:val="de-DE"/>
              </w:rPr>
            </w:pPr>
            <w:r w:rsidRPr="004E684C">
              <w:rPr>
                <w:rFonts w:ascii="Arial" w:hAnsi="Arial" w:cs="Arial"/>
                <w:sz w:val="20"/>
                <w:szCs w:val="20"/>
                <w:lang w:val="de-DE"/>
              </w:rPr>
              <w:t>SJS/TEN (5)</w:t>
            </w:r>
          </w:p>
          <w:p w:rsidR="00BD084C" w:rsidRPr="004E684C" w:rsidRDefault="00BD084C" w:rsidP="0085034D">
            <w:pPr>
              <w:spacing w:after="0" w:line="240" w:lineRule="auto"/>
              <w:rPr>
                <w:rFonts w:ascii="Arial" w:hAnsi="Arial" w:cs="Arial"/>
                <w:sz w:val="20"/>
                <w:szCs w:val="20"/>
                <w:lang w:val="de-DE"/>
              </w:rPr>
            </w:pPr>
            <w:r w:rsidRPr="004E684C">
              <w:rPr>
                <w:rFonts w:ascii="Arial" w:hAnsi="Arial" w:cs="Arial"/>
                <w:sz w:val="20"/>
                <w:szCs w:val="20"/>
                <w:lang w:val="de-DE"/>
              </w:rPr>
              <w:t>TEN (20)</w:t>
            </w:r>
          </w:p>
        </w:tc>
        <w:tc>
          <w:tcPr>
            <w:tcW w:w="1951"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2 g/kg given over 2 days</w:t>
            </w:r>
          </w:p>
        </w:tc>
        <w:tc>
          <w:tcPr>
            <w:tcW w:w="11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11/34 (32%)</w:t>
            </w:r>
          </w:p>
        </w:tc>
        <w:tc>
          <w:tcPr>
            <w:tcW w:w="13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SCORTEN-predicted mortality</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8.2/34 (24%)</w:t>
            </w:r>
          </w:p>
        </w:tc>
        <w:tc>
          <w:tcPr>
            <w:tcW w:w="1128"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Ineffective</w:t>
            </w:r>
          </w:p>
        </w:tc>
        <w:tc>
          <w:tcPr>
            <w:tcW w:w="114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3</w:t>
            </w:r>
          </w:p>
        </w:tc>
        <w:tc>
          <w:tcPr>
            <w:tcW w:w="1706" w:type="dxa"/>
          </w:tcPr>
          <w:p w:rsidR="00BD084C" w:rsidRPr="003705FB" w:rsidRDefault="00BD084C" w:rsidP="0085034D">
            <w:pPr>
              <w:spacing w:after="0" w:line="240" w:lineRule="auto"/>
              <w:rPr>
                <w:rFonts w:ascii="Arial" w:hAnsi="Arial" w:cs="Arial"/>
                <w:sz w:val="20"/>
                <w:szCs w:val="20"/>
              </w:rPr>
            </w:pPr>
          </w:p>
        </w:tc>
      </w:tr>
      <w:tr w:rsidR="00BD084C" w:rsidRPr="003705FB" w:rsidTr="0085034D">
        <w:trPr>
          <w:trHeight w:val="279"/>
        </w:trPr>
        <w:tc>
          <w:tcPr>
            <w:tcW w:w="1183" w:type="dxa"/>
            <w:shd w:val="clear" w:color="auto" w:fill="auto"/>
          </w:tcPr>
          <w:p w:rsidR="00BD084C" w:rsidRPr="003705FB" w:rsidRDefault="00BD084C" w:rsidP="0085034D">
            <w:pPr>
              <w:spacing w:after="0" w:line="240" w:lineRule="auto"/>
              <w:rPr>
                <w:rFonts w:ascii="Arial" w:hAnsi="Arial" w:cs="Arial"/>
                <w:b/>
                <w:sz w:val="20"/>
                <w:szCs w:val="20"/>
              </w:rPr>
            </w:pPr>
            <w:proofErr w:type="spellStart"/>
            <w:r w:rsidRPr="003705FB">
              <w:rPr>
                <w:rFonts w:ascii="Arial" w:hAnsi="Arial" w:cs="Arial"/>
                <w:b/>
                <w:sz w:val="20"/>
                <w:szCs w:val="20"/>
              </w:rPr>
              <w:t>Campione</w:t>
            </w:r>
            <w:proofErr w:type="spellEnd"/>
            <w:r w:rsidRPr="003705FB">
              <w:rPr>
                <w:rFonts w:ascii="Arial" w:hAnsi="Arial" w:cs="Arial"/>
                <w:b/>
                <w:sz w:val="20"/>
                <w:szCs w:val="20"/>
              </w:rPr>
              <w:t xml:space="preserve"> </w:t>
            </w:r>
          </w:p>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2003</w:t>
            </w:r>
            <w:r w:rsidRPr="00F0553C">
              <w:rPr>
                <w:rFonts w:ascii="Arial" w:hAnsi="Arial" w:cs="Arial"/>
                <w:noProof/>
                <w:sz w:val="20"/>
                <w:szCs w:val="20"/>
                <w:vertAlign w:val="superscript"/>
              </w:rPr>
              <w:t>98</w:t>
            </w:r>
          </w:p>
        </w:tc>
        <w:tc>
          <w:tcPr>
            <w:tcW w:w="1462"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Single derm</w:t>
            </w:r>
            <w:r>
              <w:rPr>
                <w:rFonts w:ascii="Arial" w:hAnsi="Arial" w:cs="Arial"/>
                <w:sz w:val="20"/>
                <w:szCs w:val="20"/>
              </w:rPr>
              <w:t>atology</w:t>
            </w:r>
            <w:r w:rsidRPr="003705FB">
              <w:rPr>
                <w:rFonts w:ascii="Arial" w:hAnsi="Arial" w:cs="Arial"/>
                <w:sz w:val="20"/>
                <w:szCs w:val="20"/>
              </w:rPr>
              <w:t xml:space="preserve"> </w:t>
            </w:r>
            <w:r>
              <w:rPr>
                <w:rFonts w:ascii="Arial" w:hAnsi="Arial" w:cs="Arial"/>
                <w:sz w:val="20"/>
                <w:szCs w:val="20"/>
              </w:rPr>
              <w:t>u</w:t>
            </w:r>
            <w:r w:rsidRPr="003705FB">
              <w:rPr>
                <w:rFonts w:ascii="Arial" w:hAnsi="Arial" w:cs="Arial"/>
                <w:sz w:val="20"/>
                <w:szCs w:val="20"/>
              </w:rPr>
              <w:t>nit</w:t>
            </w:r>
          </w:p>
        </w:tc>
        <w:tc>
          <w:tcPr>
            <w:tcW w:w="149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Retrospective case series with SCORTEN-predicted mortality as comparator</w:t>
            </w:r>
          </w:p>
        </w:tc>
        <w:tc>
          <w:tcPr>
            <w:tcW w:w="1061"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TEN (10)</w:t>
            </w:r>
          </w:p>
        </w:tc>
        <w:tc>
          <w:tcPr>
            <w:tcW w:w="1951"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2 g/kg given over 5 days</w:t>
            </w:r>
          </w:p>
        </w:tc>
        <w:tc>
          <w:tcPr>
            <w:tcW w:w="11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1/10 (10%)</w:t>
            </w:r>
          </w:p>
        </w:tc>
        <w:tc>
          <w:tcPr>
            <w:tcW w:w="13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SCORTEN-predicted mortality</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3.5/10 (35%)</w:t>
            </w:r>
          </w:p>
        </w:tc>
        <w:tc>
          <w:tcPr>
            <w:tcW w:w="1128"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 xml:space="preserve">Effective </w:t>
            </w:r>
          </w:p>
        </w:tc>
        <w:tc>
          <w:tcPr>
            <w:tcW w:w="114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3</w:t>
            </w:r>
          </w:p>
        </w:tc>
        <w:tc>
          <w:tcPr>
            <w:tcW w:w="1706" w:type="dxa"/>
          </w:tcPr>
          <w:p w:rsidR="00BD084C" w:rsidRPr="003705FB" w:rsidRDefault="00BD084C" w:rsidP="0085034D">
            <w:pPr>
              <w:spacing w:after="0" w:line="240" w:lineRule="auto"/>
              <w:rPr>
                <w:rFonts w:ascii="Arial" w:hAnsi="Arial" w:cs="Arial"/>
                <w:sz w:val="20"/>
                <w:szCs w:val="20"/>
              </w:rPr>
            </w:pPr>
          </w:p>
        </w:tc>
      </w:tr>
      <w:tr w:rsidR="00BD084C" w:rsidRPr="003705FB" w:rsidTr="0085034D">
        <w:trPr>
          <w:trHeight w:val="279"/>
        </w:trPr>
        <w:tc>
          <w:tcPr>
            <w:tcW w:w="1183" w:type="dxa"/>
            <w:shd w:val="clear" w:color="auto" w:fill="auto"/>
          </w:tcPr>
          <w:p w:rsidR="00BD084C" w:rsidRPr="003705FB" w:rsidRDefault="00BD084C" w:rsidP="0085034D">
            <w:pPr>
              <w:spacing w:after="0" w:line="240" w:lineRule="auto"/>
              <w:rPr>
                <w:rFonts w:ascii="Arial" w:hAnsi="Arial" w:cs="Arial"/>
                <w:b/>
                <w:sz w:val="20"/>
                <w:szCs w:val="20"/>
              </w:rPr>
            </w:pPr>
            <w:proofErr w:type="spellStart"/>
            <w:r w:rsidRPr="003705FB">
              <w:rPr>
                <w:rFonts w:ascii="Arial" w:hAnsi="Arial" w:cs="Arial"/>
                <w:b/>
                <w:sz w:val="20"/>
                <w:szCs w:val="20"/>
              </w:rPr>
              <w:t>Prins</w:t>
            </w:r>
            <w:proofErr w:type="spellEnd"/>
            <w:r w:rsidRPr="003705FB">
              <w:rPr>
                <w:rFonts w:ascii="Arial" w:hAnsi="Arial" w:cs="Arial"/>
                <w:b/>
                <w:sz w:val="20"/>
                <w:szCs w:val="20"/>
              </w:rPr>
              <w:t xml:space="preserve"> </w:t>
            </w:r>
          </w:p>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2003</w:t>
            </w:r>
            <w:r w:rsidRPr="00F0553C">
              <w:rPr>
                <w:rFonts w:ascii="Arial" w:hAnsi="Arial" w:cs="Arial"/>
                <w:noProof/>
                <w:sz w:val="20"/>
                <w:szCs w:val="20"/>
                <w:vertAlign w:val="superscript"/>
              </w:rPr>
              <w:t>96</w:t>
            </w:r>
          </w:p>
        </w:tc>
        <w:tc>
          <w:tcPr>
            <w:tcW w:w="1462"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Multiple centres</w:t>
            </w:r>
          </w:p>
        </w:tc>
        <w:tc>
          <w:tcPr>
            <w:tcW w:w="149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Retrospective</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 xml:space="preserve">Case series (including previously reported cases, from 3 </w:t>
            </w:r>
            <w:r w:rsidRPr="003705FB">
              <w:rPr>
                <w:rFonts w:ascii="Arial" w:hAnsi="Arial" w:cs="Arial"/>
                <w:sz w:val="20"/>
                <w:szCs w:val="20"/>
              </w:rPr>
              <w:lastRenderedPageBreak/>
              <w:t>other studies)</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Non-controlled</w:t>
            </w:r>
          </w:p>
          <w:p w:rsidR="00BD084C" w:rsidRPr="003705FB" w:rsidRDefault="00BD084C" w:rsidP="0085034D">
            <w:pPr>
              <w:spacing w:after="0" w:line="240" w:lineRule="auto"/>
              <w:rPr>
                <w:rFonts w:ascii="Arial" w:hAnsi="Arial" w:cs="Arial"/>
                <w:sz w:val="20"/>
                <w:szCs w:val="20"/>
              </w:rPr>
            </w:pPr>
          </w:p>
        </w:tc>
        <w:tc>
          <w:tcPr>
            <w:tcW w:w="1061" w:type="dxa"/>
            <w:shd w:val="clear" w:color="auto" w:fill="auto"/>
          </w:tcPr>
          <w:p w:rsidR="00BD084C" w:rsidRPr="003705FB" w:rsidRDefault="00BD084C" w:rsidP="0085034D">
            <w:pPr>
              <w:spacing w:after="0" w:line="240" w:lineRule="auto"/>
              <w:rPr>
                <w:rFonts w:ascii="Arial" w:hAnsi="Arial" w:cs="Arial"/>
                <w:sz w:val="20"/>
                <w:szCs w:val="20"/>
              </w:rPr>
            </w:pPr>
            <w:r>
              <w:rPr>
                <w:rFonts w:ascii="Arial" w:hAnsi="Arial" w:cs="Arial"/>
                <w:sz w:val="20"/>
                <w:szCs w:val="20"/>
              </w:rPr>
              <w:lastRenderedPageBreak/>
              <w:t xml:space="preserve">Overlap </w:t>
            </w:r>
            <w:r w:rsidRPr="003705FB">
              <w:rPr>
                <w:rFonts w:ascii="Arial" w:hAnsi="Arial" w:cs="Arial"/>
                <w:sz w:val="20"/>
                <w:szCs w:val="20"/>
              </w:rPr>
              <w:t>SJS/TEN (7)</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TEN (41)</w:t>
            </w:r>
          </w:p>
        </w:tc>
        <w:tc>
          <w:tcPr>
            <w:tcW w:w="1951"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Mean 0.7 g/kg/d for 4 days</w:t>
            </w:r>
          </w:p>
        </w:tc>
        <w:tc>
          <w:tcPr>
            <w:tcW w:w="11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6/48 (13%)</w:t>
            </w:r>
          </w:p>
        </w:tc>
        <w:tc>
          <w:tcPr>
            <w:tcW w:w="13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Not applicable</w:t>
            </w:r>
          </w:p>
        </w:tc>
        <w:tc>
          <w:tcPr>
            <w:tcW w:w="1128"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Effective</w:t>
            </w:r>
          </w:p>
        </w:tc>
        <w:tc>
          <w:tcPr>
            <w:tcW w:w="114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3</w:t>
            </w:r>
          </w:p>
        </w:tc>
        <w:tc>
          <w:tcPr>
            <w:tcW w:w="1706" w:type="dxa"/>
          </w:tcPr>
          <w:p w:rsidR="00BD084C" w:rsidRPr="00973060" w:rsidRDefault="00BD084C" w:rsidP="0085034D">
            <w:pPr>
              <w:spacing w:after="0" w:line="240" w:lineRule="auto"/>
              <w:rPr>
                <w:rFonts w:ascii="Arial" w:hAnsi="Arial" w:cs="Arial"/>
                <w:sz w:val="20"/>
                <w:szCs w:val="20"/>
              </w:rPr>
            </w:pPr>
            <w:r w:rsidRPr="003705FB">
              <w:rPr>
                <w:rFonts w:ascii="Arial" w:hAnsi="Arial" w:cs="Arial"/>
                <w:sz w:val="20"/>
                <w:szCs w:val="20"/>
              </w:rPr>
              <w:t xml:space="preserve">Duplicated cases from </w:t>
            </w:r>
            <w:proofErr w:type="spellStart"/>
            <w:r w:rsidRPr="003705FB">
              <w:rPr>
                <w:rFonts w:ascii="Arial" w:hAnsi="Arial" w:cs="Arial"/>
                <w:sz w:val="20"/>
                <w:szCs w:val="20"/>
              </w:rPr>
              <w:t>Viard</w:t>
            </w:r>
            <w:proofErr w:type="spellEnd"/>
            <w:r>
              <w:rPr>
                <w:rFonts w:ascii="Arial" w:hAnsi="Arial" w:cs="Arial"/>
                <w:sz w:val="20"/>
                <w:szCs w:val="20"/>
              </w:rPr>
              <w:t xml:space="preserve"> </w:t>
            </w:r>
            <w:r>
              <w:rPr>
                <w:rFonts w:ascii="Arial" w:hAnsi="Arial" w:cs="Arial"/>
                <w:i/>
                <w:sz w:val="20"/>
                <w:szCs w:val="20"/>
              </w:rPr>
              <w:t xml:space="preserve">et al </w:t>
            </w:r>
            <w:r>
              <w:rPr>
                <w:rFonts w:ascii="Arial" w:hAnsi="Arial" w:cs="Arial"/>
                <w:sz w:val="20"/>
                <w:szCs w:val="20"/>
              </w:rPr>
              <w:t xml:space="preserve"> 1998</w:t>
            </w:r>
            <w:r w:rsidRPr="003705FB">
              <w:rPr>
                <w:rFonts w:ascii="Arial" w:hAnsi="Arial" w:cs="Arial"/>
                <w:sz w:val="20"/>
                <w:szCs w:val="20"/>
              </w:rPr>
              <w:t>,</w:t>
            </w:r>
            <w:r w:rsidRPr="00A74E54">
              <w:rPr>
                <w:rFonts w:ascii="Arial" w:hAnsi="Arial" w:cs="Arial"/>
                <w:noProof/>
                <w:sz w:val="20"/>
                <w:szCs w:val="20"/>
                <w:vertAlign w:val="superscript"/>
              </w:rPr>
              <w:t>12</w:t>
            </w:r>
            <w:r w:rsidRPr="003705FB">
              <w:rPr>
                <w:rFonts w:ascii="Arial" w:hAnsi="Arial" w:cs="Arial"/>
                <w:sz w:val="20"/>
                <w:szCs w:val="20"/>
              </w:rPr>
              <w:t xml:space="preserve"> </w:t>
            </w:r>
            <w:proofErr w:type="spellStart"/>
            <w:r w:rsidRPr="003705FB">
              <w:rPr>
                <w:rFonts w:ascii="Arial" w:hAnsi="Arial" w:cs="Arial"/>
                <w:sz w:val="20"/>
                <w:szCs w:val="20"/>
              </w:rPr>
              <w:t>Campione</w:t>
            </w:r>
            <w:proofErr w:type="spellEnd"/>
            <w:r>
              <w:rPr>
                <w:rFonts w:ascii="Arial" w:hAnsi="Arial" w:cs="Arial"/>
                <w:sz w:val="20"/>
                <w:szCs w:val="20"/>
              </w:rPr>
              <w:t xml:space="preserve"> </w:t>
            </w:r>
            <w:r>
              <w:rPr>
                <w:rFonts w:ascii="Arial" w:hAnsi="Arial" w:cs="Arial"/>
                <w:i/>
                <w:sz w:val="20"/>
                <w:szCs w:val="20"/>
              </w:rPr>
              <w:t xml:space="preserve">et al </w:t>
            </w:r>
            <w:r>
              <w:rPr>
                <w:rFonts w:ascii="Arial" w:hAnsi="Arial" w:cs="Arial"/>
                <w:sz w:val="20"/>
                <w:szCs w:val="20"/>
              </w:rPr>
              <w:t>2003</w:t>
            </w:r>
            <w:r w:rsidRPr="00F0553C">
              <w:rPr>
                <w:rFonts w:ascii="Arial" w:hAnsi="Arial" w:cs="Arial"/>
                <w:noProof/>
                <w:sz w:val="20"/>
                <w:szCs w:val="20"/>
                <w:vertAlign w:val="superscript"/>
              </w:rPr>
              <w:t>98</w:t>
            </w:r>
            <w:r w:rsidRPr="003705FB">
              <w:rPr>
                <w:rFonts w:ascii="Arial" w:hAnsi="Arial" w:cs="Arial"/>
                <w:sz w:val="20"/>
                <w:szCs w:val="20"/>
              </w:rPr>
              <w:t xml:space="preserve"> and </w:t>
            </w:r>
            <w:r w:rsidRPr="003705FB">
              <w:rPr>
                <w:rFonts w:ascii="Arial" w:hAnsi="Arial" w:cs="Arial"/>
                <w:sz w:val="20"/>
                <w:szCs w:val="20"/>
              </w:rPr>
              <w:lastRenderedPageBreak/>
              <w:t>Trent</w:t>
            </w:r>
            <w:r>
              <w:rPr>
                <w:rFonts w:ascii="Arial" w:hAnsi="Arial" w:cs="Arial"/>
                <w:i/>
                <w:sz w:val="20"/>
                <w:szCs w:val="20"/>
              </w:rPr>
              <w:t xml:space="preserve"> et al </w:t>
            </w:r>
            <w:r>
              <w:rPr>
                <w:rFonts w:ascii="Arial" w:hAnsi="Arial" w:cs="Arial"/>
                <w:sz w:val="20"/>
                <w:szCs w:val="20"/>
              </w:rPr>
              <w:t>2003</w:t>
            </w:r>
            <w:r w:rsidRPr="00F0553C">
              <w:rPr>
                <w:rFonts w:ascii="Arial" w:hAnsi="Arial" w:cs="Arial"/>
                <w:noProof/>
                <w:sz w:val="20"/>
                <w:szCs w:val="20"/>
                <w:vertAlign w:val="superscript"/>
              </w:rPr>
              <w:t>95</w:t>
            </w:r>
          </w:p>
        </w:tc>
      </w:tr>
      <w:tr w:rsidR="00BD084C" w:rsidRPr="003705FB" w:rsidTr="0085034D">
        <w:trPr>
          <w:trHeight w:val="279"/>
        </w:trPr>
        <w:tc>
          <w:tcPr>
            <w:tcW w:w="1183" w:type="dxa"/>
            <w:shd w:val="clear" w:color="auto" w:fill="auto"/>
          </w:tcPr>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lastRenderedPageBreak/>
              <w:t xml:space="preserve">Trent </w:t>
            </w:r>
          </w:p>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2003</w:t>
            </w:r>
            <w:r w:rsidRPr="00F0553C">
              <w:rPr>
                <w:rFonts w:ascii="Arial" w:hAnsi="Arial" w:cs="Arial"/>
                <w:noProof/>
                <w:sz w:val="20"/>
                <w:szCs w:val="20"/>
                <w:vertAlign w:val="superscript"/>
              </w:rPr>
              <w:t>95</w:t>
            </w:r>
          </w:p>
        </w:tc>
        <w:tc>
          <w:tcPr>
            <w:tcW w:w="1462"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Single derm</w:t>
            </w:r>
            <w:r>
              <w:rPr>
                <w:rFonts w:ascii="Arial" w:hAnsi="Arial" w:cs="Arial"/>
                <w:sz w:val="20"/>
                <w:szCs w:val="20"/>
              </w:rPr>
              <w:t>atology</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unit</w:t>
            </w:r>
          </w:p>
        </w:tc>
        <w:tc>
          <w:tcPr>
            <w:tcW w:w="149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Retrospective case series with SCORTEN-predicted mortality as comparator</w:t>
            </w:r>
          </w:p>
        </w:tc>
        <w:tc>
          <w:tcPr>
            <w:tcW w:w="1061" w:type="dxa"/>
            <w:shd w:val="clear" w:color="auto" w:fill="auto"/>
          </w:tcPr>
          <w:p w:rsidR="00BD084C" w:rsidRPr="003705FB" w:rsidRDefault="00BD084C" w:rsidP="0085034D">
            <w:pPr>
              <w:spacing w:after="0" w:line="240" w:lineRule="auto"/>
              <w:rPr>
                <w:rFonts w:ascii="Arial" w:hAnsi="Arial" w:cs="Arial"/>
                <w:sz w:val="20"/>
                <w:szCs w:val="20"/>
              </w:rPr>
            </w:pPr>
            <w:r>
              <w:rPr>
                <w:rFonts w:ascii="Arial" w:hAnsi="Arial" w:cs="Arial"/>
                <w:sz w:val="20"/>
                <w:szCs w:val="20"/>
              </w:rPr>
              <w:t xml:space="preserve">Overlap </w:t>
            </w:r>
            <w:r w:rsidRPr="003705FB">
              <w:rPr>
                <w:rFonts w:ascii="Arial" w:hAnsi="Arial" w:cs="Arial"/>
                <w:sz w:val="20"/>
                <w:szCs w:val="20"/>
              </w:rPr>
              <w:t>SJS/TEN (6)</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TEN (10)</w:t>
            </w:r>
          </w:p>
        </w:tc>
        <w:tc>
          <w:tcPr>
            <w:tcW w:w="1951"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1 g/kg/d for 4 days (n=15)</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0.4 g/kg/d for 4 days (n=1)</w:t>
            </w:r>
          </w:p>
        </w:tc>
        <w:tc>
          <w:tcPr>
            <w:tcW w:w="11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1/16 (6%)</w:t>
            </w:r>
          </w:p>
        </w:tc>
        <w:tc>
          <w:tcPr>
            <w:tcW w:w="13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SCORTEN-predicted mortality</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5.81/16 (36%)</w:t>
            </w:r>
          </w:p>
        </w:tc>
        <w:tc>
          <w:tcPr>
            <w:tcW w:w="1128"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Effective</w:t>
            </w:r>
          </w:p>
        </w:tc>
        <w:tc>
          <w:tcPr>
            <w:tcW w:w="114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3</w:t>
            </w:r>
          </w:p>
        </w:tc>
        <w:tc>
          <w:tcPr>
            <w:tcW w:w="1706" w:type="dxa"/>
          </w:tcPr>
          <w:p w:rsidR="00BD084C" w:rsidRPr="003705FB" w:rsidRDefault="00BD084C" w:rsidP="0085034D">
            <w:pPr>
              <w:spacing w:after="0" w:line="240" w:lineRule="auto"/>
              <w:rPr>
                <w:rFonts w:ascii="Arial" w:hAnsi="Arial" w:cs="Arial"/>
                <w:sz w:val="20"/>
                <w:szCs w:val="20"/>
              </w:rPr>
            </w:pPr>
          </w:p>
        </w:tc>
      </w:tr>
      <w:tr w:rsidR="00BD084C" w:rsidRPr="003705FB" w:rsidTr="0085034D">
        <w:trPr>
          <w:trHeight w:val="279"/>
        </w:trPr>
        <w:tc>
          <w:tcPr>
            <w:tcW w:w="1183" w:type="dxa"/>
            <w:shd w:val="clear" w:color="auto" w:fill="auto"/>
          </w:tcPr>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Al-</w:t>
            </w:r>
            <w:proofErr w:type="spellStart"/>
            <w:r w:rsidRPr="003705FB">
              <w:rPr>
                <w:rFonts w:ascii="Arial" w:hAnsi="Arial" w:cs="Arial"/>
                <w:b/>
                <w:sz w:val="20"/>
                <w:szCs w:val="20"/>
              </w:rPr>
              <w:t>Mutairi</w:t>
            </w:r>
            <w:proofErr w:type="spellEnd"/>
            <w:r w:rsidRPr="003705FB">
              <w:rPr>
                <w:rFonts w:ascii="Arial" w:hAnsi="Arial" w:cs="Arial"/>
                <w:b/>
                <w:sz w:val="20"/>
                <w:szCs w:val="20"/>
              </w:rPr>
              <w:t xml:space="preserve"> 2004</w:t>
            </w:r>
            <w:r w:rsidRPr="00F0553C">
              <w:rPr>
                <w:rFonts w:ascii="Arial" w:hAnsi="Arial" w:cs="Arial"/>
                <w:noProof/>
                <w:sz w:val="20"/>
                <w:szCs w:val="20"/>
                <w:vertAlign w:val="superscript"/>
              </w:rPr>
              <w:t>99</w:t>
            </w:r>
          </w:p>
        </w:tc>
        <w:tc>
          <w:tcPr>
            <w:tcW w:w="1462"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 xml:space="preserve">Single </w:t>
            </w:r>
            <w:r>
              <w:rPr>
                <w:rFonts w:ascii="Arial" w:hAnsi="Arial" w:cs="Arial"/>
                <w:sz w:val="20"/>
                <w:szCs w:val="20"/>
              </w:rPr>
              <w:t>d</w:t>
            </w:r>
            <w:r w:rsidRPr="003705FB">
              <w:rPr>
                <w:rFonts w:ascii="Arial" w:hAnsi="Arial" w:cs="Arial"/>
                <w:sz w:val="20"/>
                <w:szCs w:val="20"/>
              </w:rPr>
              <w:t>erm</w:t>
            </w:r>
            <w:r>
              <w:rPr>
                <w:rFonts w:ascii="Arial" w:hAnsi="Arial" w:cs="Arial"/>
                <w:sz w:val="20"/>
                <w:szCs w:val="20"/>
              </w:rPr>
              <w:t>atology</w:t>
            </w:r>
            <w:r w:rsidRPr="003705FB">
              <w:rPr>
                <w:rFonts w:ascii="Arial" w:hAnsi="Arial" w:cs="Arial"/>
                <w:sz w:val="20"/>
                <w:szCs w:val="20"/>
              </w:rPr>
              <w:t xml:space="preserve"> unit</w:t>
            </w:r>
          </w:p>
        </w:tc>
        <w:tc>
          <w:tcPr>
            <w:tcW w:w="149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Retrospective,  non-controlled</w:t>
            </w:r>
          </w:p>
        </w:tc>
        <w:tc>
          <w:tcPr>
            <w:tcW w:w="1061"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TEN (12)</w:t>
            </w:r>
          </w:p>
        </w:tc>
        <w:tc>
          <w:tcPr>
            <w:tcW w:w="1951"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0.5-1 g/4-5 days</w:t>
            </w:r>
          </w:p>
        </w:tc>
        <w:tc>
          <w:tcPr>
            <w:tcW w:w="11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0/11 (0%)</w:t>
            </w:r>
          </w:p>
        </w:tc>
        <w:tc>
          <w:tcPr>
            <w:tcW w:w="13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Not applicable</w:t>
            </w:r>
          </w:p>
        </w:tc>
        <w:tc>
          <w:tcPr>
            <w:tcW w:w="1128"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 xml:space="preserve">Effective </w:t>
            </w:r>
          </w:p>
        </w:tc>
        <w:tc>
          <w:tcPr>
            <w:tcW w:w="114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3</w:t>
            </w:r>
          </w:p>
        </w:tc>
        <w:tc>
          <w:tcPr>
            <w:tcW w:w="1706" w:type="dxa"/>
          </w:tcPr>
          <w:p w:rsidR="00BD084C" w:rsidRPr="003705FB" w:rsidRDefault="00BD084C" w:rsidP="0085034D">
            <w:pPr>
              <w:spacing w:after="0" w:line="240" w:lineRule="auto"/>
              <w:rPr>
                <w:rFonts w:ascii="Arial" w:hAnsi="Arial" w:cs="Arial"/>
                <w:sz w:val="20"/>
                <w:szCs w:val="20"/>
              </w:rPr>
            </w:pPr>
          </w:p>
        </w:tc>
      </w:tr>
      <w:tr w:rsidR="00BD084C" w:rsidRPr="003705FB" w:rsidTr="0085034D">
        <w:trPr>
          <w:trHeight w:val="279"/>
        </w:trPr>
        <w:tc>
          <w:tcPr>
            <w:tcW w:w="1183" w:type="dxa"/>
            <w:shd w:val="clear" w:color="auto" w:fill="auto"/>
          </w:tcPr>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 xml:space="preserve">Brown </w:t>
            </w:r>
          </w:p>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2004</w:t>
            </w:r>
            <w:r w:rsidRPr="00F0553C">
              <w:rPr>
                <w:rFonts w:ascii="Arial" w:hAnsi="Arial" w:cs="Arial"/>
                <w:noProof/>
                <w:sz w:val="20"/>
                <w:szCs w:val="20"/>
                <w:vertAlign w:val="superscript"/>
              </w:rPr>
              <w:t>100</w:t>
            </w:r>
          </w:p>
        </w:tc>
        <w:tc>
          <w:tcPr>
            <w:tcW w:w="1462"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 xml:space="preserve">Single </w:t>
            </w:r>
            <w:r>
              <w:rPr>
                <w:rFonts w:ascii="Arial" w:hAnsi="Arial" w:cs="Arial"/>
                <w:sz w:val="20"/>
                <w:szCs w:val="20"/>
              </w:rPr>
              <w:t>B</w:t>
            </w:r>
            <w:r w:rsidRPr="003705FB">
              <w:rPr>
                <w:rFonts w:ascii="Arial" w:hAnsi="Arial" w:cs="Arial"/>
                <w:sz w:val="20"/>
                <w:szCs w:val="20"/>
              </w:rPr>
              <w:t>urns unit</w:t>
            </w:r>
          </w:p>
        </w:tc>
        <w:tc>
          <w:tcPr>
            <w:tcW w:w="149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Retrospective,</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case-control</w:t>
            </w:r>
          </w:p>
        </w:tc>
        <w:tc>
          <w:tcPr>
            <w:tcW w:w="1061"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TEN (24)</w:t>
            </w:r>
          </w:p>
        </w:tc>
        <w:tc>
          <w:tcPr>
            <w:tcW w:w="1951"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0.4 g/kg for 4 days</w:t>
            </w:r>
          </w:p>
        </w:tc>
        <w:tc>
          <w:tcPr>
            <w:tcW w:w="11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10/24 (42%)</w:t>
            </w:r>
          </w:p>
        </w:tc>
        <w:tc>
          <w:tcPr>
            <w:tcW w:w="13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6/21 (29%) mortality in steroid-treated controls</w:t>
            </w:r>
          </w:p>
        </w:tc>
        <w:tc>
          <w:tcPr>
            <w:tcW w:w="1128"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Ineffective</w:t>
            </w:r>
          </w:p>
        </w:tc>
        <w:tc>
          <w:tcPr>
            <w:tcW w:w="114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2-</w:t>
            </w:r>
          </w:p>
        </w:tc>
        <w:tc>
          <w:tcPr>
            <w:tcW w:w="1706" w:type="dxa"/>
          </w:tcPr>
          <w:p w:rsidR="00BD084C" w:rsidRPr="003705FB" w:rsidRDefault="00BD084C" w:rsidP="0085034D">
            <w:pPr>
              <w:spacing w:after="0" w:line="240" w:lineRule="auto"/>
              <w:rPr>
                <w:rFonts w:ascii="Arial" w:hAnsi="Arial" w:cs="Arial"/>
                <w:sz w:val="20"/>
                <w:szCs w:val="20"/>
              </w:rPr>
            </w:pPr>
          </w:p>
        </w:tc>
      </w:tr>
      <w:tr w:rsidR="00BD084C" w:rsidRPr="003705FB" w:rsidTr="0085034D">
        <w:trPr>
          <w:trHeight w:val="279"/>
        </w:trPr>
        <w:tc>
          <w:tcPr>
            <w:tcW w:w="1183" w:type="dxa"/>
            <w:shd w:val="clear" w:color="auto" w:fill="auto"/>
          </w:tcPr>
          <w:p w:rsidR="00BD084C" w:rsidRPr="003705FB" w:rsidRDefault="00BD084C" w:rsidP="0085034D">
            <w:pPr>
              <w:spacing w:after="0" w:line="240" w:lineRule="auto"/>
              <w:rPr>
                <w:rFonts w:ascii="Arial" w:hAnsi="Arial" w:cs="Arial"/>
                <w:b/>
                <w:sz w:val="20"/>
                <w:szCs w:val="20"/>
              </w:rPr>
            </w:pPr>
            <w:proofErr w:type="spellStart"/>
            <w:r w:rsidRPr="003705FB">
              <w:rPr>
                <w:rFonts w:ascii="Arial" w:hAnsi="Arial" w:cs="Arial"/>
                <w:b/>
                <w:sz w:val="20"/>
                <w:szCs w:val="20"/>
              </w:rPr>
              <w:t>Shortt</w:t>
            </w:r>
            <w:proofErr w:type="spellEnd"/>
            <w:r w:rsidRPr="003705FB">
              <w:rPr>
                <w:rFonts w:ascii="Arial" w:hAnsi="Arial" w:cs="Arial"/>
                <w:b/>
                <w:sz w:val="20"/>
                <w:szCs w:val="20"/>
              </w:rPr>
              <w:t xml:space="preserve"> </w:t>
            </w:r>
          </w:p>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2004</w:t>
            </w:r>
            <w:r w:rsidRPr="00F0553C">
              <w:rPr>
                <w:rFonts w:ascii="Arial" w:hAnsi="Arial" w:cs="Arial"/>
                <w:noProof/>
                <w:sz w:val="20"/>
                <w:szCs w:val="20"/>
                <w:vertAlign w:val="superscript"/>
              </w:rPr>
              <w:t>101</w:t>
            </w:r>
          </w:p>
        </w:tc>
        <w:tc>
          <w:tcPr>
            <w:tcW w:w="1462"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 xml:space="preserve">Single Burns </w:t>
            </w:r>
            <w:r>
              <w:rPr>
                <w:rFonts w:ascii="Arial" w:hAnsi="Arial" w:cs="Arial"/>
                <w:sz w:val="20"/>
                <w:szCs w:val="20"/>
              </w:rPr>
              <w:t>u</w:t>
            </w:r>
            <w:r w:rsidRPr="003705FB">
              <w:rPr>
                <w:rFonts w:ascii="Arial" w:hAnsi="Arial" w:cs="Arial"/>
                <w:sz w:val="20"/>
                <w:szCs w:val="20"/>
              </w:rPr>
              <w:t>nit</w:t>
            </w:r>
          </w:p>
        </w:tc>
        <w:tc>
          <w:tcPr>
            <w:tcW w:w="149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Retrospective</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Case-control</w:t>
            </w:r>
          </w:p>
        </w:tc>
        <w:tc>
          <w:tcPr>
            <w:tcW w:w="1061" w:type="dxa"/>
            <w:shd w:val="clear" w:color="auto" w:fill="auto"/>
          </w:tcPr>
          <w:p w:rsidR="00BD084C" w:rsidRPr="003705FB" w:rsidRDefault="00BD084C" w:rsidP="0085034D">
            <w:pPr>
              <w:spacing w:after="0" w:line="240" w:lineRule="auto"/>
              <w:rPr>
                <w:rFonts w:ascii="Arial" w:hAnsi="Arial" w:cs="Arial"/>
                <w:sz w:val="20"/>
                <w:szCs w:val="20"/>
              </w:rPr>
            </w:pPr>
            <w:r>
              <w:rPr>
                <w:rFonts w:ascii="Arial" w:hAnsi="Arial" w:cs="Arial"/>
                <w:sz w:val="20"/>
                <w:szCs w:val="20"/>
              </w:rPr>
              <w:t xml:space="preserve">Overlap </w:t>
            </w:r>
            <w:r w:rsidRPr="003705FB">
              <w:rPr>
                <w:rFonts w:ascii="Arial" w:hAnsi="Arial" w:cs="Arial"/>
                <w:sz w:val="20"/>
                <w:szCs w:val="20"/>
              </w:rPr>
              <w:t>SJS</w:t>
            </w:r>
            <w:r>
              <w:rPr>
                <w:rFonts w:ascii="Arial" w:hAnsi="Arial" w:cs="Arial"/>
                <w:sz w:val="20"/>
                <w:szCs w:val="20"/>
              </w:rPr>
              <w:t>/</w:t>
            </w:r>
            <w:r w:rsidRPr="003705FB">
              <w:rPr>
                <w:rFonts w:ascii="Arial" w:hAnsi="Arial" w:cs="Arial"/>
                <w:sz w:val="20"/>
                <w:szCs w:val="20"/>
              </w:rPr>
              <w:t>TEN (16)</w:t>
            </w:r>
          </w:p>
        </w:tc>
        <w:tc>
          <w:tcPr>
            <w:tcW w:w="1951"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Mean dose 0.7 +/- 0.2 g/kg daily for 4 +/- 1 days</w:t>
            </w:r>
          </w:p>
        </w:tc>
        <w:tc>
          <w:tcPr>
            <w:tcW w:w="11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4/16 (25%)</w:t>
            </w:r>
          </w:p>
        </w:tc>
        <w:tc>
          <w:tcPr>
            <w:tcW w:w="13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6/16 (38%) mortality in historic controls</w:t>
            </w:r>
          </w:p>
        </w:tc>
        <w:tc>
          <w:tcPr>
            <w:tcW w:w="1128"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 xml:space="preserve">Equivocal </w:t>
            </w:r>
          </w:p>
        </w:tc>
        <w:tc>
          <w:tcPr>
            <w:tcW w:w="114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2-</w:t>
            </w:r>
          </w:p>
        </w:tc>
        <w:tc>
          <w:tcPr>
            <w:tcW w:w="1706" w:type="dxa"/>
          </w:tcPr>
          <w:p w:rsidR="00BD084C" w:rsidRPr="003705FB" w:rsidRDefault="00BD084C" w:rsidP="0085034D">
            <w:pPr>
              <w:spacing w:after="0" w:line="240" w:lineRule="auto"/>
              <w:rPr>
                <w:rFonts w:ascii="Arial" w:hAnsi="Arial" w:cs="Arial"/>
                <w:sz w:val="20"/>
                <w:szCs w:val="20"/>
              </w:rPr>
            </w:pPr>
          </w:p>
        </w:tc>
      </w:tr>
      <w:tr w:rsidR="00BD084C" w:rsidRPr="003705FB" w:rsidTr="0085034D">
        <w:trPr>
          <w:trHeight w:val="279"/>
        </w:trPr>
        <w:tc>
          <w:tcPr>
            <w:tcW w:w="1183" w:type="dxa"/>
            <w:shd w:val="clear" w:color="auto" w:fill="auto"/>
          </w:tcPr>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Kim 2005</w:t>
            </w:r>
            <w:r w:rsidRPr="00FF70EF">
              <w:rPr>
                <w:rFonts w:ascii="Arial" w:hAnsi="Arial" w:cs="Arial"/>
                <w:noProof/>
                <w:sz w:val="20"/>
                <w:szCs w:val="20"/>
                <w:vertAlign w:val="superscript"/>
              </w:rPr>
              <w:t>34</w:t>
            </w:r>
          </w:p>
        </w:tc>
        <w:tc>
          <w:tcPr>
            <w:tcW w:w="1462"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Derm</w:t>
            </w:r>
            <w:r>
              <w:rPr>
                <w:rFonts w:ascii="Arial" w:hAnsi="Arial" w:cs="Arial"/>
                <w:sz w:val="20"/>
                <w:szCs w:val="20"/>
              </w:rPr>
              <w:t>atology</w:t>
            </w:r>
            <w:r w:rsidRPr="003705FB">
              <w:rPr>
                <w:rFonts w:ascii="Arial" w:hAnsi="Arial" w:cs="Arial"/>
                <w:sz w:val="20"/>
                <w:szCs w:val="20"/>
              </w:rPr>
              <w:t xml:space="preserve"> unit</w:t>
            </w:r>
          </w:p>
        </w:tc>
        <w:tc>
          <w:tcPr>
            <w:tcW w:w="149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Retrospective case series with SCORTEN-predicted mortality as comparator</w:t>
            </w:r>
          </w:p>
        </w:tc>
        <w:tc>
          <w:tcPr>
            <w:tcW w:w="1061"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TEN (14)</w:t>
            </w:r>
          </w:p>
        </w:tc>
        <w:tc>
          <w:tcPr>
            <w:tcW w:w="1951" w:type="dxa"/>
            <w:shd w:val="clear" w:color="auto" w:fill="auto"/>
          </w:tcPr>
          <w:p w:rsidR="00BD084C" w:rsidRPr="003705FB" w:rsidRDefault="00BD084C" w:rsidP="0085034D">
            <w:pPr>
              <w:spacing w:after="0" w:line="240" w:lineRule="auto"/>
              <w:rPr>
                <w:rFonts w:ascii="Arial" w:hAnsi="Arial" w:cs="Arial"/>
                <w:sz w:val="20"/>
                <w:szCs w:val="20"/>
              </w:rPr>
            </w:pPr>
            <w:proofErr w:type="spellStart"/>
            <w:r w:rsidRPr="003705FB">
              <w:rPr>
                <w:rFonts w:ascii="Arial" w:hAnsi="Arial" w:cs="Arial"/>
                <w:sz w:val="20"/>
                <w:szCs w:val="20"/>
              </w:rPr>
              <w:t>IVIg</w:t>
            </w:r>
            <w:proofErr w:type="spellEnd"/>
            <w:r w:rsidRPr="003705FB">
              <w:rPr>
                <w:rFonts w:ascii="Arial" w:hAnsi="Arial" w:cs="Arial"/>
                <w:sz w:val="20"/>
                <w:szCs w:val="20"/>
              </w:rPr>
              <w:t>: 1.6 – 2.0 g/kg</w:t>
            </w:r>
          </w:p>
          <w:p w:rsidR="00BD084C" w:rsidRPr="003705FB" w:rsidRDefault="00BD084C" w:rsidP="0085034D">
            <w:pPr>
              <w:spacing w:after="0" w:line="240" w:lineRule="auto"/>
              <w:rPr>
                <w:rFonts w:ascii="Arial" w:hAnsi="Arial" w:cs="Arial"/>
                <w:sz w:val="20"/>
                <w:szCs w:val="20"/>
              </w:rPr>
            </w:pPr>
          </w:p>
        </w:tc>
        <w:tc>
          <w:tcPr>
            <w:tcW w:w="11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1/14 (7%)</w:t>
            </w:r>
          </w:p>
        </w:tc>
        <w:tc>
          <w:tcPr>
            <w:tcW w:w="13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SCORTEN-predicted mortality: 2.4/14 (17%)</w:t>
            </w:r>
          </w:p>
        </w:tc>
        <w:tc>
          <w:tcPr>
            <w:tcW w:w="1128"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Effective</w:t>
            </w:r>
          </w:p>
        </w:tc>
        <w:tc>
          <w:tcPr>
            <w:tcW w:w="114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3</w:t>
            </w:r>
          </w:p>
        </w:tc>
        <w:tc>
          <w:tcPr>
            <w:tcW w:w="1706" w:type="dxa"/>
          </w:tcPr>
          <w:p w:rsidR="00BD084C" w:rsidRPr="003705FB" w:rsidRDefault="00BD084C" w:rsidP="0085034D">
            <w:pPr>
              <w:spacing w:after="0" w:line="240" w:lineRule="auto"/>
              <w:rPr>
                <w:rFonts w:ascii="Arial" w:hAnsi="Arial" w:cs="Arial"/>
                <w:sz w:val="20"/>
                <w:szCs w:val="20"/>
              </w:rPr>
            </w:pPr>
          </w:p>
        </w:tc>
      </w:tr>
      <w:tr w:rsidR="00BD084C" w:rsidRPr="003705FB" w:rsidTr="0085034D">
        <w:trPr>
          <w:trHeight w:val="279"/>
        </w:trPr>
        <w:tc>
          <w:tcPr>
            <w:tcW w:w="1183" w:type="dxa"/>
            <w:shd w:val="clear" w:color="auto" w:fill="FFFFFF"/>
          </w:tcPr>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Tan 2005</w:t>
            </w:r>
            <w:r w:rsidRPr="00F0553C">
              <w:rPr>
                <w:rFonts w:ascii="Arial" w:hAnsi="Arial" w:cs="Arial"/>
                <w:noProof/>
                <w:sz w:val="20"/>
                <w:szCs w:val="20"/>
                <w:vertAlign w:val="superscript"/>
              </w:rPr>
              <w:t>102</w:t>
            </w:r>
          </w:p>
        </w:tc>
        <w:tc>
          <w:tcPr>
            <w:tcW w:w="1462" w:type="dxa"/>
            <w:shd w:val="clear" w:color="auto" w:fill="FFFFFF"/>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Derm</w:t>
            </w:r>
            <w:r>
              <w:rPr>
                <w:rFonts w:ascii="Arial" w:hAnsi="Arial" w:cs="Arial"/>
                <w:sz w:val="20"/>
                <w:szCs w:val="20"/>
              </w:rPr>
              <w:t>atology</w:t>
            </w:r>
            <w:r w:rsidRPr="003705FB">
              <w:rPr>
                <w:rFonts w:ascii="Arial" w:hAnsi="Arial" w:cs="Arial"/>
                <w:sz w:val="20"/>
                <w:szCs w:val="20"/>
              </w:rPr>
              <w:t xml:space="preserve"> unit</w:t>
            </w:r>
          </w:p>
        </w:tc>
        <w:tc>
          <w:tcPr>
            <w:tcW w:w="1495" w:type="dxa"/>
            <w:shd w:val="clear" w:color="auto" w:fill="FFFFFF"/>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Retrospective</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Case series</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Non-controlled</w:t>
            </w:r>
          </w:p>
        </w:tc>
        <w:tc>
          <w:tcPr>
            <w:tcW w:w="1061" w:type="dxa"/>
            <w:shd w:val="clear" w:color="auto" w:fill="FFFFFF"/>
          </w:tcPr>
          <w:p w:rsidR="00BD084C" w:rsidRPr="003705FB" w:rsidRDefault="00BD084C" w:rsidP="0085034D">
            <w:pPr>
              <w:spacing w:after="0" w:line="240" w:lineRule="auto"/>
              <w:rPr>
                <w:rFonts w:ascii="Arial" w:hAnsi="Arial" w:cs="Arial"/>
                <w:sz w:val="20"/>
                <w:szCs w:val="20"/>
              </w:rPr>
            </w:pPr>
            <w:r>
              <w:rPr>
                <w:rFonts w:ascii="Arial" w:hAnsi="Arial" w:cs="Arial"/>
                <w:sz w:val="20"/>
                <w:szCs w:val="20"/>
              </w:rPr>
              <w:t xml:space="preserve">Overlap </w:t>
            </w:r>
            <w:r w:rsidRPr="003705FB">
              <w:rPr>
                <w:rFonts w:ascii="Arial" w:hAnsi="Arial" w:cs="Arial"/>
                <w:sz w:val="20"/>
                <w:szCs w:val="20"/>
              </w:rPr>
              <w:t>SJS</w:t>
            </w:r>
            <w:r>
              <w:rPr>
                <w:rFonts w:ascii="Arial" w:hAnsi="Arial" w:cs="Arial"/>
                <w:sz w:val="20"/>
                <w:szCs w:val="20"/>
              </w:rPr>
              <w:t>/</w:t>
            </w:r>
            <w:r w:rsidRPr="003705FB">
              <w:rPr>
                <w:rFonts w:ascii="Arial" w:hAnsi="Arial" w:cs="Arial"/>
                <w:sz w:val="20"/>
                <w:szCs w:val="20"/>
              </w:rPr>
              <w:t>TEN (4) TEN (8)</w:t>
            </w:r>
          </w:p>
        </w:tc>
        <w:tc>
          <w:tcPr>
            <w:tcW w:w="1951" w:type="dxa"/>
            <w:shd w:val="clear" w:color="auto" w:fill="FFFFFF"/>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2 g/kg over 2 days in 10 patients; 1.5 g/kg over 2 days in 2 patients</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 xml:space="preserve">9/12 patients had corticosteroid prior to </w:t>
            </w:r>
            <w:proofErr w:type="spellStart"/>
            <w:r w:rsidRPr="003705FB">
              <w:rPr>
                <w:rFonts w:ascii="Arial" w:hAnsi="Arial" w:cs="Arial"/>
                <w:sz w:val="20"/>
                <w:szCs w:val="20"/>
              </w:rPr>
              <w:t>IVIg</w:t>
            </w:r>
            <w:proofErr w:type="spellEnd"/>
            <w:r w:rsidRPr="003705FB">
              <w:rPr>
                <w:rFonts w:ascii="Arial" w:hAnsi="Arial" w:cs="Arial"/>
                <w:sz w:val="20"/>
                <w:szCs w:val="20"/>
              </w:rPr>
              <w:t>.</w:t>
            </w:r>
          </w:p>
        </w:tc>
        <w:tc>
          <w:tcPr>
            <w:tcW w:w="1150" w:type="dxa"/>
            <w:shd w:val="clear" w:color="auto" w:fill="FFFFFF"/>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1/12 (8%)</w:t>
            </w:r>
          </w:p>
        </w:tc>
        <w:tc>
          <w:tcPr>
            <w:tcW w:w="1350" w:type="dxa"/>
            <w:shd w:val="clear" w:color="auto" w:fill="FFFFFF"/>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No comparator group</w:t>
            </w:r>
          </w:p>
        </w:tc>
        <w:tc>
          <w:tcPr>
            <w:tcW w:w="1128" w:type="dxa"/>
            <w:shd w:val="clear" w:color="auto" w:fill="FFFFFF"/>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Effective</w:t>
            </w:r>
          </w:p>
        </w:tc>
        <w:tc>
          <w:tcPr>
            <w:tcW w:w="1145" w:type="dxa"/>
            <w:shd w:val="clear" w:color="auto" w:fill="FFFFFF"/>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3</w:t>
            </w:r>
          </w:p>
        </w:tc>
        <w:tc>
          <w:tcPr>
            <w:tcW w:w="1706" w:type="dxa"/>
            <w:shd w:val="clear" w:color="auto" w:fill="FFFFFF"/>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Cases validated but histopathological evidence in only 4/12 cases</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 xml:space="preserve">Co-treatment with </w:t>
            </w:r>
            <w:r w:rsidRPr="003705FB">
              <w:rPr>
                <w:rFonts w:ascii="Arial" w:hAnsi="Arial" w:cs="Arial"/>
                <w:sz w:val="20"/>
                <w:szCs w:val="20"/>
              </w:rPr>
              <w:lastRenderedPageBreak/>
              <w:t>corticosteroid</w:t>
            </w:r>
          </w:p>
        </w:tc>
      </w:tr>
      <w:tr w:rsidR="00BD084C" w:rsidRPr="003705FB" w:rsidTr="0085034D">
        <w:trPr>
          <w:trHeight w:val="279"/>
        </w:trPr>
        <w:tc>
          <w:tcPr>
            <w:tcW w:w="1183" w:type="dxa"/>
            <w:shd w:val="clear" w:color="auto" w:fill="auto"/>
          </w:tcPr>
          <w:p w:rsidR="00BD084C" w:rsidRPr="003705FB" w:rsidRDefault="00BD084C" w:rsidP="0085034D">
            <w:pPr>
              <w:spacing w:after="0" w:line="240" w:lineRule="auto"/>
              <w:rPr>
                <w:rFonts w:ascii="Arial" w:hAnsi="Arial" w:cs="Arial"/>
                <w:b/>
                <w:sz w:val="20"/>
                <w:szCs w:val="20"/>
              </w:rPr>
            </w:pPr>
            <w:proofErr w:type="spellStart"/>
            <w:r w:rsidRPr="003705FB">
              <w:rPr>
                <w:rFonts w:ascii="Arial" w:hAnsi="Arial" w:cs="Arial"/>
                <w:b/>
                <w:sz w:val="20"/>
                <w:szCs w:val="20"/>
              </w:rPr>
              <w:lastRenderedPageBreak/>
              <w:t>Gravante</w:t>
            </w:r>
            <w:proofErr w:type="spellEnd"/>
            <w:r w:rsidRPr="003705FB">
              <w:rPr>
                <w:rFonts w:ascii="Arial" w:hAnsi="Arial" w:cs="Arial"/>
                <w:b/>
                <w:sz w:val="20"/>
                <w:szCs w:val="20"/>
              </w:rPr>
              <w:t xml:space="preserve"> 2007</w:t>
            </w:r>
            <w:r w:rsidRPr="00F0553C">
              <w:rPr>
                <w:rFonts w:ascii="Arial" w:hAnsi="Arial" w:cs="Arial"/>
                <w:noProof/>
                <w:sz w:val="20"/>
                <w:szCs w:val="20"/>
                <w:vertAlign w:val="superscript"/>
              </w:rPr>
              <w:t>103</w:t>
            </w:r>
          </w:p>
        </w:tc>
        <w:tc>
          <w:tcPr>
            <w:tcW w:w="1462"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Burns unit</w:t>
            </w:r>
          </w:p>
        </w:tc>
        <w:tc>
          <w:tcPr>
            <w:tcW w:w="149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Retrospective</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Case series</w:t>
            </w:r>
          </w:p>
        </w:tc>
        <w:tc>
          <w:tcPr>
            <w:tcW w:w="1061"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SJS (1)</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TEN (16)</w:t>
            </w:r>
          </w:p>
        </w:tc>
        <w:tc>
          <w:tcPr>
            <w:tcW w:w="1951"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0.4 g/kg daily for 5 days</w:t>
            </w:r>
          </w:p>
        </w:tc>
        <w:tc>
          <w:tcPr>
            <w:tcW w:w="11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7/17</w:t>
            </w:r>
          </w:p>
        </w:tc>
        <w:tc>
          <w:tcPr>
            <w:tcW w:w="13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No comparator group or SCORTEN-predicted mortality given</w:t>
            </w:r>
          </w:p>
        </w:tc>
        <w:tc>
          <w:tcPr>
            <w:tcW w:w="1128"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Effective</w:t>
            </w:r>
          </w:p>
        </w:tc>
        <w:tc>
          <w:tcPr>
            <w:tcW w:w="114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3</w:t>
            </w:r>
          </w:p>
        </w:tc>
        <w:tc>
          <w:tcPr>
            <w:tcW w:w="1706" w:type="dxa"/>
          </w:tcPr>
          <w:p w:rsidR="00BD084C" w:rsidRPr="003705FB" w:rsidRDefault="00BD084C" w:rsidP="0085034D">
            <w:pPr>
              <w:spacing w:after="0" w:line="240" w:lineRule="auto"/>
              <w:rPr>
                <w:rFonts w:ascii="Arial" w:hAnsi="Arial" w:cs="Arial"/>
                <w:sz w:val="20"/>
                <w:szCs w:val="20"/>
              </w:rPr>
            </w:pPr>
          </w:p>
        </w:tc>
      </w:tr>
      <w:tr w:rsidR="00BD084C" w:rsidRPr="003705FB" w:rsidTr="0085034D">
        <w:trPr>
          <w:trHeight w:val="279"/>
        </w:trPr>
        <w:tc>
          <w:tcPr>
            <w:tcW w:w="1183" w:type="dxa"/>
            <w:shd w:val="clear" w:color="auto" w:fill="auto"/>
          </w:tcPr>
          <w:p w:rsidR="00BD084C" w:rsidRPr="003705FB" w:rsidRDefault="00BD084C" w:rsidP="0085034D">
            <w:pPr>
              <w:spacing w:after="0" w:line="240" w:lineRule="auto"/>
              <w:rPr>
                <w:rFonts w:ascii="Arial" w:hAnsi="Arial" w:cs="Arial"/>
                <w:b/>
                <w:sz w:val="20"/>
                <w:szCs w:val="20"/>
              </w:rPr>
            </w:pPr>
            <w:r w:rsidRPr="003705FB">
              <w:rPr>
                <w:rFonts w:ascii="Arial" w:hAnsi="Arial" w:cs="Arial"/>
                <w:b/>
                <w:sz w:val="20"/>
                <w:szCs w:val="20"/>
              </w:rPr>
              <w:t>Stella 2007</w:t>
            </w:r>
            <w:r w:rsidRPr="00704610">
              <w:rPr>
                <w:rFonts w:ascii="Arial" w:hAnsi="Arial" w:cs="Arial"/>
                <w:noProof/>
                <w:sz w:val="20"/>
                <w:szCs w:val="20"/>
                <w:vertAlign w:val="superscript"/>
              </w:rPr>
              <w:t>46</w:t>
            </w:r>
          </w:p>
        </w:tc>
        <w:tc>
          <w:tcPr>
            <w:tcW w:w="1462"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Burns unit</w:t>
            </w:r>
          </w:p>
        </w:tc>
        <w:tc>
          <w:tcPr>
            <w:tcW w:w="149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Retrospective case-control series</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Control group – supportive care only</w:t>
            </w:r>
          </w:p>
        </w:tc>
        <w:tc>
          <w:tcPr>
            <w:tcW w:w="1061" w:type="dxa"/>
            <w:shd w:val="clear" w:color="auto" w:fill="auto"/>
          </w:tcPr>
          <w:p w:rsidR="00BD084C" w:rsidRPr="003705FB" w:rsidRDefault="00BD084C" w:rsidP="0085034D">
            <w:pPr>
              <w:spacing w:after="0" w:line="240" w:lineRule="auto"/>
              <w:rPr>
                <w:rFonts w:ascii="Arial" w:hAnsi="Arial" w:cs="Arial"/>
                <w:sz w:val="20"/>
                <w:szCs w:val="20"/>
              </w:rPr>
            </w:pPr>
            <w:proofErr w:type="spellStart"/>
            <w:r w:rsidRPr="003705FB">
              <w:rPr>
                <w:rFonts w:ascii="Arial" w:hAnsi="Arial" w:cs="Arial"/>
                <w:sz w:val="20"/>
                <w:szCs w:val="20"/>
              </w:rPr>
              <w:t>IVIg</w:t>
            </w:r>
            <w:proofErr w:type="spellEnd"/>
            <w:r w:rsidRPr="003705FB">
              <w:rPr>
                <w:rFonts w:ascii="Arial" w:hAnsi="Arial" w:cs="Arial"/>
                <w:sz w:val="20"/>
                <w:szCs w:val="20"/>
              </w:rPr>
              <w:t xml:space="preserve"> group:</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SJS (2)</w:t>
            </w:r>
          </w:p>
          <w:p w:rsidR="00BD084C" w:rsidRDefault="00BD084C" w:rsidP="0085034D">
            <w:pPr>
              <w:spacing w:after="0" w:line="240" w:lineRule="auto"/>
              <w:rPr>
                <w:rFonts w:ascii="Arial" w:hAnsi="Arial" w:cs="Arial"/>
                <w:sz w:val="20"/>
                <w:szCs w:val="20"/>
              </w:rPr>
            </w:pPr>
            <w:r>
              <w:rPr>
                <w:rFonts w:ascii="Arial" w:hAnsi="Arial" w:cs="Arial"/>
                <w:sz w:val="20"/>
                <w:szCs w:val="20"/>
              </w:rPr>
              <w:t xml:space="preserve">Overlap </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SJS</w:t>
            </w:r>
            <w:r>
              <w:rPr>
                <w:rFonts w:ascii="Arial" w:hAnsi="Arial" w:cs="Arial"/>
                <w:sz w:val="20"/>
                <w:szCs w:val="20"/>
              </w:rPr>
              <w:t>/</w:t>
            </w:r>
            <w:r w:rsidRPr="003705FB">
              <w:rPr>
                <w:rFonts w:ascii="Arial" w:hAnsi="Arial" w:cs="Arial"/>
                <w:sz w:val="20"/>
                <w:szCs w:val="20"/>
              </w:rPr>
              <w:t xml:space="preserve">TEN (16) </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TEN (5)</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Control group:</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TEN (8)</w:t>
            </w:r>
          </w:p>
        </w:tc>
        <w:tc>
          <w:tcPr>
            <w:tcW w:w="1951"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 xml:space="preserve">0.7 g/kg daily for 4 days + methylprednisolone 250 mg </w:t>
            </w:r>
            <w:proofErr w:type="spellStart"/>
            <w:r w:rsidRPr="003705FB">
              <w:rPr>
                <w:rFonts w:ascii="Arial" w:hAnsi="Arial" w:cs="Arial"/>
                <w:sz w:val="20"/>
                <w:szCs w:val="20"/>
              </w:rPr>
              <w:t>qds</w:t>
            </w:r>
            <w:proofErr w:type="spellEnd"/>
            <w:r w:rsidRPr="003705FB">
              <w:rPr>
                <w:rFonts w:ascii="Arial" w:hAnsi="Arial" w:cs="Arial"/>
                <w:sz w:val="20"/>
                <w:szCs w:val="20"/>
              </w:rPr>
              <w:t xml:space="preserve"> for 2 days</w:t>
            </w:r>
          </w:p>
        </w:tc>
        <w:tc>
          <w:tcPr>
            <w:tcW w:w="11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6/23 (26%)</w:t>
            </w:r>
          </w:p>
        </w:tc>
        <w:tc>
          <w:tcPr>
            <w:tcW w:w="13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SCORTEN-predicted mortality 8.2/23 (36%)</w:t>
            </w:r>
          </w:p>
        </w:tc>
        <w:tc>
          <w:tcPr>
            <w:tcW w:w="1128"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 xml:space="preserve">Effective </w:t>
            </w:r>
          </w:p>
        </w:tc>
        <w:tc>
          <w:tcPr>
            <w:tcW w:w="114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3</w:t>
            </w:r>
          </w:p>
        </w:tc>
        <w:tc>
          <w:tcPr>
            <w:tcW w:w="1706" w:type="dxa"/>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 xml:space="preserve">This series included 9 cases published in Stella </w:t>
            </w:r>
            <w:r w:rsidRPr="003705FB">
              <w:rPr>
                <w:rFonts w:ascii="Arial" w:hAnsi="Arial" w:cs="Arial"/>
                <w:i/>
                <w:sz w:val="20"/>
                <w:szCs w:val="20"/>
              </w:rPr>
              <w:t>et al.</w:t>
            </w:r>
            <w:r w:rsidRPr="003705FB">
              <w:rPr>
                <w:rFonts w:ascii="Arial" w:hAnsi="Arial" w:cs="Arial"/>
                <w:sz w:val="20"/>
                <w:szCs w:val="20"/>
              </w:rPr>
              <w:t xml:space="preserve"> 2001.</w:t>
            </w:r>
            <w:r w:rsidRPr="00F0553C">
              <w:rPr>
                <w:rFonts w:ascii="Arial" w:hAnsi="Arial" w:cs="Arial"/>
                <w:noProof/>
                <w:sz w:val="20"/>
                <w:szCs w:val="20"/>
                <w:vertAlign w:val="superscript"/>
              </w:rPr>
              <w:t>94</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Control group</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 xml:space="preserve">TBSA </w:t>
            </w:r>
            <w:proofErr w:type="gramStart"/>
            <w:r w:rsidRPr="003705FB">
              <w:rPr>
                <w:rFonts w:ascii="Arial" w:hAnsi="Arial" w:cs="Arial"/>
                <w:sz w:val="20"/>
                <w:szCs w:val="20"/>
              </w:rPr>
              <w:t>involvement significantly lower</w:t>
            </w:r>
            <w:proofErr w:type="gramEnd"/>
            <w:r w:rsidRPr="003705FB">
              <w:rPr>
                <w:rFonts w:ascii="Arial" w:hAnsi="Arial" w:cs="Arial"/>
                <w:sz w:val="20"/>
                <w:szCs w:val="20"/>
              </w:rPr>
              <w:t xml:space="preserve"> in </w:t>
            </w:r>
            <w:proofErr w:type="spellStart"/>
            <w:r w:rsidRPr="003705FB">
              <w:rPr>
                <w:rFonts w:ascii="Arial" w:hAnsi="Arial" w:cs="Arial"/>
                <w:sz w:val="20"/>
                <w:szCs w:val="20"/>
              </w:rPr>
              <w:t>IVIg</w:t>
            </w:r>
            <w:proofErr w:type="spellEnd"/>
            <w:r w:rsidRPr="003705FB">
              <w:rPr>
                <w:rFonts w:ascii="Arial" w:hAnsi="Arial" w:cs="Arial"/>
                <w:sz w:val="20"/>
                <w:szCs w:val="20"/>
              </w:rPr>
              <w:t xml:space="preserve"> group compared to controls.</w:t>
            </w:r>
          </w:p>
        </w:tc>
      </w:tr>
      <w:tr w:rsidR="00BD084C" w:rsidRPr="003705FB" w:rsidTr="0085034D">
        <w:trPr>
          <w:trHeight w:val="279"/>
        </w:trPr>
        <w:tc>
          <w:tcPr>
            <w:tcW w:w="1183" w:type="dxa"/>
            <w:shd w:val="clear" w:color="auto" w:fill="auto"/>
          </w:tcPr>
          <w:p w:rsidR="00BD084C" w:rsidRPr="003705FB" w:rsidRDefault="00BD084C" w:rsidP="0085034D">
            <w:pPr>
              <w:spacing w:after="0" w:line="240" w:lineRule="auto"/>
              <w:rPr>
                <w:rFonts w:ascii="Arial" w:hAnsi="Arial" w:cs="Arial"/>
                <w:b/>
                <w:sz w:val="20"/>
                <w:szCs w:val="20"/>
              </w:rPr>
            </w:pPr>
            <w:proofErr w:type="spellStart"/>
            <w:r w:rsidRPr="003705FB">
              <w:rPr>
                <w:rFonts w:ascii="Arial" w:hAnsi="Arial" w:cs="Arial"/>
                <w:b/>
                <w:sz w:val="20"/>
                <w:szCs w:val="20"/>
              </w:rPr>
              <w:t>Schneck</w:t>
            </w:r>
            <w:proofErr w:type="spellEnd"/>
            <w:r w:rsidRPr="003705FB">
              <w:rPr>
                <w:rFonts w:ascii="Arial" w:hAnsi="Arial" w:cs="Arial"/>
                <w:b/>
                <w:sz w:val="20"/>
                <w:szCs w:val="20"/>
              </w:rPr>
              <w:t xml:space="preserve"> 2008</w:t>
            </w:r>
            <w:r w:rsidRPr="00FF70EF">
              <w:rPr>
                <w:rFonts w:ascii="Arial" w:hAnsi="Arial" w:cs="Arial"/>
                <w:noProof/>
                <w:sz w:val="20"/>
                <w:szCs w:val="20"/>
                <w:vertAlign w:val="superscript"/>
              </w:rPr>
              <w:t>28</w:t>
            </w:r>
          </w:p>
        </w:tc>
        <w:tc>
          <w:tcPr>
            <w:tcW w:w="1462"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Burns and derm</w:t>
            </w:r>
            <w:r>
              <w:rPr>
                <w:rFonts w:ascii="Arial" w:hAnsi="Arial" w:cs="Arial"/>
                <w:sz w:val="20"/>
                <w:szCs w:val="20"/>
              </w:rPr>
              <w:t>atology</w:t>
            </w:r>
            <w:r w:rsidRPr="003705FB">
              <w:rPr>
                <w:rFonts w:ascii="Arial" w:hAnsi="Arial" w:cs="Arial"/>
                <w:sz w:val="20"/>
                <w:szCs w:val="20"/>
              </w:rPr>
              <w:t xml:space="preserve"> units</w:t>
            </w:r>
          </w:p>
        </w:tc>
        <w:tc>
          <w:tcPr>
            <w:tcW w:w="149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Retrospective</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Case-controlled</w:t>
            </w:r>
          </w:p>
        </w:tc>
        <w:tc>
          <w:tcPr>
            <w:tcW w:w="1061" w:type="dxa"/>
            <w:shd w:val="clear" w:color="auto" w:fill="auto"/>
          </w:tcPr>
          <w:p w:rsidR="00BD084C" w:rsidRPr="004E684C" w:rsidRDefault="00BD084C" w:rsidP="0085034D">
            <w:pPr>
              <w:spacing w:after="0" w:line="240" w:lineRule="auto"/>
              <w:rPr>
                <w:rFonts w:ascii="Arial" w:hAnsi="Arial" w:cs="Arial"/>
                <w:sz w:val="20"/>
                <w:szCs w:val="20"/>
                <w:lang w:val="de-DE"/>
              </w:rPr>
            </w:pPr>
            <w:r w:rsidRPr="004E684C">
              <w:rPr>
                <w:rFonts w:ascii="Arial" w:hAnsi="Arial" w:cs="Arial"/>
                <w:sz w:val="20"/>
                <w:szCs w:val="20"/>
                <w:lang w:val="de-DE"/>
              </w:rPr>
              <w:t>SJS (9)</w:t>
            </w:r>
          </w:p>
          <w:p w:rsidR="00BD084C" w:rsidRPr="004E684C" w:rsidRDefault="00BD084C" w:rsidP="0085034D">
            <w:pPr>
              <w:spacing w:after="0" w:line="240" w:lineRule="auto"/>
              <w:rPr>
                <w:rFonts w:ascii="Arial" w:hAnsi="Arial" w:cs="Arial"/>
                <w:sz w:val="20"/>
                <w:szCs w:val="20"/>
                <w:lang w:val="de-DE"/>
              </w:rPr>
            </w:pPr>
            <w:r w:rsidRPr="004E684C">
              <w:rPr>
                <w:rFonts w:ascii="Arial" w:hAnsi="Arial" w:cs="Arial"/>
                <w:sz w:val="20"/>
                <w:szCs w:val="20"/>
                <w:lang w:val="de-DE"/>
              </w:rPr>
              <w:t xml:space="preserve">Overlap </w:t>
            </w:r>
          </w:p>
          <w:p w:rsidR="00BD084C" w:rsidRPr="004E684C" w:rsidRDefault="00BD084C" w:rsidP="0085034D">
            <w:pPr>
              <w:spacing w:after="0" w:line="240" w:lineRule="auto"/>
              <w:rPr>
                <w:rFonts w:ascii="Arial" w:hAnsi="Arial" w:cs="Arial"/>
                <w:sz w:val="20"/>
                <w:szCs w:val="20"/>
                <w:lang w:val="de-DE"/>
              </w:rPr>
            </w:pPr>
            <w:r w:rsidRPr="004E684C">
              <w:rPr>
                <w:rFonts w:ascii="Arial" w:hAnsi="Arial" w:cs="Arial"/>
                <w:sz w:val="20"/>
                <w:szCs w:val="20"/>
                <w:lang w:val="de-DE"/>
              </w:rPr>
              <w:t xml:space="preserve">SJS/TEN (11) </w:t>
            </w:r>
          </w:p>
          <w:p w:rsidR="00BD084C" w:rsidRPr="004E684C" w:rsidRDefault="00BD084C" w:rsidP="0085034D">
            <w:pPr>
              <w:spacing w:after="0" w:line="240" w:lineRule="auto"/>
              <w:rPr>
                <w:rFonts w:ascii="Arial" w:hAnsi="Arial" w:cs="Arial"/>
                <w:sz w:val="20"/>
                <w:szCs w:val="20"/>
                <w:lang w:val="de-DE"/>
              </w:rPr>
            </w:pPr>
            <w:r w:rsidRPr="004E684C">
              <w:rPr>
                <w:rFonts w:ascii="Arial" w:hAnsi="Arial" w:cs="Arial"/>
                <w:sz w:val="20"/>
                <w:szCs w:val="20"/>
                <w:lang w:val="de-DE"/>
              </w:rPr>
              <w:t>TEN (15)</w:t>
            </w:r>
          </w:p>
        </w:tc>
        <w:tc>
          <w:tcPr>
            <w:tcW w:w="1951"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Mean dose 1.9 g/kg over 1 – 7 days</w:t>
            </w:r>
          </w:p>
        </w:tc>
        <w:tc>
          <w:tcPr>
            <w:tcW w:w="11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 xml:space="preserve">12/35 (34%) </w:t>
            </w:r>
          </w:p>
        </w:tc>
        <w:tc>
          <w:tcPr>
            <w:tcW w:w="13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Mortality for supportive care alone 22/87 (25%)</w:t>
            </w:r>
          </w:p>
        </w:tc>
        <w:tc>
          <w:tcPr>
            <w:tcW w:w="1128"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Ineffective</w:t>
            </w:r>
          </w:p>
        </w:tc>
        <w:tc>
          <w:tcPr>
            <w:tcW w:w="114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2-</w:t>
            </w:r>
          </w:p>
        </w:tc>
        <w:tc>
          <w:tcPr>
            <w:tcW w:w="1706" w:type="dxa"/>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Well-validated cases.</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 xml:space="preserve">Study may have included cases published in </w:t>
            </w:r>
            <w:proofErr w:type="spellStart"/>
            <w:r w:rsidRPr="003705FB">
              <w:rPr>
                <w:rFonts w:ascii="Arial" w:hAnsi="Arial" w:cs="Arial"/>
                <w:sz w:val="20"/>
                <w:szCs w:val="20"/>
              </w:rPr>
              <w:t>Bachot</w:t>
            </w:r>
            <w:proofErr w:type="spellEnd"/>
            <w:r w:rsidRPr="003705FB">
              <w:rPr>
                <w:rFonts w:ascii="Arial" w:hAnsi="Arial" w:cs="Arial"/>
                <w:sz w:val="20"/>
                <w:szCs w:val="20"/>
              </w:rPr>
              <w:t xml:space="preserve"> </w:t>
            </w:r>
            <w:r w:rsidRPr="003705FB">
              <w:rPr>
                <w:rFonts w:ascii="Arial" w:hAnsi="Arial" w:cs="Arial"/>
                <w:i/>
                <w:sz w:val="20"/>
                <w:szCs w:val="20"/>
              </w:rPr>
              <w:t>et al.</w:t>
            </w:r>
            <w:r w:rsidRPr="003705FB">
              <w:rPr>
                <w:rFonts w:ascii="Arial" w:hAnsi="Arial" w:cs="Arial"/>
                <w:sz w:val="20"/>
                <w:szCs w:val="20"/>
              </w:rPr>
              <w:t xml:space="preserve"> 2003.</w:t>
            </w:r>
            <w:r w:rsidRPr="00F0553C">
              <w:rPr>
                <w:rFonts w:ascii="Arial" w:hAnsi="Arial" w:cs="Arial"/>
                <w:noProof/>
                <w:sz w:val="20"/>
                <w:szCs w:val="20"/>
                <w:vertAlign w:val="superscript"/>
              </w:rPr>
              <w:t>97</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Heterogeneous care settings</w:t>
            </w:r>
          </w:p>
        </w:tc>
      </w:tr>
      <w:tr w:rsidR="00BD084C" w:rsidRPr="003705FB" w:rsidTr="0085034D">
        <w:trPr>
          <w:trHeight w:val="279"/>
        </w:trPr>
        <w:tc>
          <w:tcPr>
            <w:tcW w:w="1183" w:type="dxa"/>
            <w:shd w:val="clear" w:color="auto" w:fill="auto"/>
          </w:tcPr>
          <w:p w:rsidR="00BD084C" w:rsidRPr="003705FB" w:rsidRDefault="00BD084C" w:rsidP="0085034D">
            <w:pPr>
              <w:spacing w:after="0" w:line="240" w:lineRule="auto"/>
              <w:rPr>
                <w:rFonts w:ascii="Arial" w:hAnsi="Arial" w:cs="Arial"/>
                <w:b/>
                <w:sz w:val="20"/>
                <w:szCs w:val="20"/>
              </w:rPr>
            </w:pPr>
            <w:proofErr w:type="spellStart"/>
            <w:r w:rsidRPr="003705FB">
              <w:rPr>
                <w:rFonts w:ascii="Arial" w:hAnsi="Arial" w:cs="Arial"/>
                <w:b/>
                <w:sz w:val="20"/>
                <w:szCs w:val="20"/>
              </w:rPr>
              <w:t>Firoz</w:t>
            </w:r>
            <w:proofErr w:type="spellEnd"/>
            <w:r w:rsidRPr="003705FB">
              <w:rPr>
                <w:rFonts w:ascii="Arial" w:hAnsi="Arial" w:cs="Arial"/>
                <w:b/>
                <w:sz w:val="20"/>
                <w:szCs w:val="20"/>
              </w:rPr>
              <w:t xml:space="preserve"> 2012</w:t>
            </w:r>
            <w:r w:rsidRPr="00F0553C">
              <w:rPr>
                <w:rFonts w:ascii="Arial" w:hAnsi="Arial" w:cs="Arial"/>
                <w:noProof/>
                <w:sz w:val="20"/>
                <w:szCs w:val="20"/>
                <w:vertAlign w:val="superscript"/>
              </w:rPr>
              <w:t>104</w:t>
            </w:r>
          </w:p>
        </w:tc>
        <w:tc>
          <w:tcPr>
            <w:tcW w:w="1462"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Single burns unit</w:t>
            </w:r>
          </w:p>
        </w:tc>
        <w:tc>
          <w:tcPr>
            <w:tcW w:w="149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Prospective</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Case-controlled</w:t>
            </w:r>
          </w:p>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SCORTEN-based comparison</w:t>
            </w:r>
          </w:p>
        </w:tc>
        <w:tc>
          <w:tcPr>
            <w:tcW w:w="1061"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TEN</w:t>
            </w:r>
            <w:r>
              <w:rPr>
                <w:rFonts w:ascii="Arial" w:hAnsi="Arial" w:cs="Arial"/>
                <w:sz w:val="20"/>
                <w:szCs w:val="20"/>
              </w:rPr>
              <w:t xml:space="preserve"> (23)</w:t>
            </w:r>
          </w:p>
        </w:tc>
        <w:tc>
          <w:tcPr>
            <w:tcW w:w="1951"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4 g/kg over 3 days</w:t>
            </w:r>
          </w:p>
        </w:tc>
        <w:tc>
          <w:tcPr>
            <w:tcW w:w="11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 xml:space="preserve">No significant difference in survival between </w:t>
            </w:r>
            <w:proofErr w:type="spellStart"/>
            <w:r w:rsidRPr="003705FB">
              <w:rPr>
                <w:rFonts w:ascii="Arial" w:hAnsi="Arial" w:cs="Arial"/>
                <w:sz w:val="20"/>
                <w:szCs w:val="20"/>
              </w:rPr>
              <w:t>IVIg</w:t>
            </w:r>
            <w:proofErr w:type="spellEnd"/>
            <w:r w:rsidRPr="003705FB">
              <w:rPr>
                <w:rFonts w:ascii="Arial" w:hAnsi="Arial" w:cs="Arial"/>
                <w:sz w:val="20"/>
                <w:szCs w:val="20"/>
              </w:rPr>
              <w:t xml:space="preserve"> group and control</w:t>
            </w:r>
          </w:p>
        </w:tc>
        <w:tc>
          <w:tcPr>
            <w:tcW w:w="1350"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Supportive care only (n=51)</w:t>
            </w:r>
          </w:p>
        </w:tc>
        <w:tc>
          <w:tcPr>
            <w:tcW w:w="1128"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 xml:space="preserve">Ineffective </w:t>
            </w:r>
          </w:p>
        </w:tc>
        <w:tc>
          <w:tcPr>
            <w:tcW w:w="1145" w:type="dxa"/>
            <w:shd w:val="clear" w:color="auto" w:fill="auto"/>
          </w:tcPr>
          <w:p w:rsidR="00BD084C" w:rsidRPr="003705FB" w:rsidRDefault="00BD084C" w:rsidP="0085034D">
            <w:pPr>
              <w:spacing w:after="0" w:line="240" w:lineRule="auto"/>
              <w:rPr>
                <w:rFonts w:ascii="Arial" w:hAnsi="Arial" w:cs="Arial"/>
                <w:sz w:val="20"/>
                <w:szCs w:val="20"/>
              </w:rPr>
            </w:pPr>
            <w:r w:rsidRPr="003705FB">
              <w:rPr>
                <w:rFonts w:ascii="Arial" w:hAnsi="Arial" w:cs="Arial"/>
                <w:sz w:val="20"/>
                <w:szCs w:val="20"/>
              </w:rPr>
              <w:t>2-</w:t>
            </w:r>
          </w:p>
        </w:tc>
        <w:tc>
          <w:tcPr>
            <w:tcW w:w="1706" w:type="dxa"/>
          </w:tcPr>
          <w:p w:rsidR="00BD084C" w:rsidRPr="003705FB" w:rsidRDefault="00BD084C" w:rsidP="0085034D">
            <w:pPr>
              <w:spacing w:after="0" w:line="240" w:lineRule="auto"/>
              <w:rPr>
                <w:rFonts w:ascii="Arial" w:hAnsi="Arial" w:cs="Arial"/>
                <w:sz w:val="20"/>
                <w:szCs w:val="20"/>
              </w:rPr>
            </w:pPr>
          </w:p>
        </w:tc>
      </w:tr>
      <w:tr w:rsidR="00BD084C" w:rsidRPr="003705FB" w:rsidTr="0085034D">
        <w:trPr>
          <w:trHeight w:val="279"/>
        </w:trPr>
        <w:tc>
          <w:tcPr>
            <w:tcW w:w="1183" w:type="dxa"/>
            <w:shd w:val="clear" w:color="auto" w:fill="auto"/>
          </w:tcPr>
          <w:p w:rsidR="00BD084C" w:rsidRPr="00630F44" w:rsidRDefault="00BD084C" w:rsidP="0085034D">
            <w:pPr>
              <w:spacing w:after="0" w:line="240" w:lineRule="auto"/>
              <w:rPr>
                <w:rFonts w:ascii="Arial" w:hAnsi="Arial" w:cs="Arial"/>
                <w:b/>
                <w:sz w:val="20"/>
                <w:szCs w:val="20"/>
              </w:rPr>
            </w:pPr>
            <w:r w:rsidRPr="00350023">
              <w:rPr>
                <w:rFonts w:ascii="Arial" w:hAnsi="Arial" w:cs="Arial"/>
                <w:b/>
                <w:sz w:val="20"/>
                <w:szCs w:val="20"/>
              </w:rPr>
              <w:t xml:space="preserve">Lee </w:t>
            </w:r>
            <w:r w:rsidRPr="00350023">
              <w:rPr>
                <w:rFonts w:ascii="Arial" w:hAnsi="Arial" w:cs="Arial"/>
                <w:b/>
                <w:sz w:val="20"/>
                <w:szCs w:val="20"/>
              </w:rPr>
              <w:lastRenderedPageBreak/>
              <w:t>2013</w:t>
            </w:r>
            <w:r w:rsidRPr="00350023">
              <w:rPr>
                <w:rFonts w:ascii="Arial" w:hAnsi="Arial" w:cs="Arial"/>
                <w:b/>
                <w:noProof/>
                <w:sz w:val="20"/>
                <w:szCs w:val="20"/>
                <w:vertAlign w:val="superscript"/>
              </w:rPr>
              <w:t>106</w:t>
            </w:r>
          </w:p>
        </w:tc>
        <w:tc>
          <w:tcPr>
            <w:tcW w:w="1462" w:type="dxa"/>
            <w:shd w:val="clear" w:color="auto" w:fill="auto"/>
          </w:tcPr>
          <w:p w:rsidR="00BD084C" w:rsidRPr="003705FB" w:rsidRDefault="00BD084C" w:rsidP="0085034D">
            <w:pPr>
              <w:spacing w:after="0" w:line="240" w:lineRule="auto"/>
              <w:rPr>
                <w:rFonts w:ascii="Arial" w:hAnsi="Arial" w:cs="Arial"/>
                <w:sz w:val="20"/>
                <w:szCs w:val="20"/>
              </w:rPr>
            </w:pPr>
            <w:r>
              <w:rPr>
                <w:rFonts w:ascii="Arial" w:hAnsi="Arial" w:cs="Arial"/>
                <w:sz w:val="20"/>
                <w:szCs w:val="20"/>
              </w:rPr>
              <w:lastRenderedPageBreak/>
              <w:t xml:space="preserve">Single </w:t>
            </w:r>
            <w:r>
              <w:rPr>
                <w:rFonts w:ascii="Arial" w:hAnsi="Arial" w:cs="Arial"/>
                <w:sz w:val="20"/>
                <w:szCs w:val="20"/>
              </w:rPr>
              <w:lastRenderedPageBreak/>
              <w:t>specialized centre</w:t>
            </w:r>
          </w:p>
        </w:tc>
        <w:tc>
          <w:tcPr>
            <w:tcW w:w="1495" w:type="dxa"/>
            <w:shd w:val="clear" w:color="auto" w:fill="auto"/>
          </w:tcPr>
          <w:p w:rsidR="00BD084C" w:rsidRPr="003705FB" w:rsidRDefault="00BD084C" w:rsidP="0085034D">
            <w:pPr>
              <w:spacing w:after="0" w:line="240" w:lineRule="auto"/>
              <w:rPr>
                <w:rFonts w:ascii="Arial" w:hAnsi="Arial" w:cs="Arial"/>
                <w:sz w:val="20"/>
                <w:szCs w:val="20"/>
              </w:rPr>
            </w:pPr>
            <w:r>
              <w:rPr>
                <w:rFonts w:ascii="Arial" w:hAnsi="Arial" w:cs="Arial"/>
                <w:sz w:val="20"/>
                <w:szCs w:val="20"/>
              </w:rPr>
              <w:lastRenderedPageBreak/>
              <w:t xml:space="preserve">Retrospective </w:t>
            </w:r>
            <w:r>
              <w:rPr>
                <w:rFonts w:ascii="Arial" w:hAnsi="Arial" w:cs="Arial"/>
                <w:sz w:val="20"/>
                <w:szCs w:val="20"/>
              </w:rPr>
              <w:lastRenderedPageBreak/>
              <w:t>SCORTEN-based comparison</w:t>
            </w:r>
          </w:p>
        </w:tc>
        <w:tc>
          <w:tcPr>
            <w:tcW w:w="1061" w:type="dxa"/>
            <w:shd w:val="clear" w:color="auto" w:fill="auto"/>
          </w:tcPr>
          <w:p w:rsidR="00BD084C" w:rsidRPr="003705FB" w:rsidRDefault="00BD084C" w:rsidP="0085034D">
            <w:pPr>
              <w:spacing w:after="0" w:line="240" w:lineRule="auto"/>
              <w:rPr>
                <w:rFonts w:ascii="Arial" w:hAnsi="Arial" w:cs="Arial"/>
                <w:sz w:val="20"/>
                <w:szCs w:val="20"/>
              </w:rPr>
            </w:pPr>
            <w:r>
              <w:rPr>
                <w:rFonts w:ascii="Arial" w:hAnsi="Arial" w:cs="Arial"/>
                <w:sz w:val="20"/>
                <w:szCs w:val="20"/>
              </w:rPr>
              <w:lastRenderedPageBreak/>
              <w:t xml:space="preserve">Overlap </w:t>
            </w:r>
            <w:r>
              <w:rPr>
                <w:rFonts w:ascii="Arial" w:hAnsi="Arial" w:cs="Arial"/>
                <w:sz w:val="20"/>
                <w:szCs w:val="20"/>
              </w:rPr>
              <w:lastRenderedPageBreak/>
              <w:t>SJS/TEN (28) TEN (36)</w:t>
            </w:r>
          </w:p>
        </w:tc>
        <w:tc>
          <w:tcPr>
            <w:tcW w:w="1951" w:type="dxa"/>
            <w:shd w:val="clear" w:color="auto" w:fill="auto"/>
          </w:tcPr>
          <w:p w:rsidR="00BD084C" w:rsidRPr="003705FB" w:rsidRDefault="00BD084C" w:rsidP="0085034D">
            <w:pPr>
              <w:spacing w:after="0" w:line="240" w:lineRule="auto"/>
              <w:rPr>
                <w:rFonts w:ascii="Arial" w:hAnsi="Arial" w:cs="Arial"/>
                <w:sz w:val="20"/>
                <w:szCs w:val="20"/>
              </w:rPr>
            </w:pPr>
            <w:r>
              <w:rPr>
                <w:rFonts w:ascii="Arial" w:hAnsi="Arial" w:cs="Arial"/>
                <w:sz w:val="20"/>
                <w:szCs w:val="20"/>
              </w:rPr>
              <w:lastRenderedPageBreak/>
              <w:t>M</w:t>
            </w:r>
            <w:r w:rsidRPr="00630F44">
              <w:rPr>
                <w:rFonts w:ascii="Arial" w:hAnsi="Arial" w:cs="Arial"/>
                <w:sz w:val="20"/>
                <w:szCs w:val="20"/>
              </w:rPr>
              <w:t>ean dose 2.4</w:t>
            </w:r>
            <w:r>
              <w:rPr>
                <w:rFonts w:ascii="Arial" w:hAnsi="Arial" w:cs="Arial"/>
                <w:sz w:val="20"/>
                <w:szCs w:val="20"/>
              </w:rPr>
              <w:t xml:space="preserve"> </w:t>
            </w:r>
            <w:r w:rsidRPr="00630F44">
              <w:rPr>
                <w:rFonts w:ascii="Arial" w:hAnsi="Arial" w:cs="Arial"/>
                <w:sz w:val="20"/>
                <w:szCs w:val="20"/>
              </w:rPr>
              <w:lastRenderedPageBreak/>
              <w:t>g/kg</w:t>
            </w:r>
            <w:r>
              <w:rPr>
                <w:rFonts w:ascii="Arial" w:hAnsi="Arial" w:cs="Arial"/>
                <w:sz w:val="20"/>
                <w:szCs w:val="20"/>
              </w:rPr>
              <w:t xml:space="preserve"> over 4 days</w:t>
            </w:r>
          </w:p>
        </w:tc>
        <w:tc>
          <w:tcPr>
            <w:tcW w:w="1150" w:type="dxa"/>
            <w:shd w:val="clear" w:color="auto" w:fill="auto"/>
          </w:tcPr>
          <w:p w:rsidR="00BD084C" w:rsidRPr="003705FB" w:rsidRDefault="00BD084C" w:rsidP="0085034D">
            <w:pPr>
              <w:spacing w:after="0" w:line="240" w:lineRule="auto"/>
              <w:rPr>
                <w:rFonts w:ascii="Arial" w:hAnsi="Arial" w:cs="Arial"/>
                <w:sz w:val="20"/>
                <w:szCs w:val="20"/>
              </w:rPr>
            </w:pPr>
            <w:r>
              <w:rPr>
                <w:rFonts w:ascii="Arial" w:hAnsi="Arial" w:cs="Arial"/>
                <w:sz w:val="20"/>
                <w:szCs w:val="20"/>
              </w:rPr>
              <w:lastRenderedPageBreak/>
              <w:t xml:space="preserve">20/64 (31%) </w:t>
            </w:r>
          </w:p>
        </w:tc>
        <w:tc>
          <w:tcPr>
            <w:tcW w:w="1350" w:type="dxa"/>
            <w:shd w:val="clear" w:color="auto" w:fill="auto"/>
          </w:tcPr>
          <w:p w:rsidR="00BD084C" w:rsidRDefault="00BD084C" w:rsidP="0085034D">
            <w:pPr>
              <w:spacing w:after="0" w:line="240" w:lineRule="auto"/>
              <w:rPr>
                <w:rFonts w:ascii="Arial" w:hAnsi="Arial" w:cs="Arial"/>
                <w:sz w:val="20"/>
                <w:szCs w:val="20"/>
              </w:rPr>
            </w:pPr>
            <w:r>
              <w:rPr>
                <w:rFonts w:ascii="Arial" w:hAnsi="Arial" w:cs="Arial"/>
                <w:sz w:val="20"/>
                <w:szCs w:val="20"/>
              </w:rPr>
              <w:t>SCORTEN-</w:t>
            </w:r>
            <w:r>
              <w:rPr>
                <w:rFonts w:ascii="Arial" w:hAnsi="Arial" w:cs="Arial"/>
                <w:sz w:val="20"/>
                <w:szCs w:val="20"/>
              </w:rPr>
              <w:lastRenderedPageBreak/>
              <w:t>predicted mortality 18.22/64 (28%)</w:t>
            </w:r>
          </w:p>
          <w:p w:rsidR="00BD084C" w:rsidRDefault="00BD084C" w:rsidP="0085034D">
            <w:pPr>
              <w:spacing w:after="0" w:line="240" w:lineRule="auto"/>
              <w:rPr>
                <w:rFonts w:ascii="Arial" w:hAnsi="Arial" w:cs="Arial"/>
                <w:sz w:val="20"/>
                <w:szCs w:val="20"/>
              </w:rPr>
            </w:pPr>
          </w:p>
          <w:p w:rsidR="00BD084C" w:rsidRPr="003705FB" w:rsidRDefault="00BD084C" w:rsidP="0085034D">
            <w:pPr>
              <w:spacing w:after="0" w:line="240" w:lineRule="auto"/>
              <w:rPr>
                <w:rFonts w:ascii="Arial" w:hAnsi="Arial" w:cs="Arial"/>
                <w:sz w:val="20"/>
                <w:szCs w:val="20"/>
              </w:rPr>
            </w:pPr>
          </w:p>
        </w:tc>
        <w:tc>
          <w:tcPr>
            <w:tcW w:w="1128" w:type="dxa"/>
            <w:shd w:val="clear" w:color="auto" w:fill="auto"/>
          </w:tcPr>
          <w:p w:rsidR="00BD084C" w:rsidRPr="003705FB" w:rsidRDefault="00BD084C" w:rsidP="0085034D">
            <w:pPr>
              <w:spacing w:after="0" w:line="240" w:lineRule="auto"/>
              <w:rPr>
                <w:rFonts w:ascii="Arial" w:hAnsi="Arial" w:cs="Arial"/>
                <w:sz w:val="20"/>
                <w:szCs w:val="20"/>
              </w:rPr>
            </w:pPr>
            <w:r>
              <w:rPr>
                <w:rFonts w:ascii="Arial" w:hAnsi="Arial" w:cs="Arial"/>
                <w:sz w:val="20"/>
                <w:szCs w:val="20"/>
              </w:rPr>
              <w:lastRenderedPageBreak/>
              <w:t>Ineffective</w:t>
            </w:r>
          </w:p>
        </w:tc>
        <w:tc>
          <w:tcPr>
            <w:tcW w:w="1145" w:type="dxa"/>
            <w:shd w:val="clear" w:color="auto" w:fill="auto"/>
          </w:tcPr>
          <w:p w:rsidR="00BD084C" w:rsidRPr="003705FB" w:rsidRDefault="00BD084C" w:rsidP="0085034D">
            <w:pPr>
              <w:spacing w:after="0" w:line="240" w:lineRule="auto"/>
              <w:rPr>
                <w:rFonts w:ascii="Arial" w:hAnsi="Arial" w:cs="Arial"/>
                <w:sz w:val="20"/>
                <w:szCs w:val="20"/>
              </w:rPr>
            </w:pPr>
            <w:r>
              <w:rPr>
                <w:rFonts w:ascii="Arial" w:hAnsi="Arial" w:cs="Arial"/>
                <w:sz w:val="20"/>
                <w:szCs w:val="20"/>
              </w:rPr>
              <w:t>2-</w:t>
            </w:r>
          </w:p>
        </w:tc>
        <w:tc>
          <w:tcPr>
            <w:tcW w:w="1706" w:type="dxa"/>
          </w:tcPr>
          <w:p w:rsidR="00BD084C" w:rsidRPr="003705FB" w:rsidRDefault="00BD084C" w:rsidP="0085034D">
            <w:pPr>
              <w:spacing w:after="0" w:line="240" w:lineRule="auto"/>
              <w:rPr>
                <w:rFonts w:ascii="Arial" w:hAnsi="Arial" w:cs="Arial"/>
                <w:sz w:val="20"/>
                <w:szCs w:val="20"/>
              </w:rPr>
            </w:pPr>
            <w:r w:rsidRPr="00630F44">
              <w:rPr>
                <w:rFonts w:ascii="Arial" w:hAnsi="Arial" w:cs="Arial"/>
                <w:sz w:val="20"/>
                <w:szCs w:val="20"/>
              </w:rPr>
              <w:t xml:space="preserve">No mortality </w:t>
            </w:r>
            <w:r w:rsidRPr="00630F44">
              <w:rPr>
                <w:rFonts w:ascii="Arial" w:hAnsi="Arial" w:cs="Arial"/>
                <w:sz w:val="20"/>
                <w:szCs w:val="20"/>
              </w:rPr>
              <w:lastRenderedPageBreak/>
              <w:t xml:space="preserve">difference when stratified according to high-dose or                                                                                                                                                                 low-dose </w:t>
            </w:r>
            <w:proofErr w:type="spellStart"/>
            <w:r w:rsidRPr="00630F44">
              <w:rPr>
                <w:rFonts w:ascii="Arial" w:hAnsi="Arial" w:cs="Arial"/>
                <w:sz w:val="20"/>
                <w:szCs w:val="20"/>
              </w:rPr>
              <w:t>IVIg</w:t>
            </w:r>
            <w:proofErr w:type="spellEnd"/>
          </w:p>
        </w:tc>
      </w:tr>
      <w:tr w:rsidR="00BD084C" w:rsidRPr="003705FB" w:rsidTr="0085034D">
        <w:trPr>
          <w:trHeight w:val="279"/>
        </w:trPr>
        <w:tc>
          <w:tcPr>
            <w:tcW w:w="1183" w:type="dxa"/>
            <w:shd w:val="clear" w:color="auto" w:fill="auto"/>
          </w:tcPr>
          <w:p w:rsidR="00BD084C" w:rsidRPr="00350023" w:rsidRDefault="00BD084C" w:rsidP="0085034D">
            <w:pPr>
              <w:spacing w:after="0" w:line="240" w:lineRule="auto"/>
              <w:rPr>
                <w:rFonts w:ascii="Arial" w:hAnsi="Arial" w:cs="Arial"/>
                <w:b/>
                <w:sz w:val="20"/>
                <w:szCs w:val="20"/>
              </w:rPr>
            </w:pPr>
            <w:proofErr w:type="spellStart"/>
            <w:r>
              <w:rPr>
                <w:rFonts w:ascii="Arial" w:hAnsi="Arial" w:cs="Arial"/>
                <w:b/>
                <w:sz w:val="20"/>
                <w:szCs w:val="20"/>
              </w:rPr>
              <w:lastRenderedPageBreak/>
              <w:t>Aihara</w:t>
            </w:r>
            <w:proofErr w:type="spellEnd"/>
            <w:r>
              <w:rPr>
                <w:rFonts w:ascii="Arial" w:hAnsi="Arial" w:cs="Arial"/>
                <w:b/>
                <w:sz w:val="20"/>
                <w:szCs w:val="20"/>
              </w:rPr>
              <w:t xml:space="preserve"> 2015</w:t>
            </w:r>
            <w:r w:rsidRPr="00EF73B5">
              <w:rPr>
                <w:rFonts w:ascii="Arial" w:hAnsi="Arial" w:cs="Arial"/>
                <w:b/>
                <w:noProof/>
                <w:sz w:val="20"/>
                <w:szCs w:val="20"/>
                <w:vertAlign w:val="superscript"/>
              </w:rPr>
              <w:t>123</w:t>
            </w:r>
          </w:p>
        </w:tc>
        <w:tc>
          <w:tcPr>
            <w:tcW w:w="1462" w:type="dxa"/>
            <w:shd w:val="clear" w:color="auto" w:fill="auto"/>
          </w:tcPr>
          <w:p w:rsidR="00BD084C" w:rsidRDefault="00BD084C" w:rsidP="0085034D">
            <w:pPr>
              <w:spacing w:after="0" w:line="240" w:lineRule="auto"/>
              <w:rPr>
                <w:rFonts w:ascii="Arial" w:hAnsi="Arial" w:cs="Arial"/>
                <w:sz w:val="20"/>
                <w:szCs w:val="20"/>
              </w:rPr>
            </w:pPr>
            <w:r w:rsidRPr="00482783">
              <w:rPr>
                <w:rFonts w:ascii="Arial" w:hAnsi="Arial" w:cs="Arial"/>
                <w:sz w:val="20"/>
                <w:szCs w:val="20"/>
              </w:rPr>
              <w:t>Multiple dermatology centres</w:t>
            </w:r>
          </w:p>
        </w:tc>
        <w:tc>
          <w:tcPr>
            <w:tcW w:w="1495" w:type="dxa"/>
            <w:shd w:val="clear" w:color="auto" w:fill="auto"/>
          </w:tcPr>
          <w:p w:rsidR="00BD084C" w:rsidRPr="00482783" w:rsidRDefault="00BD084C" w:rsidP="0085034D">
            <w:pPr>
              <w:spacing w:after="0" w:line="240" w:lineRule="auto"/>
              <w:rPr>
                <w:rFonts w:ascii="Arial" w:hAnsi="Arial" w:cs="Arial"/>
                <w:sz w:val="20"/>
                <w:szCs w:val="20"/>
              </w:rPr>
            </w:pPr>
            <w:r w:rsidRPr="00482783">
              <w:rPr>
                <w:rFonts w:ascii="Arial" w:hAnsi="Arial" w:cs="Arial"/>
                <w:sz w:val="20"/>
                <w:szCs w:val="20"/>
              </w:rPr>
              <w:t>Prospective</w:t>
            </w:r>
          </w:p>
          <w:p w:rsidR="00BD084C" w:rsidRPr="00482783" w:rsidRDefault="00BD084C" w:rsidP="0085034D">
            <w:pPr>
              <w:spacing w:after="0" w:line="240" w:lineRule="auto"/>
              <w:rPr>
                <w:rFonts w:ascii="Arial" w:hAnsi="Arial" w:cs="Arial"/>
                <w:sz w:val="20"/>
                <w:szCs w:val="20"/>
              </w:rPr>
            </w:pPr>
            <w:r w:rsidRPr="00482783">
              <w:rPr>
                <w:rFonts w:ascii="Arial" w:hAnsi="Arial" w:cs="Arial"/>
                <w:sz w:val="20"/>
                <w:szCs w:val="20"/>
              </w:rPr>
              <w:t>Case series</w:t>
            </w:r>
          </w:p>
          <w:p w:rsidR="00BD084C" w:rsidRDefault="00BD084C" w:rsidP="0085034D">
            <w:pPr>
              <w:spacing w:after="0" w:line="240" w:lineRule="auto"/>
              <w:rPr>
                <w:rFonts w:ascii="Arial" w:hAnsi="Arial" w:cs="Arial"/>
                <w:sz w:val="20"/>
                <w:szCs w:val="20"/>
              </w:rPr>
            </w:pPr>
            <w:r w:rsidRPr="00482783">
              <w:rPr>
                <w:rFonts w:ascii="Arial" w:hAnsi="Arial" w:cs="Arial"/>
                <w:sz w:val="20"/>
                <w:szCs w:val="20"/>
              </w:rPr>
              <w:t>No comparator group</w:t>
            </w:r>
          </w:p>
        </w:tc>
        <w:tc>
          <w:tcPr>
            <w:tcW w:w="1061" w:type="dxa"/>
            <w:shd w:val="clear" w:color="auto" w:fill="auto"/>
          </w:tcPr>
          <w:p w:rsidR="00BD084C" w:rsidRPr="00482783" w:rsidRDefault="00BD084C" w:rsidP="0085034D">
            <w:pPr>
              <w:spacing w:after="0" w:line="240" w:lineRule="auto"/>
              <w:rPr>
                <w:rFonts w:ascii="Arial" w:hAnsi="Arial" w:cs="Arial"/>
                <w:sz w:val="20"/>
                <w:szCs w:val="20"/>
              </w:rPr>
            </w:pPr>
            <w:r w:rsidRPr="00482783">
              <w:rPr>
                <w:rFonts w:ascii="Arial" w:hAnsi="Arial" w:cs="Arial"/>
                <w:sz w:val="20"/>
                <w:szCs w:val="20"/>
              </w:rPr>
              <w:t>SJS (5)</w:t>
            </w:r>
          </w:p>
          <w:p w:rsidR="00BD084C" w:rsidRDefault="00BD084C" w:rsidP="0085034D">
            <w:pPr>
              <w:spacing w:after="0" w:line="240" w:lineRule="auto"/>
              <w:rPr>
                <w:rFonts w:ascii="Arial" w:hAnsi="Arial" w:cs="Arial"/>
                <w:sz w:val="20"/>
                <w:szCs w:val="20"/>
              </w:rPr>
            </w:pPr>
            <w:r w:rsidRPr="00482783">
              <w:rPr>
                <w:rFonts w:ascii="Arial" w:hAnsi="Arial" w:cs="Arial"/>
                <w:sz w:val="20"/>
                <w:szCs w:val="20"/>
              </w:rPr>
              <w:t>TEN (3)</w:t>
            </w:r>
          </w:p>
        </w:tc>
        <w:tc>
          <w:tcPr>
            <w:tcW w:w="1951" w:type="dxa"/>
            <w:shd w:val="clear" w:color="auto" w:fill="auto"/>
          </w:tcPr>
          <w:p w:rsidR="00BD084C" w:rsidRDefault="00BD084C" w:rsidP="0085034D">
            <w:pPr>
              <w:spacing w:after="0" w:line="240" w:lineRule="auto"/>
              <w:rPr>
                <w:rFonts w:ascii="Arial" w:hAnsi="Arial" w:cs="Arial"/>
                <w:sz w:val="20"/>
                <w:szCs w:val="20"/>
              </w:rPr>
            </w:pPr>
            <w:r w:rsidRPr="00482783">
              <w:rPr>
                <w:rFonts w:ascii="Arial" w:hAnsi="Arial" w:cs="Arial"/>
                <w:sz w:val="20"/>
                <w:szCs w:val="20"/>
              </w:rPr>
              <w:t>400</w:t>
            </w:r>
            <w:r>
              <w:rPr>
                <w:rFonts w:ascii="Arial" w:hAnsi="Arial" w:cs="Arial"/>
                <w:sz w:val="20"/>
                <w:szCs w:val="20"/>
              </w:rPr>
              <w:t xml:space="preserve"> mg/kg/d </w:t>
            </w:r>
            <w:proofErr w:type="spellStart"/>
            <w:r w:rsidRPr="00482783">
              <w:rPr>
                <w:rFonts w:ascii="Arial" w:hAnsi="Arial" w:cs="Arial"/>
                <w:sz w:val="20"/>
                <w:szCs w:val="20"/>
              </w:rPr>
              <w:t>IVIg</w:t>
            </w:r>
            <w:proofErr w:type="spellEnd"/>
            <w:r w:rsidRPr="00482783">
              <w:rPr>
                <w:rFonts w:ascii="Arial" w:hAnsi="Arial" w:cs="Arial"/>
                <w:sz w:val="20"/>
                <w:szCs w:val="20"/>
              </w:rPr>
              <w:t xml:space="preserve"> for 5 consecutive days in conjunction with systemic corticosteroid therapy (variable dose)</w:t>
            </w:r>
          </w:p>
        </w:tc>
        <w:tc>
          <w:tcPr>
            <w:tcW w:w="1150" w:type="dxa"/>
            <w:shd w:val="clear" w:color="auto" w:fill="auto"/>
          </w:tcPr>
          <w:p w:rsidR="00BD084C" w:rsidRPr="00482783" w:rsidRDefault="00BD084C" w:rsidP="0085034D">
            <w:pPr>
              <w:spacing w:after="0" w:line="240" w:lineRule="auto"/>
              <w:rPr>
                <w:rFonts w:ascii="Arial" w:hAnsi="Arial" w:cs="Arial"/>
                <w:sz w:val="20"/>
                <w:szCs w:val="20"/>
              </w:rPr>
            </w:pPr>
            <w:r w:rsidRPr="00482783">
              <w:rPr>
                <w:rFonts w:ascii="Arial" w:hAnsi="Arial" w:cs="Arial"/>
                <w:sz w:val="20"/>
                <w:szCs w:val="20"/>
              </w:rPr>
              <w:t>0/8 (0%)</w:t>
            </w:r>
          </w:p>
          <w:p w:rsidR="00BD084C" w:rsidRDefault="00BD084C" w:rsidP="0085034D">
            <w:pPr>
              <w:spacing w:after="0" w:line="240" w:lineRule="auto"/>
              <w:rPr>
                <w:rFonts w:ascii="Arial" w:hAnsi="Arial" w:cs="Arial"/>
                <w:sz w:val="20"/>
                <w:szCs w:val="20"/>
              </w:rPr>
            </w:pPr>
            <w:r w:rsidRPr="00482783">
              <w:rPr>
                <w:rFonts w:ascii="Arial" w:hAnsi="Arial" w:cs="Arial"/>
                <w:sz w:val="20"/>
                <w:szCs w:val="20"/>
              </w:rPr>
              <w:t>7/8 patients classed as ‘responders’ according to a severity-of-illness score designed by the authors</w:t>
            </w:r>
          </w:p>
        </w:tc>
        <w:tc>
          <w:tcPr>
            <w:tcW w:w="1350" w:type="dxa"/>
            <w:shd w:val="clear" w:color="auto" w:fill="auto"/>
          </w:tcPr>
          <w:p w:rsidR="00BD084C" w:rsidRDefault="00BD084C" w:rsidP="0085034D">
            <w:pPr>
              <w:spacing w:after="0" w:line="240" w:lineRule="auto"/>
              <w:rPr>
                <w:rFonts w:ascii="Arial" w:hAnsi="Arial" w:cs="Arial"/>
                <w:sz w:val="20"/>
                <w:szCs w:val="20"/>
              </w:rPr>
            </w:pPr>
            <w:r>
              <w:rPr>
                <w:rFonts w:ascii="Arial" w:hAnsi="Arial" w:cs="Arial"/>
                <w:sz w:val="20"/>
                <w:szCs w:val="20"/>
              </w:rPr>
              <w:t>None</w:t>
            </w:r>
          </w:p>
        </w:tc>
        <w:tc>
          <w:tcPr>
            <w:tcW w:w="1128" w:type="dxa"/>
            <w:shd w:val="clear" w:color="auto" w:fill="auto"/>
          </w:tcPr>
          <w:p w:rsidR="00BD084C" w:rsidRDefault="00BD084C" w:rsidP="0085034D">
            <w:pPr>
              <w:spacing w:after="0" w:line="240" w:lineRule="auto"/>
              <w:rPr>
                <w:rFonts w:ascii="Arial" w:hAnsi="Arial" w:cs="Arial"/>
                <w:sz w:val="20"/>
                <w:szCs w:val="20"/>
              </w:rPr>
            </w:pPr>
            <w:r w:rsidRPr="00482783">
              <w:rPr>
                <w:rFonts w:ascii="Arial" w:hAnsi="Arial" w:cs="Arial"/>
                <w:sz w:val="20"/>
                <w:szCs w:val="20"/>
              </w:rPr>
              <w:t>Effective</w:t>
            </w:r>
          </w:p>
        </w:tc>
        <w:tc>
          <w:tcPr>
            <w:tcW w:w="1145" w:type="dxa"/>
            <w:shd w:val="clear" w:color="auto" w:fill="auto"/>
          </w:tcPr>
          <w:p w:rsidR="00BD084C" w:rsidRDefault="00BD084C" w:rsidP="0085034D">
            <w:pPr>
              <w:spacing w:after="0" w:line="240" w:lineRule="auto"/>
              <w:rPr>
                <w:rFonts w:ascii="Arial" w:hAnsi="Arial" w:cs="Arial"/>
                <w:sz w:val="20"/>
                <w:szCs w:val="20"/>
              </w:rPr>
            </w:pPr>
            <w:r>
              <w:rPr>
                <w:rFonts w:ascii="Arial" w:hAnsi="Arial" w:cs="Arial"/>
                <w:sz w:val="20"/>
                <w:szCs w:val="20"/>
              </w:rPr>
              <w:t>3</w:t>
            </w:r>
          </w:p>
        </w:tc>
        <w:tc>
          <w:tcPr>
            <w:tcW w:w="1706" w:type="dxa"/>
          </w:tcPr>
          <w:p w:rsidR="00BD084C" w:rsidRPr="00482783" w:rsidRDefault="00BD084C" w:rsidP="0085034D">
            <w:pPr>
              <w:spacing w:after="0" w:line="240" w:lineRule="auto"/>
              <w:rPr>
                <w:rFonts w:ascii="Arial" w:hAnsi="Arial" w:cs="Arial"/>
                <w:sz w:val="20"/>
                <w:szCs w:val="20"/>
              </w:rPr>
            </w:pPr>
            <w:r w:rsidRPr="00482783">
              <w:rPr>
                <w:rFonts w:ascii="Arial" w:hAnsi="Arial" w:cs="Arial"/>
                <w:sz w:val="20"/>
                <w:szCs w:val="20"/>
              </w:rPr>
              <w:t>Co-treatment of all patients with corticosteroid - variable dosing</w:t>
            </w:r>
            <w:r>
              <w:rPr>
                <w:rFonts w:ascii="Arial" w:hAnsi="Arial" w:cs="Arial"/>
                <w:sz w:val="20"/>
                <w:szCs w:val="20"/>
              </w:rPr>
              <w:t>.</w:t>
            </w:r>
          </w:p>
          <w:p w:rsidR="00BD084C" w:rsidRPr="00630F44" w:rsidRDefault="00BD084C" w:rsidP="0085034D">
            <w:pPr>
              <w:spacing w:after="0" w:line="240" w:lineRule="auto"/>
              <w:rPr>
                <w:rFonts w:ascii="Arial" w:hAnsi="Arial" w:cs="Arial"/>
                <w:sz w:val="20"/>
                <w:szCs w:val="20"/>
              </w:rPr>
            </w:pPr>
            <w:r w:rsidRPr="00482783">
              <w:rPr>
                <w:rFonts w:ascii="Arial" w:hAnsi="Arial" w:cs="Arial"/>
                <w:sz w:val="20"/>
                <w:szCs w:val="20"/>
              </w:rPr>
              <w:t>Only 8/41 cases i</w:t>
            </w:r>
            <w:r>
              <w:rPr>
                <w:rFonts w:ascii="Arial" w:hAnsi="Arial" w:cs="Arial"/>
                <w:sz w:val="20"/>
                <w:szCs w:val="20"/>
              </w:rPr>
              <w:t xml:space="preserve">ncluded in the final report – </w:t>
            </w:r>
            <w:r w:rsidRPr="00482783">
              <w:rPr>
                <w:rFonts w:ascii="Arial" w:hAnsi="Arial" w:cs="Arial"/>
                <w:sz w:val="20"/>
                <w:szCs w:val="20"/>
              </w:rPr>
              <w:t>reporting bias</w:t>
            </w:r>
          </w:p>
        </w:tc>
      </w:tr>
    </w:tbl>
    <w:p w:rsidR="00BD084C" w:rsidRPr="00297A95" w:rsidRDefault="00BD084C" w:rsidP="0085034D">
      <w:pPr>
        <w:pStyle w:val="NoSpacing"/>
        <w:spacing w:line="276" w:lineRule="auto"/>
        <w:jc w:val="both"/>
        <w:rPr>
          <w:rFonts w:ascii="Arial" w:hAnsi="Arial" w:cs="Arial"/>
          <w:b/>
        </w:rPr>
        <w:sectPr w:rsidR="00BD084C" w:rsidRPr="00297A95" w:rsidSect="0085034D">
          <w:pgSz w:w="16838" w:h="11906" w:orient="landscape"/>
          <w:pgMar w:top="1440" w:right="1440" w:bottom="1440" w:left="1440" w:header="708" w:footer="708" w:gutter="0"/>
          <w:cols w:space="708"/>
          <w:docGrid w:linePitch="360"/>
        </w:sectPr>
      </w:pPr>
    </w:p>
    <w:p w:rsidR="00BD084C" w:rsidRPr="00297A95" w:rsidRDefault="00BD084C" w:rsidP="0085034D">
      <w:pPr>
        <w:pStyle w:val="NoSpacing"/>
        <w:spacing w:line="276" w:lineRule="auto"/>
        <w:jc w:val="both"/>
        <w:rPr>
          <w:rFonts w:ascii="Arial" w:hAnsi="Arial" w:cs="Arial"/>
        </w:rPr>
      </w:pPr>
      <w:r w:rsidRPr="00297A95">
        <w:rPr>
          <w:rFonts w:ascii="Arial" w:hAnsi="Arial" w:cs="Arial"/>
          <w:b/>
        </w:rPr>
        <w:lastRenderedPageBreak/>
        <w:t xml:space="preserve">Table </w:t>
      </w:r>
      <w:r>
        <w:rPr>
          <w:rFonts w:ascii="Arial" w:hAnsi="Arial" w:cs="Arial"/>
          <w:b/>
        </w:rPr>
        <w:t>8</w:t>
      </w:r>
      <w:r w:rsidRPr="00297A95">
        <w:rPr>
          <w:rFonts w:ascii="Arial" w:hAnsi="Arial" w:cs="Arial"/>
        </w:rPr>
        <w:t>: Summary of corticosteroid studies in SJS/TEN</w:t>
      </w:r>
    </w:p>
    <w:p w:rsidR="00BD084C" w:rsidRPr="00297A95" w:rsidRDefault="00BD084C" w:rsidP="0085034D">
      <w:pPr>
        <w:spacing w:line="240" w:lineRule="auto"/>
        <w:rPr>
          <w:rFonts w:eastAsia="Cambria"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17"/>
        <w:gridCol w:w="1559"/>
        <w:gridCol w:w="1134"/>
        <w:gridCol w:w="1561"/>
        <w:gridCol w:w="1610"/>
        <w:gridCol w:w="1610"/>
        <w:gridCol w:w="1610"/>
        <w:gridCol w:w="962"/>
        <w:gridCol w:w="1610"/>
      </w:tblGrid>
      <w:tr w:rsidR="00BD084C" w:rsidRPr="00297A95" w:rsidTr="0085034D">
        <w:tc>
          <w:tcPr>
            <w:tcW w:w="1101"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b/>
                <w:bCs/>
                <w:sz w:val="20"/>
                <w:szCs w:val="20"/>
              </w:rPr>
              <w:t>Study</w:t>
            </w:r>
          </w:p>
        </w:tc>
        <w:tc>
          <w:tcPr>
            <w:tcW w:w="1417"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b/>
                <w:bCs/>
                <w:sz w:val="20"/>
                <w:szCs w:val="20"/>
              </w:rPr>
              <w:t>Setting</w:t>
            </w:r>
          </w:p>
        </w:tc>
        <w:tc>
          <w:tcPr>
            <w:tcW w:w="1559" w:type="dxa"/>
          </w:tcPr>
          <w:p w:rsidR="00BD084C" w:rsidRPr="003705FB" w:rsidRDefault="00BD084C" w:rsidP="0085034D">
            <w:pPr>
              <w:spacing w:line="240" w:lineRule="auto"/>
              <w:rPr>
                <w:rFonts w:ascii="Arial" w:eastAsia="Cambria" w:hAnsi="Arial" w:cs="Arial"/>
                <w:sz w:val="20"/>
                <w:szCs w:val="20"/>
                <w:vertAlign w:val="superscript"/>
              </w:rPr>
            </w:pPr>
            <w:r w:rsidRPr="00297A95">
              <w:rPr>
                <w:rFonts w:ascii="Arial" w:eastAsia="Cambria" w:hAnsi="Arial" w:cs="Arial"/>
                <w:b/>
                <w:bCs/>
                <w:sz w:val="20"/>
                <w:szCs w:val="20"/>
              </w:rPr>
              <w:t>Design</w:t>
            </w:r>
          </w:p>
        </w:tc>
        <w:tc>
          <w:tcPr>
            <w:tcW w:w="1134" w:type="dxa"/>
          </w:tcPr>
          <w:p w:rsidR="00BD084C" w:rsidRPr="00297A95" w:rsidRDefault="00BD084C" w:rsidP="0085034D">
            <w:pPr>
              <w:spacing w:line="240" w:lineRule="auto"/>
              <w:rPr>
                <w:rFonts w:ascii="Arial" w:eastAsia="Cambria" w:hAnsi="Arial" w:cs="Arial"/>
                <w:sz w:val="20"/>
                <w:szCs w:val="20"/>
              </w:rPr>
            </w:pPr>
            <w:r>
              <w:rPr>
                <w:rFonts w:ascii="Arial" w:eastAsia="Cambria" w:hAnsi="Arial" w:cs="Arial"/>
                <w:b/>
                <w:bCs/>
                <w:sz w:val="20"/>
                <w:szCs w:val="20"/>
              </w:rPr>
              <w:t xml:space="preserve">Patient </w:t>
            </w:r>
            <w:r w:rsidRPr="00297A95">
              <w:rPr>
                <w:rFonts w:ascii="Arial" w:eastAsia="Cambria" w:hAnsi="Arial" w:cs="Arial"/>
                <w:b/>
                <w:bCs/>
                <w:sz w:val="20"/>
                <w:szCs w:val="20"/>
              </w:rPr>
              <w:t>number</w:t>
            </w:r>
            <w:r>
              <w:rPr>
                <w:rFonts w:ascii="Arial" w:eastAsia="Cambria" w:hAnsi="Arial" w:cs="Arial"/>
                <w:b/>
                <w:bCs/>
                <w:sz w:val="20"/>
                <w:szCs w:val="20"/>
              </w:rPr>
              <w:t>s</w:t>
            </w:r>
          </w:p>
        </w:tc>
        <w:tc>
          <w:tcPr>
            <w:tcW w:w="1561"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b/>
                <w:bCs/>
                <w:sz w:val="20"/>
                <w:szCs w:val="20"/>
              </w:rPr>
              <w:t>Intervention</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b/>
                <w:bCs/>
                <w:sz w:val="20"/>
                <w:szCs w:val="20"/>
              </w:rPr>
              <w:t>Outcome (mortality)</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b/>
                <w:bCs/>
                <w:sz w:val="20"/>
                <w:szCs w:val="20"/>
              </w:rPr>
              <w:t>Comparator</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b/>
                <w:bCs/>
                <w:sz w:val="20"/>
                <w:szCs w:val="20"/>
              </w:rPr>
              <w:t>Reported benefit</w:t>
            </w:r>
          </w:p>
        </w:tc>
        <w:tc>
          <w:tcPr>
            <w:tcW w:w="962" w:type="dxa"/>
          </w:tcPr>
          <w:p w:rsidR="00BD084C" w:rsidRPr="003705FB" w:rsidRDefault="00BD084C" w:rsidP="0085034D">
            <w:pPr>
              <w:spacing w:line="240" w:lineRule="auto"/>
              <w:rPr>
                <w:rFonts w:ascii="Arial" w:eastAsia="Cambria" w:hAnsi="Arial" w:cs="Arial"/>
                <w:sz w:val="20"/>
                <w:szCs w:val="20"/>
                <w:vertAlign w:val="superscript"/>
              </w:rPr>
            </w:pPr>
            <w:r w:rsidRPr="00297A95">
              <w:rPr>
                <w:rFonts w:ascii="Arial" w:hAnsi="Arial" w:cs="Arial"/>
                <w:b/>
                <w:sz w:val="20"/>
                <w:szCs w:val="20"/>
              </w:rPr>
              <w:t>Level of evidence</w:t>
            </w:r>
            <w:r w:rsidRPr="005A0A52">
              <w:rPr>
                <w:rFonts w:ascii="Arial" w:hAnsi="Arial" w:cs="Arial"/>
                <w:b/>
                <w:sz w:val="20"/>
                <w:szCs w:val="20"/>
                <w:vertAlign w:val="superscript"/>
              </w:rPr>
              <w:t>1</w:t>
            </w:r>
          </w:p>
        </w:tc>
        <w:tc>
          <w:tcPr>
            <w:tcW w:w="1610" w:type="dxa"/>
          </w:tcPr>
          <w:p w:rsidR="00BD084C" w:rsidRPr="00297A95" w:rsidRDefault="00BD084C" w:rsidP="0085034D">
            <w:pPr>
              <w:spacing w:line="240" w:lineRule="auto"/>
              <w:rPr>
                <w:rFonts w:ascii="Arial" w:eastAsia="Cambria" w:hAnsi="Arial" w:cs="Arial"/>
                <w:sz w:val="20"/>
                <w:szCs w:val="20"/>
              </w:rPr>
            </w:pPr>
            <w:r>
              <w:rPr>
                <w:rFonts w:ascii="Arial" w:eastAsia="Cambria" w:hAnsi="Arial" w:cs="Arial"/>
                <w:b/>
                <w:bCs/>
                <w:sz w:val="20"/>
                <w:szCs w:val="20"/>
              </w:rPr>
              <w:t>Additional notes</w:t>
            </w:r>
          </w:p>
        </w:tc>
      </w:tr>
      <w:tr w:rsidR="00BD084C" w:rsidRPr="00297A95" w:rsidTr="0085034D">
        <w:tc>
          <w:tcPr>
            <w:tcW w:w="1101"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b/>
                <w:bCs/>
                <w:sz w:val="20"/>
                <w:szCs w:val="20"/>
              </w:rPr>
              <w:t>Murphy 1997</w:t>
            </w:r>
            <w:r w:rsidRPr="00BF0F49">
              <w:rPr>
                <w:rFonts w:ascii="Arial" w:eastAsia="Cambria" w:hAnsi="Arial" w:cs="Arial"/>
                <w:bCs/>
                <w:noProof/>
                <w:sz w:val="20"/>
                <w:szCs w:val="20"/>
                <w:vertAlign w:val="superscript"/>
              </w:rPr>
              <w:t>111</w:t>
            </w:r>
          </w:p>
        </w:tc>
        <w:tc>
          <w:tcPr>
            <w:tcW w:w="1417"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 xml:space="preserve">Single </w:t>
            </w:r>
          </w:p>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Burn</w:t>
            </w:r>
            <w:r>
              <w:rPr>
                <w:rFonts w:ascii="Arial" w:eastAsia="Cambria" w:hAnsi="Arial" w:cs="Arial"/>
                <w:sz w:val="20"/>
                <w:szCs w:val="20"/>
              </w:rPr>
              <w:t xml:space="preserve"> Centre</w:t>
            </w:r>
          </w:p>
        </w:tc>
        <w:tc>
          <w:tcPr>
            <w:tcW w:w="1559"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Retrospective</w:t>
            </w:r>
          </w:p>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Case series</w:t>
            </w:r>
          </w:p>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Non-controlled</w:t>
            </w:r>
          </w:p>
        </w:tc>
        <w:tc>
          <w:tcPr>
            <w:tcW w:w="1134"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TEN (12)</w:t>
            </w:r>
          </w:p>
        </w:tc>
        <w:tc>
          <w:tcPr>
            <w:tcW w:w="1561"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 xml:space="preserve">Highly variable doses received, no details re specific dosing </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8/12</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Not applicable</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No comment made by authors</w:t>
            </w:r>
          </w:p>
        </w:tc>
        <w:tc>
          <w:tcPr>
            <w:tcW w:w="962"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3</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Timing, duration and dose of corticosteroid therapy highly variable.</w:t>
            </w:r>
          </w:p>
        </w:tc>
      </w:tr>
      <w:tr w:rsidR="00BD084C" w:rsidRPr="00297A95" w:rsidTr="0085034D">
        <w:tc>
          <w:tcPr>
            <w:tcW w:w="1101"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b/>
                <w:bCs/>
                <w:sz w:val="20"/>
                <w:szCs w:val="20"/>
              </w:rPr>
              <w:t>Schulz 2000</w:t>
            </w:r>
            <w:r w:rsidRPr="00FF70EF">
              <w:rPr>
                <w:rFonts w:ascii="Arial" w:eastAsia="Cambria" w:hAnsi="Arial" w:cs="Arial"/>
                <w:bCs/>
                <w:noProof/>
                <w:sz w:val="20"/>
                <w:szCs w:val="20"/>
                <w:vertAlign w:val="superscript"/>
              </w:rPr>
              <w:t>29</w:t>
            </w:r>
          </w:p>
        </w:tc>
        <w:tc>
          <w:tcPr>
            <w:tcW w:w="1417"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 xml:space="preserve">Single </w:t>
            </w:r>
          </w:p>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Burn</w:t>
            </w:r>
            <w:r>
              <w:rPr>
                <w:rFonts w:ascii="Arial" w:eastAsia="Cambria" w:hAnsi="Arial" w:cs="Arial"/>
                <w:sz w:val="20"/>
                <w:szCs w:val="20"/>
              </w:rPr>
              <w:t xml:space="preserve"> Centre</w:t>
            </w:r>
          </w:p>
        </w:tc>
        <w:tc>
          <w:tcPr>
            <w:tcW w:w="1559"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Retrospective</w:t>
            </w:r>
          </w:p>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Case series</w:t>
            </w:r>
          </w:p>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Non-controlled</w:t>
            </w:r>
          </w:p>
        </w:tc>
        <w:tc>
          <w:tcPr>
            <w:tcW w:w="1134"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TEN (34)</w:t>
            </w:r>
          </w:p>
        </w:tc>
        <w:tc>
          <w:tcPr>
            <w:tcW w:w="1561"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No details about corticosteroid dosing</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13/34</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Not applicable</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Ineffective</w:t>
            </w:r>
          </w:p>
        </w:tc>
        <w:tc>
          <w:tcPr>
            <w:tcW w:w="962"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3</w:t>
            </w:r>
          </w:p>
        </w:tc>
        <w:tc>
          <w:tcPr>
            <w:tcW w:w="1610"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No evidence of case validation</w:t>
            </w:r>
          </w:p>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No details regarding steroid dosing.</w:t>
            </w:r>
          </w:p>
        </w:tc>
      </w:tr>
      <w:tr w:rsidR="00BD084C" w:rsidRPr="00297A95" w:rsidTr="0085034D">
        <w:tc>
          <w:tcPr>
            <w:tcW w:w="1101" w:type="dxa"/>
          </w:tcPr>
          <w:p w:rsidR="00BD084C" w:rsidRPr="00297A95" w:rsidRDefault="00BD084C" w:rsidP="0085034D">
            <w:pPr>
              <w:spacing w:after="0" w:line="240" w:lineRule="auto"/>
              <w:rPr>
                <w:rFonts w:ascii="Arial" w:eastAsia="Cambria" w:hAnsi="Arial" w:cs="Arial"/>
                <w:sz w:val="20"/>
                <w:szCs w:val="20"/>
              </w:rPr>
            </w:pPr>
            <w:proofErr w:type="spellStart"/>
            <w:r w:rsidRPr="00297A95">
              <w:rPr>
                <w:rFonts w:ascii="Arial" w:eastAsia="Cambria" w:hAnsi="Arial" w:cs="Arial"/>
                <w:b/>
                <w:bCs/>
                <w:sz w:val="20"/>
                <w:szCs w:val="20"/>
              </w:rPr>
              <w:t>Tripathi</w:t>
            </w:r>
            <w:proofErr w:type="spellEnd"/>
            <w:r w:rsidRPr="00297A95">
              <w:rPr>
                <w:rFonts w:ascii="Arial" w:eastAsia="Cambria" w:hAnsi="Arial" w:cs="Arial"/>
                <w:b/>
                <w:bCs/>
                <w:sz w:val="20"/>
                <w:szCs w:val="20"/>
              </w:rPr>
              <w:t xml:space="preserve"> 2000</w:t>
            </w:r>
            <w:r w:rsidRPr="00BF0F49">
              <w:rPr>
                <w:rFonts w:ascii="Arial" w:eastAsia="Cambria" w:hAnsi="Arial" w:cs="Arial"/>
                <w:bCs/>
                <w:noProof/>
                <w:sz w:val="20"/>
                <w:szCs w:val="20"/>
                <w:vertAlign w:val="superscript"/>
              </w:rPr>
              <w:t>108</w:t>
            </w:r>
          </w:p>
        </w:tc>
        <w:tc>
          <w:tcPr>
            <w:tcW w:w="1417"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Single  dermatology</w:t>
            </w:r>
            <w:r>
              <w:rPr>
                <w:rFonts w:ascii="Arial" w:eastAsia="Cambria" w:hAnsi="Arial" w:cs="Arial"/>
                <w:sz w:val="20"/>
                <w:szCs w:val="20"/>
              </w:rPr>
              <w:t xml:space="preserve"> centre</w:t>
            </w:r>
          </w:p>
        </w:tc>
        <w:tc>
          <w:tcPr>
            <w:tcW w:w="1559"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Retrospective</w:t>
            </w:r>
          </w:p>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Case series</w:t>
            </w:r>
          </w:p>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Non-controlled</w:t>
            </w:r>
          </w:p>
        </w:tc>
        <w:tc>
          <w:tcPr>
            <w:tcW w:w="1134"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SJS (13)</w:t>
            </w:r>
          </w:p>
        </w:tc>
        <w:tc>
          <w:tcPr>
            <w:tcW w:w="1561"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Methylprednisolone 160 – 240 mg/day – tapered when clinical response seen (no mean duration given)</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 xml:space="preserve">1/13 </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Not applicable</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No comment</w:t>
            </w:r>
          </w:p>
        </w:tc>
        <w:tc>
          <w:tcPr>
            <w:tcW w:w="962"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3</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No evidence of case validation</w:t>
            </w:r>
          </w:p>
        </w:tc>
      </w:tr>
      <w:tr w:rsidR="00BD084C" w:rsidRPr="00297A95" w:rsidTr="0085034D">
        <w:tc>
          <w:tcPr>
            <w:tcW w:w="1101" w:type="dxa"/>
          </w:tcPr>
          <w:p w:rsidR="00BD084C" w:rsidRPr="00297A95" w:rsidRDefault="00BD084C" w:rsidP="0085034D">
            <w:pPr>
              <w:spacing w:after="0" w:line="240" w:lineRule="auto"/>
              <w:rPr>
                <w:rFonts w:ascii="Arial" w:eastAsia="Cambria" w:hAnsi="Arial" w:cs="Arial"/>
                <w:sz w:val="20"/>
                <w:szCs w:val="20"/>
              </w:rPr>
            </w:pPr>
            <w:proofErr w:type="spellStart"/>
            <w:r w:rsidRPr="00297A95">
              <w:rPr>
                <w:rFonts w:ascii="Arial" w:eastAsia="Cambria" w:hAnsi="Arial" w:cs="Arial"/>
                <w:b/>
                <w:bCs/>
                <w:sz w:val="20"/>
                <w:szCs w:val="20"/>
              </w:rPr>
              <w:t>Ducic</w:t>
            </w:r>
            <w:proofErr w:type="spellEnd"/>
            <w:r w:rsidRPr="00297A95">
              <w:rPr>
                <w:rFonts w:ascii="Arial" w:eastAsia="Cambria" w:hAnsi="Arial" w:cs="Arial"/>
                <w:b/>
                <w:bCs/>
                <w:sz w:val="20"/>
                <w:szCs w:val="20"/>
              </w:rPr>
              <w:t xml:space="preserve"> 2002</w:t>
            </w:r>
            <w:r w:rsidRPr="00FF70EF">
              <w:rPr>
                <w:rFonts w:ascii="Arial" w:eastAsia="Cambria" w:hAnsi="Arial" w:cs="Arial"/>
                <w:bCs/>
                <w:noProof/>
                <w:sz w:val="20"/>
                <w:szCs w:val="20"/>
                <w:vertAlign w:val="superscript"/>
              </w:rPr>
              <w:t>30</w:t>
            </w:r>
          </w:p>
        </w:tc>
        <w:tc>
          <w:tcPr>
            <w:tcW w:w="1417"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Single  Burn</w:t>
            </w:r>
            <w:r>
              <w:rPr>
                <w:rFonts w:ascii="Arial" w:eastAsia="Cambria" w:hAnsi="Arial" w:cs="Arial"/>
                <w:sz w:val="20"/>
                <w:szCs w:val="20"/>
              </w:rPr>
              <w:t xml:space="preserve"> Centre</w:t>
            </w:r>
          </w:p>
        </w:tc>
        <w:tc>
          <w:tcPr>
            <w:tcW w:w="1559"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Retrospective</w:t>
            </w:r>
          </w:p>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Case series</w:t>
            </w:r>
          </w:p>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Non-controlled</w:t>
            </w:r>
          </w:p>
        </w:tc>
        <w:tc>
          <w:tcPr>
            <w:tcW w:w="1134"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TEN (29)</w:t>
            </w:r>
          </w:p>
        </w:tc>
        <w:tc>
          <w:tcPr>
            <w:tcW w:w="1561"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No information about dosage provided</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13/29</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Not applicable</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No comment made by authors</w:t>
            </w:r>
          </w:p>
        </w:tc>
        <w:tc>
          <w:tcPr>
            <w:tcW w:w="962"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3</w:t>
            </w:r>
          </w:p>
        </w:tc>
        <w:tc>
          <w:tcPr>
            <w:tcW w:w="1610"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No evidence of case validation.</w:t>
            </w:r>
          </w:p>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 xml:space="preserve">TEN </w:t>
            </w:r>
            <w:proofErr w:type="gramStart"/>
            <w:r w:rsidRPr="00297A95">
              <w:rPr>
                <w:rFonts w:ascii="Arial" w:eastAsia="Cambria" w:hAnsi="Arial" w:cs="Arial"/>
                <w:sz w:val="20"/>
                <w:szCs w:val="20"/>
              </w:rPr>
              <w:t>diagnosis</w:t>
            </w:r>
            <w:proofErr w:type="gramEnd"/>
            <w:r w:rsidRPr="00297A95">
              <w:rPr>
                <w:rFonts w:ascii="Arial" w:eastAsia="Cambria" w:hAnsi="Arial" w:cs="Arial"/>
                <w:sz w:val="20"/>
                <w:szCs w:val="20"/>
              </w:rPr>
              <w:t xml:space="preserve"> based on ≥20% BSA detachment as opposed to 30%, therefore </w:t>
            </w:r>
            <w:r w:rsidRPr="00297A95">
              <w:rPr>
                <w:rFonts w:ascii="Arial" w:eastAsia="Cambria" w:hAnsi="Arial" w:cs="Arial"/>
                <w:sz w:val="20"/>
                <w:szCs w:val="20"/>
              </w:rPr>
              <w:lastRenderedPageBreak/>
              <w:t>some cases may be overlap.</w:t>
            </w:r>
          </w:p>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No information about corticosteroid dosing.</w:t>
            </w:r>
          </w:p>
        </w:tc>
      </w:tr>
      <w:tr w:rsidR="00BD084C" w:rsidRPr="00297A95" w:rsidTr="0085034D">
        <w:tc>
          <w:tcPr>
            <w:tcW w:w="1101" w:type="dxa"/>
          </w:tcPr>
          <w:p w:rsidR="00BD084C" w:rsidRPr="00297A95" w:rsidRDefault="00BD084C" w:rsidP="0085034D">
            <w:pPr>
              <w:spacing w:after="0" w:line="240" w:lineRule="auto"/>
              <w:rPr>
                <w:rFonts w:ascii="Arial" w:eastAsia="Cambria" w:hAnsi="Arial" w:cs="Arial"/>
                <w:b/>
                <w:bCs/>
                <w:sz w:val="20"/>
                <w:szCs w:val="20"/>
              </w:rPr>
            </w:pPr>
            <w:r w:rsidRPr="00297A95">
              <w:rPr>
                <w:rFonts w:ascii="Arial" w:eastAsia="Cambria" w:hAnsi="Arial" w:cs="Arial"/>
                <w:b/>
                <w:bCs/>
                <w:sz w:val="20"/>
                <w:szCs w:val="20"/>
              </w:rPr>
              <w:lastRenderedPageBreak/>
              <w:t>Kim 2005</w:t>
            </w:r>
            <w:r w:rsidRPr="00FF70EF">
              <w:rPr>
                <w:rFonts w:ascii="Arial" w:eastAsia="Cambria" w:hAnsi="Arial" w:cs="Arial"/>
                <w:bCs/>
                <w:noProof/>
                <w:sz w:val="20"/>
                <w:szCs w:val="20"/>
                <w:vertAlign w:val="superscript"/>
              </w:rPr>
              <w:t>34</w:t>
            </w:r>
            <w:r w:rsidRPr="00297A95">
              <w:rPr>
                <w:rFonts w:ascii="Arial" w:eastAsia="Cambria" w:hAnsi="Arial" w:cs="Arial"/>
                <w:b/>
                <w:bCs/>
                <w:sz w:val="20"/>
                <w:szCs w:val="20"/>
              </w:rPr>
              <w:t xml:space="preserve"> </w:t>
            </w:r>
          </w:p>
          <w:p w:rsidR="00BD084C" w:rsidRPr="00297A95" w:rsidRDefault="00BD084C" w:rsidP="0085034D">
            <w:pPr>
              <w:spacing w:line="240" w:lineRule="auto"/>
              <w:rPr>
                <w:rFonts w:ascii="Arial" w:eastAsia="Cambria" w:hAnsi="Arial" w:cs="Arial"/>
                <w:sz w:val="20"/>
                <w:szCs w:val="20"/>
              </w:rPr>
            </w:pPr>
          </w:p>
        </w:tc>
        <w:tc>
          <w:tcPr>
            <w:tcW w:w="1417"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Single  dermatology</w:t>
            </w:r>
            <w:r>
              <w:rPr>
                <w:rFonts w:ascii="Arial" w:eastAsia="Cambria" w:hAnsi="Arial" w:cs="Arial"/>
                <w:sz w:val="20"/>
                <w:szCs w:val="20"/>
              </w:rPr>
              <w:t xml:space="preserve"> centre</w:t>
            </w:r>
          </w:p>
        </w:tc>
        <w:tc>
          <w:tcPr>
            <w:tcW w:w="1559"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Retrospective.</w:t>
            </w:r>
          </w:p>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Case series</w:t>
            </w:r>
          </w:p>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 xml:space="preserve">Non-controlled </w:t>
            </w:r>
          </w:p>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 xml:space="preserve">  </w:t>
            </w:r>
          </w:p>
        </w:tc>
        <w:tc>
          <w:tcPr>
            <w:tcW w:w="1134"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TEN (21)</w:t>
            </w:r>
          </w:p>
        </w:tc>
        <w:tc>
          <w:tcPr>
            <w:tcW w:w="1561" w:type="dxa"/>
          </w:tcPr>
          <w:p w:rsidR="00BD084C" w:rsidRPr="00297A95" w:rsidRDefault="00BD084C" w:rsidP="0085034D">
            <w:pPr>
              <w:spacing w:line="240" w:lineRule="auto"/>
              <w:rPr>
                <w:rFonts w:ascii="Arial" w:eastAsia="Cambria" w:hAnsi="Arial" w:cs="Arial"/>
                <w:sz w:val="20"/>
                <w:szCs w:val="20"/>
              </w:rPr>
            </w:pPr>
            <w:proofErr w:type="spellStart"/>
            <w:r w:rsidRPr="00297A95">
              <w:rPr>
                <w:rFonts w:ascii="Arial" w:eastAsia="Cambria" w:hAnsi="Arial" w:cs="Arial"/>
                <w:sz w:val="20"/>
                <w:szCs w:val="20"/>
              </w:rPr>
              <w:t>Methylpred</w:t>
            </w:r>
            <w:proofErr w:type="spellEnd"/>
            <w:r w:rsidRPr="00297A95">
              <w:rPr>
                <w:rFonts w:ascii="Arial" w:eastAsia="Cambria" w:hAnsi="Arial" w:cs="Arial"/>
                <w:sz w:val="20"/>
                <w:szCs w:val="20"/>
              </w:rPr>
              <w:t xml:space="preserve"> 250 – 1000 mg/day, later switched to oral prednisolone</w:t>
            </w:r>
          </w:p>
        </w:tc>
        <w:tc>
          <w:tcPr>
            <w:tcW w:w="1610" w:type="dxa"/>
          </w:tcPr>
          <w:p w:rsidR="00BD084C" w:rsidRPr="00297A95" w:rsidRDefault="00BD084C" w:rsidP="0085034D">
            <w:pPr>
              <w:spacing w:after="0" w:line="240" w:lineRule="auto"/>
              <w:ind w:left="1440" w:hanging="1440"/>
              <w:rPr>
                <w:rFonts w:ascii="Arial" w:eastAsia="Cambria" w:hAnsi="Arial" w:cs="Arial"/>
                <w:sz w:val="20"/>
                <w:szCs w:val="20"/>
              </w:rPr>
            </w:pPr>
            <w:r w:rsidRPr="00297A95">
              <w:rPr>
                <w:rFonts w:ascii="Arial" w:eastAsia="Cambria" w:hAnsi="Arial" w:cs="Arial"/>
                <w:sz w:val="20"/>
                <w:szCs w:val="20"/>
              </w:rPr>
              <w:t xml:space="preserve">6/21 mortality </w:t>
            </w:r>
          </w:p>
          <w:p w:rsidR="00BD084C" w:rsidRPr="00297A95" w:rsidRDefault="00BD084C" w:rsidP="0085034D">
            <w:pPr>
              <w:spacing w:line="240" w:lineRule="auto"/>
              <w:rPr>
                <w:rFonts w:ascii="Arial" w:eastAsia="Cambria" w:hAnsi="Arial" w:cs="Arial"/>
                <w:sz w:val="20"/>
                <w:szCs w:val="20"/>
              </w:rPr>
            </w:pP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SCORTEN predicated mortality 5.97</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Ineffective</w:t>
            </w:r>
          </w:p>
        </w:tc>
        <w:tc>
          <w:tcPr>
            <w:tcW w:w="962"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3</w:t>
            </w:r>
          </w:p>
        </w:tc>
        <w:tc>
          <w:tcPr>
            <w:tcW w:w="1610"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Some attempt to validate cases.</w:t>
            </w:r>
          </w:p>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 xml:space="preserve">Variable doses of steroid </w:t>
            </w:r>
            <w:proofErr w:type="gramStart"/>
            <w:r w:rsidRPr="00297A95">
              <w:rPr>
                <w:rFonts w:ascii="Arial" w:eastAsia="Cambria" w:hAnsi="Arial" w:cs="Arial"/>
                <w:sz w:val="20"/>
                <w:szCs w:val="20"/>
              </w:rPr>
              <w:t>used,</w:t>
            </w:r>
            <w:proofErr w:type="gramEnd"/>
            <w:r w:rsidRPr="00297A95">
              <w:rPr>
                <w:rFonts w:ascii="Arial" w:eastAsia="Cambria" w:hAnsi="Arial" w:cs="Arial"/>
                <w:sz w:val="20"/>
                <w:szCs w:val="20"/>
              </w:rPr>
              <w:t xml:space="preserve"> no details about tapering.</w:t>
            </w:r>
          </w:p>
        </w:tc>
      </w:tr>
      <w:tr w:rsidR="00BD084C" w:rsidRPr="00297A95" w:rsidTr="0085034D">
        <w:tc>
          <w:tcPr>
            <w:tcW w:w="1101" w:type="dxa"/>
          </w:tcPr>
          <w:p w:rsidR="00BD084C" w:rsidRPr="00297A95" w:rsidRDefault="00BD084C" w:rsidP="0085034D">
            <w:pPr>
              <w:spacing w:after="0" w:line="240" w:lineRule="auto"/>
              <w:rPr>
                <w:rFonts w:ascii="Arial" w:eastAsia="Cambria" w:hAnsi="Arial" w:cs="Arial"/>
                <w:b/>
                <w:bCs/>
                <w:sz w:val="20"/>
                <w:szCs w:val="20"/>
              </w:rPr>
            </w:pPr>
            <w:proofErr w:type="spellStart"/>
            <w:r w:rsidRPr="00297A95">
              <w:rPr>
                <w:rFonts w:ascii="Arial" w:eastAsia="Cambria" w:hAnsi="Arial" w:cs="Arial"/>
                <w:b/>
                <w:bCs/>
                <w:sz w:val="20"/>
                <w:szCs w:val="20"/>
              </w:rPr>
              <w:t>Kardaun</w:t>
            </w:r>
            <w:proofErr w:type="spellEnd"/>
            <w:r w:rsidRPr="00297A95">
              <w:rPr>
                <w:rFonts w:ascii="Arial" w:eastAsia="Cambria" w:hAnsi="Arial" w:cs="Arial"/>
                <w:b/>
                <w:bCs/>
                <w:sz w:val="20"/>
                <w:szCs w:val="20"/>
              </w:rPr>
              <w:t xml:space="preserve"> 2007</w:t>
            </w:r>
            <w:r w:rsidRPr="00BF0F49">
              <w:rPr>
                <w:rFonts w:ascii="Arial" w:eastAsia="Cambria" w:hAnsi="Arial" w:cs="Arial"/>
                <w:bCs/>
                <w:noProof/>
                <w:sz w:val="20"/>
                <w:szCs w:val="20"/>
                <w:vertAlign w:val="superscript"/>
              </w:rPr>
              <w:t>107</w:t>
            </w:r>
            <w:r w:rsidRPr="00297A95">
              <w:rPr>
                <w:rFonts w:ascii="Arial" w:eastAsia="Cambria" w:hAnsi="Arial" w:cs="Arial"/>
                <w:b/>
                <w:bCs/>
                <w:sz w:val="20"/>
                <w:szCs w:val="20"/>
              </w:rPr>
              <w:t xml:space="preserve"> </w:t>
            </w:r>
          </w:p>
          <w:p w:rsidR="00BD084C" w:rsidRPr="00297A95" w:rsidRDefault="00BD084C" w:rsidP="0085034D">
            <w:pPr>
              <w:spacing w:line="240" w:lineRule="auto"/>
              <w:rPr>
                <w:rFonts w:ascii="Arial" w:eastAsia="Cambria" w:hAnsi="Arial" w:cs="Arial"/>
                <w:sz w:val="20"/>
                <w:szCs w:val="20"/>
              </w:rPr>
            </w:pPr>
          </w:p>
        </w:tc>
        <w:tc>
          <w:tcPr>
            <w:tcW w:w="1417"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Single  dermatology</w:t>
            </w:r>
            <w:r>
              <w:rPr>
                <w:rFonts w:ascii="Arial" w:eastAsia="Cambria" w:hAnsi="Arial" w:cs="Arial"/>
                <w:sz w:val="20"/>
                <w:szCs w:val="20"/>
              </w:rPr>
              <w:t xml:space="preserve"> </w:t>
            </w:r>
            <w:r w:rsidRPr="00297A95">
              <w:rPr>
                <w:rFonts w:ascii="Arial" w:eastAsia="Cambria" w:hAnsi="Arial" w:cs="Arial"/>
                <w:sz w:val="20"/>
                <w:szCs w:val="20"/>
              </w:rPr>
              <w:t xml:space="preserve"> </w:t>
            </w:r>
            <w:r>
              <w:rPr>
                <w:rFonts w:ascii="Arial" w:eastAsia="Cambria" w:hAnsi="Arial" w:cs="Arial"/>
                <w:sz w:val="20"/>
                <w:szCs w:val="20"/>
              </w:rPr>
              <w:t>centre</w:t>
            </w:r>
          </w:p>
        </w:tc>
        <w:tc>
          <w:tcPr>
            <w:tcW w:w="1559"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 xml:space="preserve">Retrospective </w:t>
            </w:r>
          </w:p>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Case series</w:t>
            </w:r>
          </w:p>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Non-controlled</w:t>
            </w:r>
          </w:p>
          <w:p w:rsidR="00BD084C" w:rsidRPr="00297A95" w:rsidRDefault="00BD084C" w:rsidP="0085034D">
            <w:pPr>
              <w:spacing w:after="0" w:line="240" w:lineRule="auto"/>
              <w:rPr>
                <w:rFonts w:ascii="Arial" w:eastAsia="Cambria" w:hAnsi="Arial" w:cs="Arial"/>
                <w:sz w:val="20"/>
                <w:szCs w:val="20"/>
              </w:rPr>
            </w:pPr>
          </w:p>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 xml:space="preserve"> </w:t>
            </w:r>
          </w:p>
        </w:tc>
        <w:tc>
          <w:tcPr>
            <w:tcW w:w="1134" w:type="dxa"/>
          </w:tcPr>
          <w:p w:rsidR="00BD084C" w:rsidRPr="004E684C" w:rsidRDefault="00BD084C" w:rsidP="0085034D">
            <w:pPr>
              <w:spacing w:after="0" w:line="240" w:lineRule="auto"/>
              <w:rPr>
                <w:rFonts w:ascii="Arial" w:eastAsia="Cambria" w:hAnsi="Arial" w:cs="Arial"/>
                <w:sz w:val="20"/>
                <w:szCs w:val="20"/>
                <w:lang w:val="de-DE"/>
              </w:rPr>
            </w:pPr>
            <w:r w:rsidRPr="004E684C">
              <w:rPr>
                <w:rFonts w:ascii="Arial" w:eastAsia="Cambria" w:hAnsi="Arial" w:cs="Arial"/>
                <w:sz w:val="20"/>
                <w:szCs w:val="20"/>
                <w:lang w:val="de-DE"/>
              </w:rPr>
              <w:t>SJS (1)</w:t>
            </w:r>
          </w:p>
          <w:p w:rsidR="00BD084C" w:rsidRPr="004E684C" w:rsidRDefault="00BD084C" w:rsidP="0085034D">
            <w:pPr>
              <w:spacing w:after="0" w:line="240" w:lineRule="auto"/>
              <w:rPr>
                <w:rFonts w:ascii="Arial" w:eastAsia="Cambria" w:hAnsi="Arial" w:cs="Arial"/>
                <w:sz w:val="20"/>
                <w:szCs w:val="20"/>
                <w:lang w:val="de-DE"/>
              </w:rPr>
            </w:pPr>
            <w:r w:rsidRPr="004E684C">
              <w:rPr>
                <w:rFonts w:ascii="Arial" w:eastAsia="Cambria" w:hAnsi="Arial" w:cs="Arial"/>
                <w:sz w:val="20"/>
                <w:szCs w:val="20"/>
                <w:lang w:val="de-DE"/>
              </w:rPr>
              <w:t>Overlap SJS/TEN (4)</w:t>
            </w:r>
          </w:p>
          <w:p w:rsidR="00BD084C" w:rsidRPr="004E684C" w:rsidRDefault="00BD084C" w:rsidP="0085034D">
            <w:pPr>
              <w:spacing w:line="240" w:lineRule="auto"/>
              <w:rPr>
                <w:rFonts w:ascii="Arial" w:eastAsia="Cambria" w:hAnsi="Arial" w:cs="Arial"/>
                <w:sz w:val="20"/>
                <w:szCs w:val="20"/>
                <w:lang w:val="de-DE"/>
              </w:rPr>
            </w:pPr>
            <w:r w:rsidRPr="004E684C">
              <w:rPr>
                <w:rFonts w:ascii="Arial" w:eastAsia="Cambria" w:hAnsi="Arial" w:cs="Arial"/>
                <w:sz w:val="20"/>
                <w:szCs w:val="20"/>
                <w:lang w:val="de-DE"/>
              </w:rPr>
              <w:t>TEN (7)</w:t>
            </w:r>
          </w:p>
        </w:tc>
        <w:tc>
          <w:tcPr>
            <w:tcW w:w="1561"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 xml:space="preserve">First 4 patients: IV </w:t>
            </w:r>
            <w:proofErr w:type="spellStart"/>
            <w:r w:rsidRPr="00297A95">
              <w:rPr>
                <w:rFonts w:ascii="Arial" w:eastAsia="Cambria" w:hAnsi="Arial" w:cs="Arial"/>
                <w:sz w:val="20"/>
                <w:szCs w:val="20"/>
              </w:rPr>
              <w:t>dexamethasome</w:t>
            </w:r>
            <w:proofErr w:type="spellEnd"/>
            <w:r w:rsidRPr="00297A95">
              <w:rPr>
                <w:rFonts w:ascii="Arial" w:eastAsia="Cambria" w:hAnsi="Arial" w:cs="Arial"/>
                <w:sz w:val="20"/>
                <w:szCs w:val="20"/>
              </w:rPr>
              <w:t xml:space="preserve"> 100 mg od x 3 days plus 500mg cyclophosphamide</w:t>
            </w:r>
          </w:p>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Subsequent patients: 1.5mg/kg IV dexamethasone x 3 days</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1/12</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SCORTEN predicted mortality: 4/12</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Effective</w:t>
            </w:r>
          </w:p>
        </w:tc>
        <w:tc>
          <w:tcPr>
            <w:tcW w:w="962"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3</w:t>
            </w:r>
          </w:p>
        </w:tc>
        <w:tc>
          <w:tcPr>
            <w:tcW w:w="1610"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Case validation unclear.</w:t>
            </w:r>
          </w:p>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Change of treatment protocol during series</w:t>
            </w:r>
          </w:p>
        </w:tc>
      </w:tr>
      <w:tr w:rsidR="00BD084C" w:rsidRPr="00297A95" w:rsidTr="0085034D">
        <w:tc>
          <w:tcPr>
            <w:tcW w:w="1101" w:type="dxa"/>
          </w:tcPr>
          <w:p w:rsidR="00BD084C" w:rsidRPr="00297A95" w:rsidRDefault="00BD084C" w:rsidP="0085034D">
            <w:pPr>
              <w:spacing w:after="0" w:line="240" w:lineRule="auto"/>
              <w:rPr>
                <w:rFonts w:ascii="Arial" w:eastAsia="Cambria" w:hAnsi="Arial" w:cs="Arial"/>
                <w:sz w:val="20"/>
                <w:szCs w:val="20"/>
              </w:rPr>
            </w:pPr>
            <w:proofErr w:type="spellStart"/>
            <w:r w:rsidRPr="00297A95">
              <w:rPr>
                <w:rFonts w:ascii="Arial" w:eastAsia="Cambria" w:hAnsi="Arial" w:cs="Arial"/>
                <w:b/>
                <w:bCs/>
                <w:sz w:val="20"/>
                <w:szCs w:val="20"/>
              </w:rPr>
              <w:t>Schneck</w:t>
            </w:r>
            <w:proofErr w:type="spellEnd"/>
            <w:r w:rsidRPr="00297A95">
              <w:rPr>
                <w:rFonts w:ascii="Arial" w:eastAsia="Cambria" w:hAnsi="Arial" w:cs="Arial"/>
                <w:b/>
                <w:bCs/>
                <w:sz w:val="20"/>
                <w:szCs w:val="20"/>
              </w:rPr>
              <w:t xml:space="preserve"> 2008</w:t>
            </w:r>
            <w:r w:rsidRPr="00FF70EF">
              <w:rPr>
                <w:rFonts w:ascii="Arial" w:eastAsia="Cambria" w:hAnsi="Arial" w:cs="Arial"/>
                <w:bCs/>
                <w:noProof/>
                <w:sz w:val="20"/>
                <w:szCs w:val="20"/>
                <w:vertAlign w:val="superscript"/>
              </w:rPr>
              <w:t>28</w:t>
            </w:r>
          </w:p>
        </w:tc>
        <w:tc>
          <w:tcPr>
            <w:tcW w:w="1417"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Multi</w:t>
            </w:r>
            <w:r>
              <w:rPr>
                <w:rFonts w:ascii="Arial" w:eastAsia="Cambria" w:hAnsi="Arial" w:cs="Arial"/>
                <w:sz w:val="20"/>
                <w:szCs w:val="20"/>
              </w:rPr>
              <w:t xml:space="preserve">ple </w:t>
            </w:r>
            <w:r w:rsidRPr="00297A95">
              <w:rPr>
                <w:rFonts w:ascii="Arial" w:eastAsia="Cambria" w:hAnsi="Arial" w:cs="Arial"/>
                <w:sz w:val="20"/>
                <w:szCs w:val="20"/>
              </w:rPr>
              <w:t>centres in Germany and France.</w:t>
            </w:r>
          </w:p>
        </w:tc>
        <w:tc>
          <w:tcPr>
            <w:tcW w:w="1559" w:type="dxa"/>
          </w:tcPr>
          <w:p w:rsidR="00BD084C" w:rsidRPr="00297A95" w:rsidRDefault="00BD084C" w:rsidP="0085034D">
            <w:pPr>
              <w:spacing w:after="0" w:line="240" w:lineRule="auto"/>
              <w:ind w:left="34" w:hanging="34"/>
              <w:rPr>
                <w:rFonts w:ascii="Arial" w:eastAsia="Times New Roman" w:hAnsi="Arial" w:cs="Arial"/>
                <w:sz w:val="20"/>
                <w:szCs w:val="20"/>
                <w:lang w:eastAsia="en-GB"/>
              </w:rPr>
            </w:pPr>
            <w:r w:rsidRPr="00297A95">
              <w:rPr>
                <w:rFonts w:ascii="Arial" w:eastAsia="Times New Roman" w:hAnsi="Arial" w:cs="Arial"/>
                <w:sz w:val="20"/>
                <w:szCs w:val="20"/>
                <w:lang w:eastAsia="en-GB"/>
              </w:rPr>
              <w:t>Retrospective</w:t>
            </w:r>
          </w:p>
          <w:p w:rsidR="00BD084C" w:rsidRPr="00297A95" w:rsidRDefault="00BD084C" w:rsidP="0085034D">
            <w:pPr>
              <w:spacing w:after="0" w:line="240" w:lineRule="auto"/>
              <w:ind w:left="34" w:hanging="34"/>
              <w:rPr>
                <w:rFonts w:ascii="Arial" w:eastAsia="Times New Roman" w:hAnsi="Arial" w:cs="Arial"/>
                <w:sz w:val="20"/>
                <w:szCs w:val="20"/>
                <w:lang w:eastAsia="en-GB"/>
              </w:rPr>
            </w:pPr>
            <w:r w:rsidRPr="00297A95">
              <w:rPr>
                <w:rFonts w:ascii="Arial" w:eastAsia="Times New Roman" w:hAnsi="Arial" w:cs="Arial"/>
                <w:sz w:val="20"/>
                <w:szCs w:val="20"/>
                <w:lang w:eastAsia="en-GB"/>
              </w:rPr>
              <w:t>Case series</w:t>
            </w:r>
          </w:p>
          <w:p w:rsidR="00BD084C" w:rsidRPr="00297A95" w:rsidRDefault="00BD084C" w:rsidP="0085034D">
            <w:pPr>
              <w:spacing w:after="0" w:line="240" w:lineRule="auto"/>
              <w:ind w:left="34" w:hanging="34"/>
              <w:rPr>
                <w:rFonts w:ascii="Arial" w:eastAsia="Times New Roman" w:hAnsi="Arial" w:cs="Arial"/>
                <w:sz w:val="20"/>
                <w:szCs w:val="20"/>
                <w:lang w:eastAsia="en-GB"/>
              </w:rPr>
            </w:pPr>
            <w:r w:rsidRPr="00297A95">
              <w:rPr>
                <w:rFonts w:ascii="Arial" w:eastAsia="Times New Roman" w:hAnsi="Arial" w:cs="Arial"/>
                <w:sz w:val="20"/>
                <w:szCs w:val="20"/>
                <w:lang w:eastAsia="en-GB"/>
              </w:rPr>
              <w:t>Non-controlled</w:t>
            </w:r>
          </w:p>
          <w:p w:rsidR="00BD084C" w:rsidRPr="00297A95" w:rsidRDefault="00BD084C" w:rsidP="0085034D">
            <w:pPr>
              <w:spacing w:line="240" w:lineRule="auto"/>
              <w:rPr>
                <w:rFonts w:ascii="Arial" w:eastAsia="Cambria" w:hAnsi="Arial" w:cs="Arial"/>
                <w:sz w:val="20"/>
                <w:szCs w:val="20"/>
              </w:rPr>
            </w:pPr>
          </w:p>
        </w:tc>
        <w:tc>
          <w:tcPr>
            <w:tcW w:w="1134" w:type="dxa"/>
          </w:tcPr>
          <w:p w:rsidR="00BD084C" w:rsidRPr="004E684C" w:rsidRDefault="00BD084C" w:rsidP="0085034D">
            <w:pPr>
              <w:spacing w:after="0" w:line="240" w:lineRule="auto"/>
              <w:rPr>
                <w:rFonts w:ascii="Arial" w:eastAsia="Cambria" w:hAnsi="Arial" w:cs="Arial"/>
                <w:sz w:val="20"/>
                <w:szCs w:val="20"/>
                <w:lang w:val="de-DE"/>
              </w:rPr>
            </w:pPr>
            <w:r w:rsidRPr="004E684C">
              <w:rPr>
                <w:rFonts w:ascii="Arial" w:eastAsia="Cambria" w:hAnsi="Arial" w:cs="Arial"/>
                <w:sz w:val="20"/>
                <w:szCs w:val="20"/>
                <w:lang w:val="de-DE"/>
              </w:rPr>
              <w:t>SJS (57)</w:t>
            </w:r>
          </w:p>
          <w:p w:rsidR="00BD084C" w:rsidRPr="004E684C" w:rsidRDefault="00BD084C" w:rsidP="0085034D">
            <w:pPr>
              <w:spacing w:after="0" w:line="240" w:lineRule="auto"/>
              <w:rPr>
                <w:rFonts w:ascii="Arial" w:eastAsia="Cambria" w:hAnsi="Arial" w:cs="Arial"/>
                <w:sz w:val="20"/>
                <w:szCs w:val="20"/>
                <w:lang w:val="de-DE"/>
              </w:rPr>
            </w:pPr>
            <w:r w:rsidRPr="004E684C">
              <w:rPr>
                <w:rFonts w:ascii="Arial" w:eastAsia="Cambria" w:hAnsi="Arial" w:cs="Arial"/>
                <w:sz w:val="20"/>
                <w:szCs w:val="20"/>
                <w:lang w:val="de-DE"/>
              </w:rPr>
              <w:t>Overlap SJS/TEN (44)</w:t>
            </w:r>
          </w:p>
          <w:p w:rsidR="00BD084C" w:rsidRPr="004E684C" w:rsidRDefault="00BD084C" w:rsidP="0085034D">
            <w:pPr>
              <w:spacing w:line="240" w:lineRule="auto"/>
              <w:rPr>
                <w:rFonts w:ascii="Arial" w:eastAsia="Cambria" w:hAnsi="Arial" w:cs="Arial"/>
                <w:sz w:val="20"/>
                <w:szCs w:val="20"/>
                <w:lang w:val="de-DE"/>
              </w:rPr>
            </w:pPr>
            <w:r w:rsidRPr="004E684C">
              <w:rPr>
                <w:rFonts w:ascii="Arial" w:eastAsia="Cambria" w:hAnsi="Arial" w:cs="Arial"/>
                <w:sz w:val="20"/>
                <w:szCs w:val="20"/>
                <w:lang w:val="de-DE"/>
              </w:rPr>
              <w:t>TEN (18)</w:t>
            </w:r>
          </w:p>
        </w:tc>
        <w:tc>
          <w:tcPr>
            <w:tcW w:w="1561"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Max steroids dose 250 mg prednisolone equivalent (Interquartile range 100-500 mg).</w:t>
            </w:r>
          </w:p>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 xml:space="preserve">Given for </w:t>
            </w:r>
            <w:r w:rsidRPr="00297A95">
              <w:rPr>
                <w:rFonts w:ascii="Arial" w:eastAsia="Cambria" w:hAnsi="Arial" w:cs="Arial"/>
                <w:sz w:val="20"/>
                <w:szCs w:val="20"/>
              </w:rPr>
              <w:lastRenderedPageBreak/>
              <w:t>median 4 days (2 – 12 days).</w:t>
            </w:r>
          </w:p>
          <w:p w:rsidR="00BD084C" w:rsidRPr="00297A95" w:rsidRDefault="00BD084C" w:rsidP="0085034D">
            <w:pPr>
              <w:spacing w:line="240" w:lineRule="auto"/>
              <w:rPr>
                <w:rFonts w:ascii="Arial" w:eastAsia="Cambria" w:hAnsi="Arial" w:cs="Arial"/>
                <w:sz w:val="20"/>
                <w:szCs w:val="20"/>
              </w:rPr>
            </w:pPr>
          </w:p>
        </w:tc>
        <w:tc>
          <w:tcPr>
            <w:tcW w:w="1610"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lastRenderedPageBreak/>
              <w:t>21/119</w:t>
            </w:r>
          </w:p>
          <w:p w:rsidR="00BD084C" w:rsidRPr="00297A95" w:rsidRDefault="00BD084C" w:rsidP="0085034D">
            <w:pPr>
              <w:spacing w:line="240" w:lineRule="auto"/>
              <w:rPr>
                <w:rFonts w:ascii="Arial" w:eastAsia="Cambria" w:hAnsi="Arial" w:cs="Arial"/>
                <w:sz w:val="20"/>
                <w:szCs w:val="20"/>
              </w:rPr>
            </w:pP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 xml:space="preserve">Mortality expressed as odds ratio:  Corticosteroids compared to supportive care alone OR 0.4 (0.1-1.7) in </w:t>
            </w:r>
            <w:proofErr w:type="gramStart"/>
            <w:r w:rsidRPr="00297A95">
              <w:rPr>
                <w:rFonts w:ascii="Arial" w:eastAsia="Cambria" w:hAnsi="Arial" w:cs="Arial"/>
                <w:sz w:val="20"/>
                <w:szCs w:val="20"/>
              </w:rPr>
              <w:lastRenderedPageBreak/>
              <w:t>France,</w:t>
            </w:r>
            <w:proofErr w:type="gramEnd"/>
            <w:r w:rsidRPr="00297A95">
              <w:rPr>
                <w:rFonts w:ascii="Arial" w:eastAsia="Cambria" w:hAnsi="Arial" w:cs="Arial"/>
                <w:sz w:val="20"/>
                <w:szCs w:val="20"/>
              </w:rPr>
              <w:t xml:space="preserve"> and 0.3 (0.1-1.1) in Germany. Overall: 0.4 (0.2 – 0.9)</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lastRenderedPageBreak/>
              <w:t>Ineffective (on multivariate analysis)</w:t>
            </w:r>
          </w:p>
        </w:tc>
        <w:tc>
          <w:tcPr>
            <w:tcW w:w="962"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2</w:t>
            </w:r>
            <w:r>
              <w:rPr>
                <w:rFonts w:ascii="Arial" w:eastAsia="Cambria" w:hAnsi="Arial" w:cs="Arial"/>
                <w:sz w:val="20"/>
                <w:szCs w:val="20"/>
              </w:rPr>
              <w:t>-</w:t>
            </w:r>
          </w:p>
        </w:tc>
        <w:tc>
          <w:tcPr>
            <w:tcW w:w="1610"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 xml:space="preserve">Robust case </w:t>
            </w:r>
            <w:proofErr w:type="spellStart"/>
            <w:r w:rsidRPr="00297A95">
              <w:rPr>
                <w:rFonts w:ascii="Arial" w:eastAsia="Cambria" w:hAnsi="Arial" w:cs="Arial"/>
                <w:sz w:val="20"/>
                <w:szCs w:val="20"/>
              </w:rPr>
              <w:t>validatoin</w:t>
            </w:r>
            <w:proofErr w:type="spellEnd"/>
          </w:p>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 xml:space="preserve">Steroid group had less severe disease than </w:t>
            </w:r>
            <w:proofErr w:type="spellStart"/>
            <w:r w:rsidRPr="00297A95">
              <w:rPr>
                <w:rFonts w:ascii="Arial" w:eastAsia="Cambria" w:hAnsi="Arial" w:cs="Arial"/>
                <w:sz w:val="20"/>
                <w:szCs w:val="20"/>
              </w:rPr>
              <w:t>IVIg</w:t>
            </w:r>
            <w:proofErr w:type="spellEnd"/>
            <w:r w:rsidRPr="00297A95">
              <w:rPr>
                <w:rFonts w:ascii="Arial" w:eastAsia="Cambria" w:hAnsi="Arial" w:cs="Arial"/>
                <w:sz w:val="20"/>
                <w:szCs w:val="20"/>
              </w:rPr>
              <w:t xml:space="preserve"> group.</w:t>
            </w:r>
          </w:p>
          <w:p w:rsidR="00BD084C" w:rsidRPr="00297A95" w:rsidRDefault="00BD084C" w:rsidP="0085034D">
            <w:pPr>
              <w:spacing w:line="240" w:lineRule="auto"/>
              <w:rPr>
                <w:rFonts w:ascii="Arial" w:eastAsia="Cambria" w:hAnsi="Arial" w:cs="Arial"/>
                <w:sz w:val="20"/>
                <w:szCs w:val="20"/>
              </w:rPr>
            </w:pPr>
          </w:p>
        </w:tc>
      </w:tr>
      <w:tr w:rsidR="00BD084C" w:rsidRPr="00297A95" w:rsidTr="0085034D">
        <w:tc>
          <w:tcPr>
            <w:tcW w:w="1101"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b/>
                <w:bCs/>
                <w:sz w:val="20"/>
                <w:szCs w:val="20"/>
              </w:rPr>
              <w:lastRenderedPageBreak/>
              <w:t>Yang 2009</w:t>
            </w:r>
            <w:r w:rsidRPr="00BF0F49">
              <w:rPr>
                <w:rFonts w:ascii="Arial" w:eastAsia="Cambria" w:hAnsi="Arial" w:cs="Arial"/>
                <w:bCs/>
                <w:noProof/>
                <w:sz w:val="20"/>
                <w:szCs w:val="20"/>
                <w:vertAlign w:val="superscript"/>
              </w:rPr>
              <w:t>109</w:t>
            </w:r>
          </w:p>
        </w:tc>
        <w:tc>
          <w:tcPr>
            <w:tcW w:w="1417"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Single  dermatology</w:t>
            </w:r>
            <w:r>
              <w:rPr>
                <w:rFonts w:ascii="Arial" w:eastAsia="Cambria" w:hAnsi="Arial" w:cs="Arial"/>
                <w:sz w:val="20"/>
                <w:szCs w:val="20"/>
              </w:rPr>
              <w:t xml:space="preserve"> centre</w:t>
            </w:r>
          </w:p>
        </w:tc>
        <w:tc>
          <w:tcPr>
            <w:tcW w:w="1559"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 xml:space="preserve">Retrospective </w:t>
            </w:r>
          </w:p>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Case series</w:t>
            </w:r>
          </w:p>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Non-controlled</w:t>
            </w:r>
          </w:p>
        </w:tc>
        <w:tc>
          <w:tcPr>
            <w:tcW w:w="1134"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SJS (10) and TEN (35) in corticosteroid arm (n=45)</w:t>
            </w:r>
          </w:p>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 xml:space="preserve">SJS (8) and TEN (12) in </w:t>
            </w:r>
            <w:proofErr w:type="spellStart"/>
            <w:r w:rsidRPr="00297A95">
              <w:rPr>
                <w:rFonts w:ascii="Arial" w:eastAsia="Cambria" w:hAnsi="Arial" w:cs="Arial"/>
                <w:sz w:val="20"/>
                <w:szCs w:val="20"/>
              </w:rPr>
              <w:t>IVIg</w:t>
            </w:r>
            <w:proofErr w:type="spellEnd"/>
            <w:r w:rsidRPr="00297A95">
              <w:rPr>
                <w:rFonts w:ascii="Arial" w:eastAsia="Cambria" w:hAnsi="Arial" w:cs="Arial"/>
                <w:sz w:val="20"/>
                <w:szCs w:val="20"/>
              </w:rPr>
              <w:t>/corticosteroid arm (n=20)</w:t>
            </w:r>
          </w:p>
        </w:tc>
        <w:tc>
          <w:tcPr>
            <w:tcW w:w="1561"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1 – 1.5 mg/kg/day methylprednisolone or equivalent (details not given)</w:t>
            </w:r>
          </w:p>
          <w:p w:rsidR="00BD084C" w:rsidRPr="00297A95" w:rsidRDefault="00BD084C" w:rsidP="0085034D">
            <w:pPr>
              <w:spacing w:line="240" w:lineRule="auto"/>
              <w:rPr>
                <w:rFonts w:ascii="Arial" w:eastAsia="Cambria" w:hAnsi="Arial" w:cs="Arial"/>
                <w:sz w:val="20"/>
                <w:szCs w:val="20"/>
              </w:rPr>
            </w:pPr>
            <w:proofErr w:type="spellStart"/>
            <w:r w:rsidRPr="00297A95">
              <w:rPr>
                <w:rFonts w:ascii="Arial" w:eastAsia="Cambria" w:hAnsi="Arial" w:cs="Arial"/>
                <w:sz w:val="20"/>
                <w:szCs w:val="20"/>
              </w:rPr>
              <w:t>IVIg</w:t>
            </w:r>
            <w:proofErr w:type="spellEnd"/>
            <w:r w:rsidRPr="00297A95">
              <w:rPr>
                <w:rFonts w:ascii="Arial" w:eastAsia="Cambria" w:hAnsi="Arial" w:cs="Arial"/>
                <w:sz w:val="20"/>
                <w:szCs w:val="20"/>
              </w:rPr>
              <w:t xml:space="preserve"> 0.4 g/kg/day for 5 days</w:t>
            </w:r>
          </w:p>
        </w:tc>
        <w:tc>
          <w:tcPr>
            <w:tcW w:w="1610"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10/45 (10 TEN) in corticosteroid group</w:t>
            </w:r>
          </w:p>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 xml:space="preserve">3/20 (2 TEN and 1 SJS) in </w:t>
            </w:r>
            <w:proofErr w:type="spellStart"/>
            <w:r w:rsidRPr="00297A95">
              <w:rPr>
                <w:rFonts w:ascii="Arial" w:eastAsia="Cambria" w:hAnsi="Arial" w:cs="Arial"/>
                <w:sz w:val="20"/>
                <w:szCs w:val="20"/>
              </w:rPr>
              <w:t>IVIg</w:t>
            </w:r>
            <w:proofErr w:type="spellEnd"/>
            <w:r w:rsidRPr="00297A95">
              <w:rPr>
                <w:rFonts w:ascii="Arial" w:eastAsia="Cambria" w:hAnsi="Arial" w:cs="Arial"/>
                <w:sz w:val="20"/>
                <w:szCs w:val="20"/>
              </w:rPr>
              <w:t>/corticosteroid group</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 xml:space="preserve">SCORTEN predicted mortality 8.63 in corticosteroid group;  3.51 in </w:t>
            </w:r>
            <w:proofErr w:type="spellStart"/>
            <w:r w:rsidRPr="00297A95">
              <w:rPr>
                <w:rFonts w:ascii="Arial" w:eastAsia="Cambria" w:hAnsi="Arial" w:cs="Arial"/>
                <w:sz w:val="20"/>
                <w:szCs w:val="20"/>
              </w:rPr>
              <w:t>IVIg</w:t>
            </w:r>
            <w:proofErr w:type="spellEnd"/>
            <w:r w:rsidRPr="00297A95">
              <w:rPr>
                <w:rFonts w:ascii="Arial" w:eastAsia="Cambria" w:hAnsi="Arial" w:cs="Arial"/>
                <w:sz w:val="20"/>
                <w:szCs w:val="20"/>
              </w:rPr>
              <w:t>/corticosteroid group</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 xml:space="preserve">Corticosteroid alone ineffective, </w:t>
            </w:r>
            <w:proofErr w:type="spellStart"/>
            <w:r w:rsidRPr="00297A95">
              <w:rPr>
                <w:rFonts w:ascii="Arial" w:eastAsia="Cambria" w:hAnsi="Arial" w:cs="Arial"/>
                <w:sz w:val="20"/>
                <w:szCs w:val="20"/>
              </w:rPr>
              <w:t>IVIg</w:t>
            </w:r>
            <w:proofErr w:type="spellEnd"/>
            <w:r w:rsidRPr="00297A95">
              <w:rPr>
                <w:rFonts w:ascii="Arial" w:eastAsia="Cambria" w:hAnsi="Arial" w:cs="Arial"/>
                <w:sz w:val="20"/>
                <w:szCs w:val="20"/>
              </w:rPr>
              <w:t xml:space="preserve">/corticosteroid may confer benefit (non-significant difference) </w:t>
            </w:r>
          </w:p>
        </w:tc>
        <w:tc>
          <w:tcPr>
            <w:tcW w:w="962"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2-</w:t>
            </w:r>
          </w:p>
        </w:tc>
        <w:tc>
          <w:tcPr>
            <w:tcW w:w="1610"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Case validation unclear</w:t>
            </w:r>
          </w:p>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Insufficient detail on corticosteroid dosing</w:t>
            </w:r>
          </w:p>
          <w:p w:rsidR="00BD084C" w:rsidRPr="00297A95" w:rsidRDefault="00BD084C" w:rsidP="0085034D">
            <w:pPr>
              <w:spacing w:line="240" w:lineRule="auto"/>
              <w:rPr>
                <w:rFonts w:ascii="Arial" w:eastAsia="Cambria" w:hAnsi="Arial" w:cs="Arial"/>
                <w:sz w:val="20"/>
                <w:szCs w:val="20"/>
              </w:rPr>
            </w:pPr>
          </w:p>
        </w:tc>
      </w:tr>
      <w:tr w:rsidR="00BD084C" w:rsidRPr="00297A95" w:rsidTr="0085034D">
        <w:tc>
          <w:tcPr>
            <w:tcW w:w="1101"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b/>
                <w:bCs/>
                <w:sz w:val="20"/>
                <w:szCs w:val="20"/>
              </w:rPr>
              <w:t>Chen 2010</w:t>
            </w:r>
            <w:r w:rsidRPr="00BF0F49">
              <w:rPr>
                <w:rFonts w:ascii="Arial" w:eastAsia="Cambria" w:hAnsi="Arial" w:cs="Arial"/>
                <w:bCs/>
                <w:noProof/>
                <w:sz w:val="20"/>
                <w:szCs w:val="20"/>
                <w:vertAlign w:val="superscript"/>
              </w:rPr>
              <w:t>110</w:t>
            </w:r>
            <w:r w:rsidRPr="00297A95">
              <w:rPr>
                <w:rFonts w:ascii="Arial" w:eastAsia="Cambria" w:hAnsi="Arial" w:cs="Arial"/>
                <w:sz w:val="20"/>
                <w:szCs w:val="20"/>
              </w:rPr>
              <w:t xml:space="preserve"> </w:t>
            </w:r>
          </w:p>
          <w:p w:rsidR="00BD084C" w:rsidRPr="00297A95" w:rsidRDefault="00BD084C" w:rsidP="0085034D">
            <w:pPr>
              <w:spacing w:line="240" w:lineRule="auto"/>
              <w:rPr>
                <w:rFonts w:ascii="Arial" w:eastAsia="Cambria" w:hAnsi="Arial" w:cs="Arial"/>
                <w:sz w:val="20"/>
                <w:szCs w:val="20"/>
              </w:rPr>
            </w:pPr>
          </w:p>
        </w:tc>
        <w:tc>
          <w:tcPr>
            <w:tcW w:w="1417"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Single  dermatology</w:t>
            </w:r>
            <w:r>
              <w:rPr>
                <w:rFonts w:ascii="Arial" w:eastAsia="Cambria" w:hAnsi="Arial" w:cs="Arial"/>
                <w:sz w:val="20"/>
                <w:szCs w:val="20"/>
              </w:rPr>
              <w:t xml:space="preserve"> centre </w:t>
            </w:r>
          </w:p>
          <w:p w:rsidR="00BD084C" w:rsidRPr="00297A95" w:rsidRDefault="00BD084C" w:rsidP="0085034D">
            <w:pPr>
              <w:spacing w:line="240" w:lineRule="auto"/>
              <w:rPr>
                <w:rFonts w:ascii="Arial" w:eastAsia="Cambria" w:hAnsi="Arial" w:cs="Arial"/>
                <w:sz w:val="20"/>
                <w:szCs w:val="20"/>
              </w:rPr>
            </w:pPr>
          </w:p>
        </w:tc>
        <w:tc>
          <w:tcPr>
            <w:tcW w:w="1559"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 xml:space="preserve">Retrospective. </w:t>
            </w:r>
          </w:p>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 xml:space="preserve">Case series  </w:t>
            </w:r>
          </w:p>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Non-controlled</w:t>
            </w:r>
          </w:p>
        </w:tc>
        <w:tc>
          <w:tcPr>
            <w:tcW w:w="1134"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SJS (43) and TEN (15)</w:t>
            </w:r>
            <w:r>
              <w:rPr>
                <w:rFonts w:ascii="Arial" w:eastAsia="Cambria" w:hAnsi="Arial" w:cs="Arial"/>
                <w:sz w:val="20"/>
                <w:szCs w:val="20"/>
              </w:rPr>
              <w:t xml:space="preserve"> </w:t>
            </w:r>
            <w:r w:rsidRPr="00297A95">
              <w:rPr>
                <w:rFonts w:ascii="Arial" w:eastAsia="Cambria" w:hAnsi="Arial" w:cs="Arial"/>
                <w:sz w:val="20"/>
                <w:szCs w:val="20"/>
              </w:rPr>
              <w:t>in corticosteroid only arm (n=58)</w:t>
            </w:r>
          </w:p>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 xml:space="preserve">SJS (9) and TEN (15) in </w:t>
            </w:r>
            <w:proofErr w:type="spellStart"/>
            <w:r w:rsidRPr="00297A95">
              <w:rPr>
                <w:rFonts w:ascii="Arial" w:eastAsia="Cambria" w:hAnsi="Arial" w:cs="Arial"/>
                <w:sz w:val="20"/>
                <w:szCs w:val="20"/>
              </w:rPr>
              <w:t>IVIg</w:t>
            </w:r>
            <w:proofErr w:type="spellEnd"/>
            <w:r w:rsidRPr="00297A95">
              <w:rPr>
                <w:rFonts w:ascii="Arial" w:eastAsia="Cambria" w:hAnsi="Arial" w:cs="Arial"/>
                <w:sz w:val="20"/>
                <w:szCs w:val="20"/>
              </w:rPr>
              <w:t>/corticosteroid group (n=24)</w:t>
            </w:r>
          </w:p>
        </w:tc>
        <w:tc>
          <w:tcPr>
            <w:tcW w:w="1561" w:type="dxa"/>
          </w:tcPr>
          <w:p w:rsidR="00BD084C" w:rsidRPr="00297A95" w:rsidRDefault="00BD084C" w:rsidP="0085034D">
            <w:pPr>
              <w:spacing w:after="0" w:line="240" w:lineRule="auto"/>
              <w:rPr>
                <w:rFonts w:ascii="Arial" w:eastAsia="Cambria" w:hAnsi="Arial" w:cs="Arial"/>
                <w:sz w:val="20"/>
                <w:szCs w:val="20"/>
              </w:rPr>
            </w:pPr>
            <w:proofErr w:type="spellStart"/>
            <w:r w:rsidRPr="00297A95">
              <w:rPr>
                <w:rFonts w:ascii="Arial" w:eastAsia="Cambria" w:hAnsi="Arial" w:cs="Arial"/>
                <w:sz w:val="20"/>
                <w:szCs w:val="20"/>
              </w:rPr>
              <w:t>Hydorcortisone</w:t>
            </w:r>
            <w:proofErr w:type="spellEnd"/>
            <w:r w:rsidRPr="00297A95">
              <w:rPr>
                <w:rFonts w:ascii="Arial" w:eastAsia="Cambria" w:hAnsi="Arial" w:cs="Arial"/>
                <w:sz w:val="20"/>
                <w:szCs w:val="20"/>
              </w:rPr>
              <w:t xml:space="preserve"> 100 – 700 mg/day or methylprednisolone 40 – 80 mg/day. (Cumulative dose equivalent to prednisolone 10 – 25 mg/kg/day for 7 – 14 days)</w:t>
            </w:r>
          </w:p>
          <w:p w:rsidR="00BD084C" w:rsidRPr="00297A95" w:rsidRDefault="00BD084C" w:rsidP="0085034D">
            <w:pPr>
              <w:spacing w:line="240" w:lineRule="auto"/>
              <w:rPr>
                <w:rFonts w:ascii="Arial" w:eastAsia="Cambria" w:hAnsi="Arial" w:cs="Arial"/>
                <w:sz w:val="20"/>
                <w:szCs w:val="20"/>
              </w:rPr>
            </w:pPr>
            <w:proofErr w:type="spellStart"/>
            <w:r w:rsidRPr="00297A95">
              <w:rPr>
                <w:rFonts w:ascii="Arial" w:eastAsia="Cambria" w:hAnsi="Arial" w:cs="Arial"/>
                <w:sz w:val="20"/>
                <w:szCs w:val="20"/>
              </w:rPr>
              <w:t>IVIg</w:t>
            </w:r>
            <w:proofErr w:type="spellEnd"/>
            <w:r w:rsidRPr="00297A95">
              <w:rPr>
                <w:rFonts w:ascii="Arial" w:eastAsia="Cambria" w:hAnsi="Arial" w:cs="Arial"/>
                <w:sz w:val="20"/>
                <w:szCs w:val="20"/>
              </w:rPr>
              <w:t xml:space="preserve"> mean dose 2.7 ±1.5 g/kg over 3 – 15 days</w:t>
            </w:r>
          </w:p>
        </w:tc>
        <w:tc>
          <w:tcPr>
            <w:tcW w:w="1610" w:type="dxa"/>
          </w:tcPr>
          <w:p w:rsidR="00BD084C" w:rsidRPr="00297A95" w:rsidRDefault="00BD084C" w:rsidP="0085034D">
            <w:pPr>
              <w:spacing w:after="0" w:line="240" w:lineRule="auto"/>
              <w:rPr>
                <w:rFonts w:ascii="Arial" w:eastAsia="Cambria" w:hAnsi="Arial" w:cs="Arial"/>
                <w:sz w:val="20"/>
                <w:szCs w:val="20"/>
              </w:rPr>
            </w:pPr>
            <w:r w:rsidRPr="00297A95">
              <w:rPr>
                <w:rFonts w:ascii="Arial" w:eastAsia="Cambria" w:hAnsi="Arial" w:cs="Arial"/>
                <w:sz w:val="20"/>
                <w:szCs w:val="20"/>
              </w:rPr>
              <w:t>2/58 in corticosteroid group</w:t>
            </w:r>
          </w:p>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 xml:space="preserve">3/24 in </w:t>
            </w:r>
            <w:proofErr w:type="spellStart"/>
            <w:r w:rsidRPr="00297A95">
              <w:rPr>
                <w:rFonts w:ascii="Arial" w:eastAsia="Cambria" w:hAnsi="Arial" w:cs="Arial"/>
                <w:sz w:val="20"/>
                <w:szCs w:val="20"/>
              </w:rPr>
              <w:t>IVIg</w:t>
            </w:r>
            <w:proofErr w:type="spellEnd"/>
            <w:r w:rsidRPr="00297A95">
              <w:rPr>
                <w:rFonts w:ascii="Arial" w:eastAsia="Cambria" w:hAnsi="Arial" w:cs="Arial"/>
                <w:sz w:val="20"/>
                <w:szCs w:val="20"/>
              </w:rPr>
              <w:t>/corticosteroid group</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 xml:space="preserve">SCORTEN predicted mortality 4.2 in corticosteroid group; 5.3 in </w:t>
            </w:r>
            <w:proofErr w:type="spellStart"/>
            <w:r w:rsidRPr="00297A95">
              <w:rPr>
                <w:rFonts w:ascii="Arial" w:eastAsia="Cambria" w:hAnsi="Arial" w:cs="Arial"/>
                <w:sz w:val="20"/>
                <w:szCs w:val="20"/>
              </w:rPr>
              <w:t>IVIg</w:t>
            </w:r>
            <w:proofErr w:type="spellEnd"/>
            <w:r w:rsidRPr="00297A95">
              <w:rPr>
                <w:rFonts w:ascii="Arial" w:eastAsia="Cambria" w:hAnsi="Arial" w:cs="Arial"/>
                <w:sz w:val="20"/>
                <w:szCs w:val="20"/>
              </w:rPr>
              <w:t>/corticosteroid group</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 xml:space="preserve">Effective </w:t>
            </w:r>
          </w:p>
        </w:tc>
        <w:tc>
          <w:tcPr>
            <w:tcW w:w="962"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2-</w:t>
            </w:r>
          </w:p>
        </w:tc>
        <w:tc>
          <w:tcPr>
            <w:tcW w:w="1610" w:type="dxa"/>
          </w:tcPr>
          <w:p w:rsidR="00BD084C" w:rsidRPr="00297A95" w:rsidRDefault="00BD084C" w:rsidP="0085034D">
            <w:pPr>
              <w:spacing w:line="240" w:lineRule="auto"/>
              <w:rPr>
                <w:rFonts w:ascii="Arial" w:eastAsia="Cambria" w:hAnsi="Arial" w:cs="Arial"/>
                <w:sz w:val="20"/>
                <w:szCs w:val="20"/>
              </w:rPr>
            </w:pPr>
            <w:r w:rsidRPr="00297A95">
              <w:rPr>
                <w:rFonts w:ascii="Arial" w:eastAsia="Cambria" w:hAnsi="Arial" w:cs="Arial"/>
                <w:sz w:val="20"/>
                <w:szCs w:val="20"/>
              </w:rPr>
              <w:t xml:space="preserve">Results suggesting benefit did not reach statistical significance. Patients in </w:t>
            </w:r>
            <w:proofErr w:type="spellStart"/>
            <w:r w:rsidRPr="00297A95">
              <w:rPr>
                <w:rFonts w:ascii="Arial" w:eastAsia="Cambria" w:hAnsi="Arial" w:cs="Arial"/>
                <w:sz w:val="20"/>
                <w:szCs w:val="20"/>
              </w:rPr>
              <w:t>IVIg</w:t>
            </w:r>
            <w:proofErr w:type="spellEnd"/>
            <w:r w:rsidRPr="00297A95">
              <w:rPr>
                <w:rFonts w:ascii="Arial" w:eastAsia="Cambria" w:hAnsi="Arial" w:cs="Arial"/>
                <w:sz w:val="20"/>
                <w:szCs w:val="20"/>
              </w:rPr>
              <w:t>/corticosteroid group had higher TBSA involvement at baseline</w:t>
            </w:r>
          </w:p>
        </w:tc>
      </w:tr>
      <w:tr w:rsidR="00BD084C" w:rsidRPr="00297A95" w:rsidTr="0085034D">
        <w:tc>
          <w:tcPr>
            <w:tcW w:w="1101" w:type="dxa"/>
          </w:tcPr>
          <w:p w:rsidR="00BD084C" w:rsidRPr="00297A95" w:rsidRDefault="00BD084C" w:rsidP="0085034D">
            <w:pPr>
              <w:spacing w:after="0" w:line="240" w:lineRule="auto"/>
              <w:rPr>
                <w:rFonts w:ascii="Arial" w:eastAsia="Cambria" w:hAnsi="Arial" w:cs="Arial"/>
                <w:b/>
                <w:bCs/>
                <w:sz w:val="20"/>
                <w:szCs w:val="20"/>
              </w:rPr>
            </w:pPr>
            <w:proofErr w:type="spellStart"/>
            <w:r>
              <w:rPr>
                <w:rFonts w:ascii="Arial" w:eastAsia="Cambria" w:hAnsi="Arial" w:cs="Arial"/>
                <w:b/>
                <w:bCs/>
                <w:sz w:val="20"/>
                <w:szCs w:val="20"/>
              </w:rPr>
              <w:lastRenderedPageBreak/>
              <w:t>Hirahara</w:t>
            </w:r>
            <w:proofErr w:type="spellEnd"/>
            <w:r>
              <w:rPr>
                <w:rFonts w:ascii="Arial" w:eastAsia="Cambria" w:hAnsi="Arial" w:cs="Arial"/>
                <w:b/>
                <w:bCs/>
                <w:sz w:val="20"/>
                <w:szCs w:val="20"/>
              </w:rPr>
              <w:t xml:space="preserve"> 2013</w:t>
            </w:r>
            <w:r w:rsidRPr="00BF0F49">
              <w:rPr>
                <w:rFonts w:ascii="Arial" w:eastAsia="Cambria" w:hAnsi="Arial" w:cs="Arial"/>
                <w:b/>
                <w:bCs/>
                <w:noProof/>
                <w:sz w:val="20"/>
                <w:szCs w:val="20"/>
                <w:vertAlign w:val="superscript"/>
              </w:rPr>
              <w:t>112</w:t>
            </w:r>
          </w:p>
        </w:tc>
        <w:tc>
          <w:tcPr>
            <w:tcW w:w="1417" w:type="dxa"/>
          </w:tcPr>
          <w:p w:rsidR="00BD084C" w:rsidRPr="00297A95" w:rsidRDefault="00BD084C" w:rsidP="0085034D">
            <w:pPr>
              <w:spacing w:after="0" w:line="240" w:lineRule="auto"/>
              <w:rPr>
                <w:rFonts w:ascii="Arial" w:eastAsia="Cambria" w:hAnsi="Arial" w:cs="Arial"/>
                <w:sz w:val="20"/>
                <w:szCs w:val="20"/>
              </w:rPr>
            </w:pPr>
            <w:r>
              <w:rPr>
                <w:rFonts w:ascii="Arial" w:eastAsia="Cambria" w:hAnsi="Arial" w:cs="Arial"/>
                <w:sz w:val="20"/>
                <w:szCs w:val="20"/>
              </w:rPr>
              <w:t>Single  dermatology centre</w:t>
            </w:r>
          </w:p>
        </w:tc>
        <w:tc>
          <w:tcPr>
            <w:tcW w:w="1559" w:type="dxa"/>
          </w:tcPr>
          <w:p w:rsidR="00BD084C" w:rsidRPr="00297A95" w:rsidRDefault="00BD084C" w:rsidP="0085034D">
            <w:pPr>
              <w:spacing w:after="0" w:line="240" w:lineRule="auto"/>
              <w:rPr>
                <w:rFonts w:ascii="Arial" w:eastAsia="Cambria" w:hAnsi="Arial" w:cs="Arial"/>
                <w:sz w:val="20"/>
                <w:szCs w:val="20"/>
              </w:rPr>
            </w:pPr>
            <w:r>
              <w:rPr>
                <w:rFonts w:ascii="Arial" w:eastAsia="Cambria" w:hAnsi="Arial" w:cs="Arial"/>
                <w:sz w:val="20"/>
                <w:szCs w:val="20"/>
              </w:rPr>
              <w:t>Retrospective Case series Non-controlled</w:t>
            </w:r>
          </w:p>
        </w:tc>
        <w:tc>
          <w:tcPr>
            <w:tcW w:w="1134" w:type="dxa"/>
          </w:tcPr>
          <w:p w:rsidR="00BD084C" w:rsidRPr="004E684C" w:rsidRDefault="00BD084C" w:rsidP="0085034D">
            <w:pPr>
              <w:spacing w:line="240" w:lineRule="auto"/>
              <w:rPr>
                <w:rFonts w:ascii="Arial" w:eastAsia="Cambria" w:hAnsi="Arial" w:cs="Arial"/>
                <w:sz w:val="20"/>
                <w:szCs w:val="20"/>
                <w:lang w:val="de-DE"/>
              </w:rPr>
            </w:pPr>
            <w:r w:rsidRPr="004E684C">
              <w:rPr>
                <w:rFonts w:ascii="Arial" w:eastAsia="Cambria" w:hAnsi="Arial" w:cs="Arial"/>
                <w:sz w:val="20"/>
                <w:szCs w:val="20"/>
                <w:lang w:val="de-DE"/>
              </w:rPr>
              <w:t>SJS (3)Overlap SJS/TEN (2)TEN (3)</w:t>
            </w:r>
          </w:p>
          <w:p w:rsidR="00BD084C" w:rsidRPr="004E684C" w:rsidRDefault="00BD084C" w:rsidP="0085034D">
            <w:pPr>
              <w:spacing w:line="240" w:lineRule="auto"/>
              <w:rPr>
                <w:rFonts w:ascii="Arial" w:eastAsia="Cambria" w:hAnsi="Arial" w:cs="Arial"/>
                <w:sz w:val="20"/>
                <w:szCs w:val="20"/>
                <w:lang w:val="de-DE"/>
              </w:rPr>
            </w:pPr>
          </w:p>
        </w:tc>
        <w:tc>
          <w:tcPr>
            <w:tcW w:w="1561" w:type="dxa"/>
          </w:tcPr>
          <w:p w:rsidR="00BD084C" w:rsidRPr="00297A95" w:rsidRDefault="00BD084C" w:rsidP="0085034D">
            <w:pPr>
              <w:spacing w:line="240" w:lineRule="auto"/>
              <w:rPr>
                <w:rFonts w:ascii="Arial" w:eastAsia="Cambria" w:hAnsi="Arial" w:cs="Arial"/>
                <w:sz w:val="20"/>
                <w:szCs w:val="20"/>
              </w:rPr>
            </w:pPr>
            <w:r>
              <w:rPr>
                <w:rFonts w:ascii="Arial" w:eastAsia="Cambria" w:hAnsi="Arial" w:cs="Arial"/>
                <w:sz w:val="20"/>
                <w:szCs w:val="20"/>
              </w:rPr>
              <w:t xml:space="preserve">1000 mg IV </w:t>
            </w:r>
            <w:proofErr w:type="spellStart"/>
            <w:r>
              <w:rPr>
                <w:rFonts w:ascii="Arial" w:eastAsia="Cambria" w:hAnsi="Arial" w:cs="Arial"/>
                <w:sz w:val="20"/>
                <w:szCs w:val="20"/>
              </w:rPr>
              <w:t>methylpred</w:t>
            </w:r>
            <w:proofErr w:type="spellEnd"/>
            <w:r>
              <w:rPr>
                <w:rFonts w:ascii="Arial" w:eastAsia="Cambria" w:hAnsi="Arial" w:cs="Arial"/>
                <w:sz w:val="20"/>
                <w:szCs w:val="20"/>
              </w:rPr>
              <w:t xml:space="preserve"> for 3 days</w:t>
            </w:r>
          </w:p>
        </w:tc>
        <w:tc>
          <w:tcPr>
            <w:tcW w:w="1610" w:type="dxa"/>
          </w:tcPr>
          <w:p w:rsidR="00BD084C" w:rsidRPr="00297A95" w:rsidRDefault="00BD084C" w:rsidP="0085034D">
            <w:pPr>
              <w:spacing w:line="240" w:lineRule="auto"/>
              <w:rPr>
                <w:rFonts w:ascii="Arial" w:eastAsia="Cambria" w:hAnsi="Arial" w:cs="Arial"/>
                <w:sz w:val="20"/>
                <w:szCs w:val="20"/>
              </w:rPr>
            </w:pPr>
            <w:r>
              <w:rPr>
                <w:rFonts w:ascii="Arial" w:eastAsia="Cambria" w:hAnsi="Arial" w:cs="Arial"/>
                <w:sz w:val="20"/>
                <w:szCs w:val="20"/>
              </w:rPr>
              <w:t>0/8</w:t>
            </w:r>
          </w:p>
        </w:tc>
        <w:tc>
          <w:tcPr>
            <w:tcW w:w="1610" w:type="dxa"/>
          </w:tcPr>
          <w:p w:rsidR="00BD084C" w:rsidRPr="00297A95" w:rsidRDefault="00BD084C" w:rsidP="0085034D">
            <w:pPr>
              <w:spacing w:line="240" w:lineRule="auto"/>
              <w:rPr>
                <w:rFonts w:ascii="Arial" w:eastAsia="Cambria" w:hAnsi="Arial" w:cs="Arial"/>
                <w:sz w:val="20"/>
                <w:szCs w:val="20"/>
              </w:rPr>
            </w:pPr>
            <w:r>
              <w:rPr>
                <w:rFonts w:ascii="Arial" w:eastAsia="Cambria" w:hAnsi="Arial" w:cs="Arial"/>
                <w:sz w:val="20"/>
                <w:szCs w:val="20"/>
              </w:rPr>
              <w:t>SCORTEN-predicted mortality 1.6/8 (20%)</w:t>
            </w:r>
          </w:p>
        </w:tc>
        <w:tc>
          <w:tcPr>
            <w:tcW w:w="1610" w:type="dxa"/>
          </w:tcPr>
          <w:p w:rsidR="00BD084C" w:rsidRPr="00297A95" w:rsidRDefault="00BD084C" w:rsidP="0085034D">
            <w:pPr>
              <w:spacing w:line="240" w:lineRule="auto"/>
              <w:rPr>
                <w:rFonts w:ascii="Arial" w:eastAsia="Cambria" w:hAnsi="Arial" w:cs="Arial"/>
                <w:sz w:val="20"/>
                <w:szCs w:val="20"/>
              </w:rPr>
            </w:pPr>
            <w:r>
              <w:rPr>
                <w:rFonts w:ascii="Arial" w:eastAsia="Cambria" w:hAnsi="Arial" w:cs="Arial"/>
                <w:sz w:val="20"/>
                <w:szCs w:val="20"/>
              </w:rPr>
              <w:t>Effective</w:t>
            </w:r>
          </w:p>
        </w:tc>
        <w:tc>
          <w:tcPr>
            <w:tcW w:w="962" w:type="dxa"/>
          </w:tcPr>
          <w:p w:rsidR="00BD084C" w:rsidRPr="00297A95" w:rsidRDefault="00BD084C" w:rsidP="0085034D">
            <w:pPr>
              <w:spacing w:line="240" w:lineRule="auto"/>
              <w:rPr>
                <w:rFonts w:ascii="Arial" w:eastAsia="Cambria" w:hAnsi="Arial" w:cs="Arial"/>
                <w:sz w:val="20"/>
                <w:szCs w:val="20"/>
              </w:rPr>
            </w:pPr>
            <w:r>
              <w:rPr>
                <w:rFonts w:ascii="Arial" w:eastAsia="Cambria" w:hAnsi="Arial" w:cs="Arial"/>
                <w:sz w:val="20"/>
                <w:szCs w:val="20"/>
              </w:rPr>
              <w:t>3</w:t>
            </w:r>
          </w:p>
        </w:tc>
        <w:tc>
          <w:tcPr>
            <w:tcW w:w="1610" w:type="dxa"/>
          </w:tcPr>
          <w:p w:rsidR="00BD084C" w:rsidRPr="00297A95" w:rsidRDefault="00BD084C" w:rsidP="0085034D">
            <w:pPr>
              <w:spacing w:line="240" w:lineRule="auto"/>
              <w:rPr>
                <w:rFonts w:ascii="Arial" w:eastAsia="Cambria" w:hAnsi="Arial" w:cs="Arial"/>
                <w:sz w:val="20"/>
                <w:szCs w:val="20"/>
              </w:rPr>
            </w:pPr>
            <w:r>
              <w:rPr>
                <w:rFonts w:ascii="Arial" w:eastAsia="Cambria" w:hAnsi="Arial" w:cs="Arial"/>
                <w:sz w:val="20"/>
                <w:szCs w:val="20"/>
              </w:rPr>
              <w:t>Subsequent doses of corticosteroid varied according to response.</w:t>
            </w:r>
          </w:p>
        </w:tc>
      </w:tr>
    </w:tbl>
    <w:p w:rsidR="00BD084C" w:rsidRDefault="00BD084C" w:rsidP="0085034D">
      <w:pPr>
        <w:pStyle w:val="NoSpacing"/>
        <w:spacing w:line="276" w:lineRule="auto"/>
        <w:jc w:val="both"/>
        <w:rPr>
          <w:rFonts w:ascii="Arial" w:hAnsi="Arial" w:cs="Arial"/>
          <w:b/>
        </w:rPr>
      </w:pPr>
    </w:p>
    <w:p w:rsidR="00BD084C" w:rsidRDefault="00BD084C" w:rsidP="0085034D">
      <w:pPr>
        <w:pStyle w:val="NoSpacing"/>
        <w:spacing w:line="276" w:lineRule="auto"/>
        <w:jc w:val="both"/>
        <w:rPr>
          <w:sz w:val="20"/>
          <w:szCs w:val="20"/>
        </w:rPr>
      </w:pPr>
      <w:r>
        <w:rPr>
          <w:rStyle w:val="FootnoteReference"/>
        </w:rPr>
        <w:footnoteRef/>
      </w:r>
      <w:r>
        <w:t xml:space="preserve"> </w:t>
      </w:r>
      <w:r w:rsidRPr="003705FB">
        <w:rPr>
          <w:sz w:val="20"/>
          <w:szCs w:val="20"/>
        </w:rPr>
        <w:t>See Appendix 1</w:t>
      </w:r>
    </w:p>
    <w:p w:rsidR="00BD084C" w:rsidRDefault="00BD084C" w:rsidP="0085034D">
      <w:pPr>
        <w:pStyle w:val="NoSpacing"/>
        <w:spacing w:line="276" w:lineRule="auto"/>
        <w:jc w:val="both"/>
        <w:rPr>
          <w:sz w:val="20"/>
          <w:szCs w:val="20"/>
        </w:rPr>
      </w:pPr>
    </w:p>
    <w:p w:rsidR="00BD084C" w:rsidRDefault="00BD084C" w:rsidP="0085034D">
      <w:pPr>
        <w:pStyle w:val="NoSpacing"/>
        <w:spacing w:line="276" w:lineRule="auto"/>
        <w:jc w:val="both"/>
        <w:rPr>
          <w:rFonts w:ascii="Arial" w:hAnsi="Arial" w:cs="Arial"/>
          <w:b/>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b/>
        </w:rPr>
        <w:t xml:space="preserve">Table </w:t>
      </w:r>
      <w:r>
        <w:rPr>
          <w:rFonts w:ascii="Arial" w:hAnsi="Arial" w:cs="Arial"/>
          <w:b/>
        </w:rPr>
        <w:t>9</w:t>
      </w:r>
      <w:r w:rsidRPr="00297A95">
        <w:rPr>
          <w:rFonts w:ascii="Arial" w:hAnsi="Arial" w:cs="Arial"/>
        </w:rPr>
        <w:t>: Summary of ciclosporin studies in SJS/TEN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577"/>
        <w:gridCol w:w="1520"/>
        <w:gridCol w:w="1108"/>
        <w:gridCol w:w="1492"/>
        <w:gridCol w:w="1165"/>
        <w:gridCol w:w="2057"/>
        <w:gridCol w:w="1106"/>
        <w:gridCol w:w="1158"/>
        <w:gridCol w:w="1915"/>
      </w:tblGrid>
      <w:tr w:rsidR="00BD084C" w:rsidRPr="00297A95" w:rsidTr="0085034D">
        <w:tc>
          <w:tcPr>
            <w:tcW w:w="0" w:type="auto"/>
          </w:tcPr>
          <w:p w:rsidR="00BD084C" w:rsidRPr="00904160" w:rsidRDefault="00BD084C" w:rsidP="0085034D">
            <w:pPr>
              <w:pStyle w:val="NoSpacing"/>
              <w:spacing w:line="276" w:lineRule="auto"/>
              <w:jc w:val="both"/>
              <w:rPr>
                <w:rFonts w:ascii="Arial" w:hAnsi="Arial" w:cs="Arial"/>
                <w:b/>
                <w:sz w:val="20"/>
                <w:szCs w:val="20"/>
              </w:rPr>
            </w:pPr>
            <w:r w:rsidRPr="00904160">
              <w:rPr>
                <w:rFonts w:ascii="Arial" w:hAnsi="Arial" w:cs="Arial"/>
                <w:b/>
                <w:sz w:val="20"/>
                <w:szCs w:val="20"/>
              </w:rPr>
              <w:t>Study</w:t>
            </w:r>
          </w:p>
        </w:tc>
        <w:tc>
          <w:tcPr>
            <w:tcW w:w="0" w:type="auto"/>
          </w:tcPr>
          <w:p w:rsidR="00BD084C" w:rsidRPr="00904160" w:rsidRDefault="00BD084C" w:rsidP="0085034D">
            <w:pPr>
              <w:pStyle w:val="NoSpacing"/>
              <w:spacing w:line="276" w:lineRule="auto"/>
              <w:jc w:val="both"/>
              <w:rPr>
                <w:rFonts w:ascii="Arial" w:hAnsi="Arial" w:cs="Arial"/>
                <w:b/>
                <w:sz w:val="20"/>
                <w:szCs w:val="20"/>
              </w:rPr>
            </w:pPr>
            <w:r w:rsidRPr="00904160">
              <w:rPr>
                <w:rFonts w:ascii="Arial" w:hAnsi="Arial" w:cs="Arial"/>
                <w:b/>
                <w:sz w:val="20"/>
                <w:szCs w:val="20"/>
              </w:rPr>
              <w:t xml:space="preserve">Setting </w:t>
            </w:r>
          </w:p>
        </w:tc>
        <w:tc>
          <w:tcPr>
            <w:tcW w:w="0" w:type="auto"/>
          </w:tcPr>
          <w:p w:rsidR="00BD084C" w:rsidRPr="00904160" w:rsidRDefault="00BD084C" w:rsidP="0085034D">
            <w:pPr>
              <w:pStyle w:val="NoSpacing"/>
              <w:spacing w:line="276" w:lineRule="auto"/>
              <w:jc w:val="both"/>
              <w:rPr>
                <w:rFonts w:ascii="Arial" w:hAnsi="Arial" w:cs="Arial"/>
                <w:b/>
                <w:sz w:val="20"/>
                <w:szCs w:val="20"/>
                <w:vertAlign w:val="superscript"/>
              </w:rPr>
            </w:pPr>
            <w:r w:rsidRPr="00904160">
              <w:rPr>
                <w:rFonts w:ascii="Arial" w:hAnsi="Arial" w:cs="Arial"/>
                <w:b/>
                <w:sz w:val="20"/>
                <w:szCs w:val="20"/>
              </w:rPr>
              <w:t>Design</w:t>
            </w:r>
          </w:p>
        </w:tc>
        <w:tc>
          <w:tcPr>
            <w:tcW w:w="0" w:type="auto"/>
          </w:tcPr>
          <w:p w:rsidR="00BD084C" w:rsidRPr="00904160" w:rsidRDefault="00BD084C" w:rsidP="0085034D">
            <w:pPr>
              <w:pStyle w:val="NoSpacing"/>
              <w:spacing w:line="276" w:lineRule="auto"/>
              <w:jc w:val="both"/>
              <w:rPr>
                <w:rFonts w:ascii="Arial" w:hAnsi="Arial" w:cs="Arial"/>
                <w:b/>
                <w:sz w:val="20"/>
                <w:szCs w:val="20"/>
              </w:rPr>
            </w:pPr>
            <w:r w:rsidRPr="00904160">
              <w:rPr>
                <w:rFonts w:ascii="Arial" w:hAnsi="Arial" w:cs="Arial"/>
                <w:b/>
                <w:sz w:val="20"/>
                <w:szCs w:val="20"/>
              </w:rPr>
              <w:t>Patient</w:t>
            </w:r>
            <w:r>
              <w:rPr>
                <w:rFonts w:ascii="Arial" w:hAnsi="Arial" w:cs="Arial"/>
                <w:b/>
                <w:sz w:val="20"/>
                <w:szCs w:val="20"/>
              </w:rPr>
              <w:t xml:space="preserve"> number</w:t>
            </w:r>
            <w:r w:rsidRPr="00904160">
              <w:rPr>
                <w:rFonts w:ascii="Arial" w:hAnsi="Arial" w:cs="Arial"/>
                <w:b/>
                <w:sz w:val="20"/>
                <w:szCs w:val="20"/>
              </w:rPr>
              <w:t>s</w:t>
            </w:r>
          </w:p>
        </w:tc>
        <w:tc>
          <w:tcPr>
            <w:tcW w:w="0" w:type="auto"/>
          </w:tcPr>
          <w:p w:rsidR="00BD084C" w:rsidRPr="00904160" w:rsidRDefault="00BD084C" w:rsidP="0085034D">
            <w:pPr>
              <w:pStyle w:val="NoSpacing"/>
              <w:spacing w:line="276" w:lineRule="auto"/>
              <w:jc w:val="both"/>
              <w:rPr>
                <w:rFonts w:ascii="Arial" w:hAnsi="Arial" w:cs="Arial"/>
                <w:b/>
                <w:sz w:val="20"/>
                <w:szCs w:val="20"/>
              </w:rPr>
            </w:pPr>
            <w:r w:rsidRPr="00904160">
              <w:rPr>
                <w:rFonts w:ascii="Arial" w:hAnsi="Arial" w:cs="Arial"/>
                <w:b/>
                <w:sz w:val="20"/>
                <w:szCs w:val="20"/>
              </w:rPr>
              <w:t>Intervention</w:t>
            </w:r>
          </w:p>
        </w:tc>
        <w:tc>
          <w:tcPr>
            <w:tcW w:w="0" w:type="auto"/>
          </w:tcPr>
          <w:p w:rsidR="00BD084C" w:rsidRPr="00904160" w:rsidRDefault="00BD084C" w:rsidP="0085034D">
            <w:pPr>
              <w:pStyle w:val="NoSpacing"/>
              <w:spacing w:line="276" w:lineRule="auto"/>
              <w:jc w:val="both"/>
              <w:rPr>
                <w:rFonts w:ascii="Arial" w:hAnsi="Arial" w:cs="Arial"/>
                <w:b/>
                <w:sz w:val="20"/>
                <w:szCs w:val="20"/>
              </w:rPr>
            </w:pPr>
            <w:r w:rsidRPr="00904160">
              <w:rPr>
                <w:rFonts w:ascii="Arial" w:hAnsi="Arial" w:cs="Arial"/>
                <w:b/>
                <w:sz w:val="20"/>
                <w:szCs w:val="20"/>
              </w:rPr>
              <w:t>Outcome: mortality</w:t>
            </w:r>
          </w:p>
        </w:tc>
        <w:tc>
          <w:tcPr>
            <w:tcW w:w="0" w:type="auto"/>
          </w:tcPr>
          <w:p w:rsidR="00BD084C" w:rsidRPr="00904160" w:rsidRDefault="00BD084C" w:rsidP="0085034D">
            <w:pPr>
              <w:pStyle w:val="NoSpacing"/>
              <w:spacing w:line="276" w:lineRule="auto"/>
              <w:jc w:val="both"/>
              <w:rPr>
                <w:rFonts w:ascii="Arial" w:hAnsi="Arial" w:cs="Arial"/>
                <w:b/>
                <w:sz w:val="20"/>
                <w:szCs w:val="20"/>
              </w:rPr>
            </w:pPr>
            <w:r w:rsidRPr="00904160">
              <w:rPr>
                <w:rFonts w:ascii="Arial" w:hAnsi="Arial" w:cs="Arial"/>
                <w:b/>
                <w:sz w:val="20"/>
                <w:szCs w:val="20"/>
              </w:rPr>
              <w:t>Comparator</w:t>
            </w:r>
          </w:p>
        </w:tc>
        <w:tc>
          <w:tcPr>
            <w:tcW w:w="0" w:type="auto"/>
          </w:tcPr>
          <w:p w:rsidR="00BD084C" w:rsidRPr="00904160" w:rsidRDefault="00BD084C" w:rsidP="0085034D">
            <w:pPr>
              <w:pStyle w:val="NoSpacing"/>
              <w:spacing w:line="276" w:lineRule="auto"/>
              <w:jc w:val="both"/>
              <w:rPr>
                <w:rFonts w:ascii="Arial" w:hAnsi="Arial" w:cs="Arial"/>
                <w:b/>
                <w:sz w:val="20"/>
                <w:szCs w:val="20"/>
              </w:rPr>
            </w:pPr>
            <w:r w:rsidRPr="00904160">
              <w:rPr>
                <w:rFonts w:ascii="Arial" w:hAnsi="Arial" w:cs="Arial"/>
                <w:b/>
                <w:sz w:val="20"/>
                <w:szCs w:val="20"/>
              </w:rPr>
              <w:t>Reported benefit</w:t>
            </w:r>
          </w:p>
        </w:tc>
        <w:tc>
          <w:tcPr>
            <w:tcW w:w="0" w:type="auto"/>
          </w:tcPr>
          <w:p w:rsidR="00BD084C" w:rsidRPr="003705FB" w:rsidRDefault="00BD084C" w:rsidP="0085034D">
            <w:pPr>
              <w:pStyle w:val="NoSpacing"/>
              <w:spacing w:line="276" w:lineRule="auto"/>
              <w:jc w:val="both"/>
              <w:rPr>
                <w:rFonts w:ascii="Arial" w:hAnsi="Arial" w:cs="Arial"/>
                <w:sz w:val="20"/>
                <w:szCs w:val="20"/>
                <w:vertAlign w:val="superscript"/>
              </w:rPr>
            </w:pPr>
            <w:r w:rsidRPr="00297A95">
              <w:rPr>
                <w:rFonts w:ascii="Arial" w:hAnsi="Arial" w:cs="Arial"/>
                <w:b/>
                <w:sz w:val="20"/>
                <w:szCs w:val="20"/>
              </w:rPr>
              <w:t>Level of evidence</w:t>
            </w:r>
            <w:r w:rsidRPr="00904160">
              <w:rPr>
                <w:rFonts w:ascii="Arial" w:hAnsi="Arial" w:cs="Arial"/>
                <w:b/>
                <w:sz w:val="20"/>
                <w:szCs w:val="20"/>
                <w:vertAlign w:val="superscript"/>
              </w:rPr>
              <w:t>1</w:t>
            </w:r>
          </w:p>
        </w:tc>
        <w:tc>
          <w:tcPr>
            <w:tcW w:w="0" w:type="auto"/>
          </w:tcPr>
          <w:p w:rsidR="00BD084C" w:rsidRPr="00904160" w:rsidRDefault="00BD084C" w:rsidP="0085034D">
            <w:pPr>
              <w:pStyle w:val="NoSpacing"/>
              <w:spacing w:line="276" w:lineRule="auto"/>
              <w:jc w:val="both"/>
              <w:rPr>
                <w:rFonts w:ascii="Arial" w:hAnsi="Arial" w:cs="Arial"/>
                <w:b/>
                <w:sz w:val="20"/>
                <w:szCs w:val="20"/>
              </w:rPr>
            </w:pPr>
            <w:r>
              <w:rPr>
                <w:rFonts w:ascii="Arial" w:hAnsi="Arial" w:cs="Arial"/>
                <w:b/>
                <w:sz w:val="20"/>
                <w:szCs w:val="20"/>
              </w:rPr>
              <w:t>Additional notes</w:t>
            </w:r>
          </w:p>
        </w:tc>
      </w:tr>
      <w:tr w:rsidR="00BD084C" w:rsidRPr="00297A95" w:rsidTr="0085034D">
        <w:tc>
          <w:tcPr>
            <w:tcW w:w="0" w:type="auto"/>
          </w:tcPr>
          <w:p w:rsidR="00BD084C" w:rsidRPr="00297A95" w:rsidRDefault="00BD084C" w:rsidP="0085034D">
            <w:pPr>
              <w:spacing w:after="0" w:line="240" w:lineRule="auto"/>
              <w:rPr>
                <w:rFonts w:ascii="Arial" w:hAnsi="Arial" w:cs="Arial"/>
                <w:sz w:val="20"/>
                <w:szCs w:val="20"/>
              </w:rPr>
            </w:pPr>
            <w:proofErr w:type="spellStart"/>
            <w:r w:rsidRPr="00297A95">
              <w:rPr>
                <w:rFonts w:ascii="Arial" w:hAnsi="Arial" w:cs="Arial"/>
                <w:b/>
                <w:sz w:val="20"/>
                <w:szCs w:val="20"/>
              </w:rPr>
              <w:t>Arvalo</w:t>
            </w:r>
            <w:proofErr w:type="spellEnd"/>
            <w:r w:rsidRPr="00297A95">
              <w:rPr>
                <w:rFonts w:ascii="Arial" w:hAnsi="Arial" w:cs="Arial"/>
                <w:b/>
                <w:sz w:val="20"/>
                <w:szCs w:val="20"/>
              </w:rPr>
              <w:t xml:space="preserve"> 2000</w:t>
            </w:r>
            <w:r w:rsidRPr="00BF0F49">
              <w:rPr>
                <w:rFonts w:ascii="Arial" w:hAnsi="Arial" w:cs="Arial"/>
                <w:noProof/>
                <w:sz w:val="20"/>
                <w:szCs w:val="20"/>
                <w:vertAlign w:val="superscript"/>
              </w:rPr>
              <w:t>113</w:t>
            </w:r>
            <w:r w:rsidRPr="00297A95">
              <w:rPr>
                <w:rFonts w:ascii="Arial" w:hAnsi="Arial" w:cs="Arial"/>
                <w:sz w:val="20"/>
                <w:szCs w:val="20"/>
              </w:rPr>
              <w:t xml:space="preserve"> </w:t>
            </w:r>
          </w:p>
        </w:tc>
        <w:tc>
          <w:tcPr>
            <w:tcW w:w="0" w:type="auto"/>
          </w:tcPr>
          <w:p w:rsidR="00BD084C" w:rsidRPr="00297A95" w:rsidRDefault="00BD084C" w:rsidP="0085034D">
            <w:pPr>
              <w:pStyle w:val="NoSpacing"/>
              <w:spacing w:line="276" w:lineRule="auto"/>
              <w:jc w:val="both"/>
              <w:rPr>
                <w:rFonts w:ascii="Arial" w:hAnsi="Arial" w:cs="Arial"/>
                <w:sz w:val="20"/>
                <w:szCs w:val="20"/>
              </w:rPr>
            </w:pPr>
            <w:r w:rsidRPr="00297A95">
              <w:rPr>
                <w:rFonts w:ascii="Arial" w:hAnsi="Arial" w:cs="Arial"/>
                <w:sz w:val="20"/>
                <w:szCs w:val="20"/>
              </w:rPr>
              <w:t xml:space="preserve">Burns </w:t>
            </w:r>
            <w:r>
              <w:rPr>
                <w:rFonts w:ascii="Arial" w:hAnsi="Arial" w:cs="Arial"/>
                <w:sz w:val="20"/>
                <w:szCs w:val="20"/>
              </w:rPr>
              <w:t>u</w:t>
            </w:r>
            <w:r w:rsidRPr="00297A95">
              <w:rPr>
                <w:rFonts w:ascii="Arial" w:hAnsi="Arial" w:cs="Arial"/>
                <w:sz w:val="20"/>
                <w:szCs w:val="20"/>
              </w:rPr>
              <w:t>nit</w:t>
            </w:r>
          </w:p>
        </w:tc>
        <w:tc>
          <w:tcPr>
            <w:tcW w:w="0" w:type="auto"/>
          </w:tcPr>
          <w:p w:rsidR="00BD084C" w:rsidRPr="00297A95" w:rsidRDefault="00BD084C" w:rsidP="0085034D">
            <w:pPr>
              <w:pStyle w:val="NoSpacing"/>
              <w:spacing w:line="276" w:lineRule="auto"/>
              <w:jc w:val="both"/>
              <w:rPr>
                <w:rFonts w:ascii="Arial" w:hAnsi="Arial" w:cs="Arial"/>
                <w:sz w:val="20"/>
                <w:szCs w:val="20"/>
              </w:rPr>
            </w:pPr>
            <w:r w:rsidRPr="00297A95">
              <w:rPr>
                <w:rFonts w:ascii="Arial" w:hAnsi="Arial" w:cs="Arial"/>
                <w:sz w:val="20"/>
                <w:szCs w:val="20"/>
              </w:rPr>
              <w:t>Case-Control study (historic controls)</w:t>
            </w:r>
          </w:p>
        </w:tc>
        <w:tc>
          <w:tcPr>
            <w:tcW w:w="0" w:type="auto"/>
          </w:tcPr>
          <w:p w:rsidR="00BD084C" w:rsidRPr="00297A95" w:rsidRDefault="00BD084C" w:rsidP="0085034D">
            <w:pPr>
              <w:pStyle w:val="NoSpacing"/>
              <w:spacing w:line="276" w:lineRule="auto"/>
              <w:jc w:val="both"/>
              <w:rPr>
                <w:rFonts w:ascii="Arial" w:hAnsi="Arial" w:cs="Arial"/>
                <w:sz w:val="20"/>
                <w:szCs w:val="20"/>
              </w:rPr>
            </w:pPr>
            <w:r w:rsidRPr="00297A95">
              <w:rPr>
                <w:rFonts w:ascii="Arial" w:hAnsi="Arial" w:cs="Arial"/>
                <w:sz w:val="20"/>
                <w:szCs w:val="20"/>
              </w:rPr>
              <w:t xml:space="preserve"> TEN</w:t>
            </w:r>
            <w:r>
              <w:rPr>
                <w:rFonts w:ascii="Arial" w:hAnsi="Arial" w:cs="Arial"/>
                <w:sz w:val="20"/>
                <w:szCs w:val="20"/>
              </w:rPr>
              <w:t xml:space="preserve"> (11)</w:t>
            </w:r>
            <w:r w:rsidRPr="00297A95">
              <w:rPr>
                <w:rFonts w:ascii="Arial" w:hAnsi="Arial" w:cs="Arial"/>
                <w:sz w:val="20"/>
                <w:szCs w:val="20"/>
              </w:rPr>
              <w:t xml:space="preserve"> </w:t>
            </w:r>
          </w:p>
        </w:tc>
        <w:tc>
          <w:tcPr>
            <w:tcW w:w="0" w:type="auto"/>
          </w:tcPr>
          <w:p w:rsidR="00BD084C" w:rsidRPr="00297A95" w:rsidRDefault="00BD084C" w:rsidP="0085034D">
            <w:pPr>
              <w:spacing w:after="0" w:line="240" w:lineRule="auto"/>
              <w:rPr>
                <w:rFonts w:ascii="Arial" w:hAnsi="Arial" w:cs="Arial"/>
                <w:sz w:val="20"/>
                <w:szCs w:val="20"/>
              </w:rPr>
            </w:pPr>
            <w:r w:rsidRPr="00297A95">
              <w:rPr>
                <w:rFonts w:ascii="Arial" w:hAnsi="Arial" w:cs="Arial"/>
                <w:sz w:val="20"/>
                <w:szCs w:val="20"/>
              </w:rPr>
              <w:t xml:space="preserve">Cases treated with 3 mg/kg </w:t>
            </w:r>
            <w:proofErr w:type="spellStart"/>
            <w:r w:rsidRPr="00297A95">
              <w:rPr>
                <w:rFonts w:ascii="Arial" w:hAnsi="Arial" w:cs="Arial"/>
                <w:sz w:val="20"/>
                <w:szCs w:val="20"/>
              </w:rPr>
              <w:t>CyA</w:t>
            </w:r>
            <w:proofErr w:type="spellEnd"/>
            <w:r w:rsidRPr="00297A95">
              <w:rPr>
                <w:rFonts w:ascii="Arial" w:hAnsi="Arial" w:cs="Arial"/>
                <w:sz w:val="20"/>
                <w:szCs w:val="20"/>
              </w:rPr>
              <w:t xml:space="preserve"> for 14 days, tapered by 10 mg/day for a further 2 weeks, then stopped</w:t>
            </w:r>
          </w:p>
          <w:p w:rsidR="00BD084C" w:rsidRPr="00297A95" w:rsidRDefault="00BD084C" w:rsidP="0085034D">
            <w:pPr>
              <w:pStyle w:val="NoSpacing"/>
              <w:spacing w:line="276" w:lineRule="auto"/>
              <w:jc w:val="both"/>
              <w:rPr>
                <w:rFonts w:ascii="Arial" w:hAnsi="Arial" w:cs="Arial"/>
                <w:sz w:val="20"/>
                <w:szCs w:val="20"/>
              </w:rPr>
            </w:pPr>
          </w:p>
        </w:tc>
        <w:tc>
          <w:tcPr>
            <w:tcW w:w="0" w:type="auto"/>
          </w:tcPr>
          <w:p w:rsidR="00BD084C" w:rsidRPr="00297A95" w:rsidRDefault="00BD084C" w:rsidP="0085034D">
            <w:pPr>
              <w:pStyle w:val="NoSpacing"/>
              <w:spacing w:line="276" w:lineRule="auto"/>
              <w:jc w:val="both"/>
              <w:rPr>
                <w:rFonts w:ascii="Arial" w:hAnsi="Arial" w:cs="Arial"/>
                <w:sz w:val="20"/>
                <w:szCs w:val="20"/>
              </w:rPr>
            </w:pPr>
            <w:r w:rsidRPr="00297A95">
              <w:rPr>
                <w:rFonts w:ascii="Arial" w:hAnsi="Arial" w:cs="Arial"/>
                <w:sz w:val="20"/>
                <w:szCs w:val="20"/>
              </w:rPr>
              <w:t>0/11</w:t>
            </w:r>
          </w:p>
        </w:tc>
        <w:tc>
          <w:tcPr>
            <w:tcW w:w="0" w:type="auto"/>
          </w:tcPr>
          <w:p w:rsidR="00BD084C" w:rsidRDefault="00BD084C" w:rsidP="0085034D">
            <w:pPr>
              <w:pStyle w:val="NoSpacing"/>
              <w:spacing w:line="276" w:lineRule="auto"/>
              <w:jc w:val="both"/>
              <w:rPr>
                <w:rFonts w:ascii="Arial" w:hAnsi="Arial" w:cs="Arial"/>
                <w:sz w:val="20"/>
                <w:szCs w:val="20"/>
              </w:rPr>
            </w:pPr>
            <w:r w:rsidRPr="00297A95">
              <w:rPr>
                <w:rFonts w:ascii="Arial" w:hAnsi="Arial" w:cs="Arial"/>
                <w:sz w:val="20"/>
                <w:szCs w:val="20"/>
              </w:rPr>
              <w:t>3/6 in cyclophosphamide group</w:t>
            </w:r>
          </w:p>
          <w:p w:rsidR="00BD084C" w:rsidRPr="00297A95" w:rsidRDefault="00BD084C" w:rsidP="0085034D">
            <w:pPr>
              <w:pStyle w:val="NoSpacing"/>
              <w:spacing w:line="276" w:lineRule="auto"/>
              <w:jc w:val="both"/>
              <w:rPr>
                <w:rFonts w:ascii="Arial" w:hAnsi="Arial" w:cs="Arial"/>
                <w:sz w:val="20"/>
                <w:szCs w:val="20"/>
              </w:rPr>
            </w:pPr>
            <w:r w:rsidRPr="00297A95">
              <w:rPr>
                <w:rFonts w:ascii="Arial" w:hAnsi="Arial" w:cs="Arial"/>
                <w:sz w:val="20"/>
                <w:szCs w:val="20"/>
              </w:rPr>
              <w:t xml:space="preserve">Cyclophosphamide 150 mg </w:t>
            </w:r>
            <w:proofErr w:type="spellStart"/>
            <w:r w:rsidRPr="00297A95">
              <w:rPr>
                <w:rFonts w:ascii="Arial" w:hAnsi="Arial" w:cs="Arial"/>
                <w:sz w:val="20"/>
                <w:szCs w:val="20"/>
              </w:rPr>
              <w:t>bd</w:t>
            </w:r>
            <w:proofErr w:type="spellEnd"/>
            <w:r w:rsidRPr="00297A95">
              <w:rPr>
                <w:rFonts w:ascii="Arial" w:hAnsi="Arial" w:cs="Arial"/>
                <w:sz w:val="20"/>
                <w:szCs w:val="20"/>
              </w:rPr>
              <w:t xml:space="preserve"> and methylprednisolone – variable doses (&gt; or = 1 mg/kg/day</w:t>
            </w:r>
          </w:p>
        </w:tc>
        <w:tc>
          <w:tcPr>
            <w:tcW w:w="0" w:type="auto"/>
          </w:tcPr>
          <w:p w:rsidR="00BD084C" w:rsidRPr="00297A95" w:rsidRDefault="00BD084C" w:rsidP="0085034D">
            <w:pPr>
              <w:pStyle w:val="NoSpacing"/>
              <w:spacing w:line="276" w:lineRule="auto"/>
              <w:jc w:val="both"/>
              <w:rPr>
                <w:rFonts w:ascii="Arial" w:hAnsi="Arial" w:cs="Arial"/>
                <w:sz w:val="20"/>
                <w:szCs w:val="20"/>
              </w:rPr>
            </w:pPr>
            <w:r w:rsidRPr="00297A95">
              <w:rPr>
                <w:rFonts w:ascii="Arial" w:hAnsi="Arial" w:cs="Arial"/>
                <w:sz w:val="20"/>
                <w:szCs w:val="20"/>
              </w:rPr>
              <w:t>Yes</w:t>
            </w:r>
          </w:p>
        </w:tc>
        <w:tc>
          <w:tcPr>
            <w:tcW w:w="0" w:type="auto"/>
          </w:tcPr>
          <w:p w:rsidR="00BD084C" w:rsidRPr="00297A95" w:rsidRDefault="00BD084C" w:rsidP="0085034D">
            <w:pPr>
              <w:pStyle w:val="NoSpacing"/>
              <w:spacing w:line="276" w:lineRule="auto"/>
              <w:jc w:val="both"/>
              <w:rPr>
                <w:rFonts w:ascii="Arial" w:hAnsi="Arial" w:cs="Arial"/>
                <w:sz w:val="20"/>
                <w:szCs w:val="20"/>
              </w:rPr>
            </w:pPr>
            <w:r w:rsidRPr="00297A95">
              <w:rPr>
                <w:rFonts w:ascii="Arial" w:hAnsi="Arial" w:cs="Arial"/>
                <w:sz w:val="20"/>
                <w:szCs w:val="20"/>
              </w:rPr>
              <w:t>3</w:t>
            </w:r>
          </w:p>
        </w:tc>
        <w:tc>
          <w:tcPr>
            <w:tcW w:w="0" w:type="auto"/>
          </w:tcPr>
          <w:p w:rsidR="00BD084C" w:rsidRPr="00297A95" w:rsidRDefault="00BD084C" w:rsidP="0085034D">
            <w:pPr>
              <w:spacing w:after="0" w:line="240" w:lineRule="auto"/>
              <w:rPr>
                <w:rFonts w:ascii="Arial" w:hAnsi="Arial" w:cs="Arial"/>
                <w:sz w:val="20"/>
                <w:szCs w:val="20"/>
              </w:rPr>
            </w:pPr>
            <w:r w:rsidRPr="00297A95">
              <w:rPr>
                <w:rFonts w:ascii="Arial" w:hAnsi="Arial" w:cs="Arial"/>
                <w:sz w:val="20"/>
                <w:szCs w:val="20"/>
              </w:rPr>
              <w:t>No evidence of case validation (though all cases have histopathological confirmation).</w:t>
            </w:r>
          </w:p>
          <w:p w:rsidR="00BD084C" w:rsidRPr="00297A95" w:rsidRDefault="00BD084C" w:rsidP="0085034D">
            <w:pPr>
              <w:spacing w:after="0" w:line="240" w:lineRule="auto"/>
              <w:rPr>
                <w:rFonts w:ascii="Arial" w:hAnsi="Arial" w:cs="Arial"/>
                <w:sz w:val="20"/>
                <w:szCs w:val="20"/>
              </w:rPr>
            </w:pPr>
            <w:r w:rsidRPr="00297A95">
              <w:rPr>
                <w:rFonts w:ascii="Arial" w:hAnsi="Arial" w:cs="Arial"/>
                <w:sz w:val="20"/>
                <w:szCs w:val="20"/>
              </w:rPr>
              <w:t>Possible overestimation of BSA involvement</w:t>
            </w:r>
          </w:p>
          <w:p w:rsidR="00BD084C" w:rsidRPr="00297A95" w:rsidRDefault="00BD084C" w:rsidP="0085034D">
            <w:pPr>
              <w:pStyle w:val="NoSpacing"/>
              <w:spacing w:line="276" w:lineRule="auto"/>
              <w:rPr>
                <w:rFonts w:ascii="Arial" w:hAnsi="Arial" w:cs="Arial"/>
                <w:sz w:val="20"/>
                <w:szCs w:val="20"/>
              </w:rPr>
            </w:pPr>
            <w:r w:rsidRPr="00297A95">
              <w:rPr>
                <w:rFonts w:ascii="Arial" w:hAnsi="Arial" w:cs="Arial"/>
                <w:sz w:val="20"/>
                <w:szCs w:val="20"/>
              </w:rPr>
              <w:t>Co-treatment with steroid</w:t>
            </w:r>
            <w:r>
              <w:rPr>
                <w:rFonts w:ascii="Arial" w:hAnsi="Arial" w:cs="Arial"/>
                <w:sz w:val="20"/>
                <w:szCs w:val="20"/>
              </w:rPr>
              <w:t xml:space="preserve"> and </w:t>
            </w:r>
            <w:proofErr w:type="spellStart"/>
            <w:r>
              <w:rPr>
                <w:rFonts w:ascii="Arial" w:hAnsi="Arial" w:cs="Arial"/>
                <w:sz w:val="20"/>
                <w:szCs w:val="20"/>
              </w:rPr>
              <w:t>ciclophosphamide</w:t>
            </w:r>
            <w:proofErr w:type="spellEnd"/>
            <w:r>
              <w:rPr>
                <w:rFonts w:ascii="Arial" w:hAnsi="Arial" w:cs="Arial"/>
                <w:sz w:val="20"/>
                <w:szCs w:val="20"/>
              </w:rPr>
              <w:t xml:space="preserve"> </w:t>
            </w:r>
            <w:r w:rsidRPr="00297A95">
              <w:rPr>
                <w:rFonts w:ascii="Arial" w:hAnsi="Arial" w:cs="Arial"/>
                <w:sz w:val="20"/>
                <w:szCs w:val="20"/>
              </w:rPr>
              <w:t xml:space="preserve"> in control group at variable doses</w:t>
            </w:r>
          </w:p>
        </w:tc>
      </w:tr>
      <w:tr w:rsidR="00BD084C" w:rsidRPr="00297A95" w:rsidTr="0085034D">
        <w:tc>
          <w:tcPr>
            <w:tcW w:w="0" w:type="auto"/>
          </w:tcPr>
          <w:p w:rsidR="00BD084C" w:rsidRPr="00297A95" w:rsidRDefault="00BD084C" w:rsidP="0085034D">
            <w:pPr>
              <w:spacing w:after="0" w:line="240" w:lineRule="auto"/>
              <w:rPr>
                <w:rFonts w:ascii="Arial" w:hAnsi="Arial" w:cs="Arial"/>
                <w:sz w:val="20"/>
                <w:szCs w:val="20"/>
              </w:rPr>
            </w:pPr>
            <w:proofErr w:type="spellStart"/>
            <w:r w:rsidRPr="00297A95">
              <w:rPr>
                <w:rFonts w:ascii="Arial" w:hAnsi="Arial" w:cs="Arial"/>
                <w:b/>
                <w:sz w:val="20"/>
                <w:szCs w:val="20"/>
              </w:rPr>
              <w:t>Valeyrie-Allanore</w:t>
            </w:r>
            <w:proofErr w:type="spellEnd"/>
            <w:r w:rsidRPr="00297A95">
              <w:rPr>
                <w:rFonts w:ascii="Arial" w:hAnsi="Arial" w:cs="Arial"/>
                <w:b/>
                <w:sz w:val="20"/>
                <w:szCs w:val="20"/>
              </w:rPr>
              <w:t xml:space="preserve"> 2010</w:t>
            </w:r>
            <w:r w:rsidRPr="00BF0F49">
              <w:rPr>
                <w:rFonts w:ascii="Arial" w:hAnsi="Arial" w:cs="Arial"/>
                <w:noProof/>
                <w:sz w:val="20"/>
                <w:szCs w:val="20"/>
                <w:vertAlign w:val="superscript"/>
              </w:rPr>
              <w:t>114</w:t>
            </w:r>
          </w:p>
        </w:tc>
        <w:tc>
          <w:tcPr>
            <w:tcW w:w="0" w:type="auto"/>
          </w:tcPr>
          <w:p w:rsidR="00BD084C" w:rsidRPr="00297A95" w:rsidRDefault="00BD084C" w:rsidP="0085034D">
            <w:pPr>
              <w:pStyle w:val="NoSpacing"/>
              <w:spacing w:line="276" w:lineRule="auto"/>
              <w:jc w:val="both"/>
              <w:rPr>
                <w:rFonts w:ascii="Arial" w:hAnsi="Arial" w:cs="Arial"/>
                <w:sz w:val="20"/>
                <w:szCs w:val="20"/>
              </w:rPr>
            </w:pPr>
            <w:r w:rsidRPr="00297A95">
              <w:rPr>
                <w:rFonts w:ascii="Arial" w:hAnsi="Arial" w:cs="Arial"/>
                <w:sz w:val="20"/>
                <w:szCs w:val="20"/>
              </w:rPr>
              <w:t>Dermatological intensive care unit</w:t>
            </w:r>
          </w:p>
        </w:tc>
        <w:tc>
          <w:tcPr>
            <w:tcW w:w="0" w:type="auto"/>
          </w:tcPr>
          <w:p w:rsidR="00BD084C" w:rsidRPr="00297A95" w:rsidRDefault="00BD084C" w:rsidP="0085034D">
            <w:pPr>
              <w:pStyle w:val="NoSpacing"/>
              <w:spacing w:line="276" w:lineRule="auto"/>
              <w:jc w:val="both"/>
              <w:rPr>
                <w:rFonts w:ascii="Arial" w:hAnsi="Arial" w:cs="Arial"/>
                <w:sz w:val="20"/>
                <w:szCs w:val="20"/>
              </w:rPr>
            </w:pPr>
            <w:r w:rsidRPr="00297A95">
              <w:rPr>
                <w:rFonts w:ascii="Arial" w:hAnsi="Arial" w:cs="Arial"/>
                <w:sz w:val="20"/>
                <w:szCs w:val="20"/>
              </w:rPr>
              <w:t xml:space="preserve">Case Series with SCORTEN-based </w:t>
            </w:r>
            <w:r w:rsidRPr="00297A95">
              <w:rPr>
                <w:rFonts w:ascii="Arial" w:hAnsi="Arial" w:cs="Arial"/>
                <w:sz w:val="20"/>
                <w:szCs w:val="20"/>
              </w:rPr>
              <w:lastRenderedPageBreak/>
              <w:t xml:space="preserve">predicted mortality as comparator </w:t>
            </w:r>
          </w:p>
        </w:tc>
        <w:tc>
          <w:tcPr>
            <w:tcW w:w="0" w:type="auto"/>
          </w:tcPr>
          <w:p w:rsidR="00BD084C" w:rsidRPr="004E684C" w:rsidRDefault="00BD084C" w:rsidP="0085034D">
            <w:pPr>
              <w:pStyle w:val="NoSpacing"/>
              <w:spacing w:line="276" w:lineRule="auto"/>
              <w:jc w:val="both"/>
              <w:rPr>
                <w:rFonts w:ascii="Arial" w:hAnsi="Arial" w:cs="Arial"/>
                <w:sz w:val="20"/>
                <w:szCs w:val="20"/>
                <w:lang w:val="de-DE"/>
              </w:rPr>
            </w:pPr>
            <w:r w:rsidRPr="004E684C">
              <w:rPr>
                <w:rFonts w:ascii="Arial" w:hAnsi="Arial" w:cs="Arial"/>
                <w:sz w:val="20"/>
                <w:szCs w:val="20"/>
                <w:lang w:val="de-DE"/>
              </w:rPr>
              <w:lastRenderedPageBreak/>
              <w:t xml:space="preserve">SJS (10), Overlap SJS/TEN (12), TEN </w:t>
            </w:r>
            <w:r w:rsidRPr="004E684C">
              <w:rPr>
                <w:rFonts w:ascii="Arial" w:hAnsi="Arial" w:cs="Arial"/>
                <w:sz w:val="20"/>
                <w:szCs w:val="20"/>
                <w:lang w:val="de-DE"/>
              </w:rPr>
              <w:lastRenderedPageBreak/>
              <w:t>(7)</w:t>
            </w:r>
          </w:p>
        </w:tc>
        <w:tc>
          <w:tcPr>
            <w:tcW w:w="0" w:type="auto"/>
          </w:tcPr>
          <w:p w:rsidR="00BD084C" w:rsidRPr="00297A95" w:rsidRDefault="00BD084C" w:rsidP="0085034D">
            <w:pPr>
              <w:pStyle w:val="NoSpacing"/>
              <w:spacing w:line="276" w:lineRule="auto"/>
              <w:jc w:val="both"/>
              <w:rPr>
                <w:rFonts w:ascii="Arial" w:hAnsi="Arial" w:cs="Arial"/>
                <w:sz w:val="20"/>
                <w:szCs w:val="20"/>
              </w:rPr>
            </w:pPr>
            <w:proofErr w:type="spellStart"/>
            <w:r w:rsidRPr="00297A95">
              <w:rPr>
                <w:rFonts w:ascii="Arial" w:hAnsi="Arial" w:cs="Arial"/>
                <w:sz w:val="20"/>
                <w:szCs w:val="20"/>
              </w:rPr>
              <w:lastRenderedPageBreak/>
              <w:t>CyA</w:t>
            </w:r>
            <w:proofErr w:type="spellEnd"/>
            <w:r w:rsidRPr="00297A95">
              <w:rPr>
                <w:rFonts w:ascii="Arial" w:hAnsi="Arial" w:cs="Arial"/>
                <w:sz w:val="20"/>
                <w:szCs w:val="20"/>
              </w:rPr>
              <w:t xml:space="preserve"> 3 mg/kg for 10 days tapered over 1 month.</w:t>
            </w:r>
          </w:p>
        </w:tc>
        <w:tc>
          <w:tcPr>
            <w:tcW w:w="0" w:type="auto"/>
          </w:tcPr>
          <w:p w:rsidR="00BD084C" w:rsidRPr="00297A95" w:rsidRDefault="00BD084C" w:rsidP="0085034D">
            <w:pPr>
              <w:pStyle w:val="NoSpacing"/>
              <w:spacing w:line="276" w:lineRule="auto"/>
              <w:jc w:val="both"/>
              <w:rPr>
                <w:rFonts w:ascii="Arial" w:hAnsi="Arial" w:cs="Arial"/>
                <w:sz w:val="20"/>
                <w:szCs w:val="20"/>
              </w:rPr>
            </w:pPr>
            <w:r w:rsidRPr="00297A95">
              <w:rPr>
                <w:rFonts w:ascii="Arial" w:hAnsi="Arial" w:cs="Arial"/>
                <w:sz w:val="20"/>
                <w:szCs w:val="20"/>
              </w:rPr>
              <w:t xml:space="preserve">0/29 </w:t>
            </w:r>
          </w:p>
        </w:tc>
        <w:tc>
          <w:tcPr>
            <w:tcW w:w="0" w:type="auto"/>
          </w:tcPr>
          <w:p w:rsidR="00BD084C" w:rsidRPr="00297A95" w:rsidRDefault="00BD084C" w:rsidP="0085034D">
            <w:pPr>
              <w:pStyle w:val="NoSpacing"/>
              <w:spacing w:line="276" w:lineRule="auto"/>
              <w:jc w:val="both"/>
              <w:rPr>
                <w:rFonts w:ascii="Arial" w:hAnsi="Arial" w:cs="Arial"/>
                <w:sz w:val="20"/>
                <w:szCs w:val="20"/>
              </w:rPr>
            </w:pPr>
            <w:r w:rsidRPr="00297A95">
              <w:rPr>
                <w:rFonts w:ascii="Arial" w:hAnsi="Arial" w:cs="Arial"/>
                <w:sz w:val="20"/>
                <w:szCs w:val="20"/>
              </w:rPr>
              <w:t>SCORTEN-predicted mortality = 2.75</w:t>
            </w:r>
          </w:p>
        </w:tc>
        <w:tc>
          <w:tcPr>
            <w:tcW w:w="0" w:type="auto"/>
          </w:tcPr>
          <w:p w:rsidR="00BD084C" w:rsidRPr="00297A95" w:rsidRDefault="00BD084C" w:rsidP="0085034D">
            <w:pPr>
              <w:spacing w:after="0" w:line="240" w:lineRule="auto"/>
              <w:rPr>
                <w:rFonts w:ascii="Arial" w:hAnsi="Arial" w:cs="Arial"/>
                <w:sz w:val="20"/>
                <w:szCs w:val="20"/>
              </w:rPr>
            </w:pPr>
            <w:r w:rsidRPr="00297A95">
              <w:rPr>
                <w:rFonts w:ascii="Arial" w:hAnsi="Arial" w:cs="Arial"/>
                <w:sz w:val="20"/>
                <w:szCs w:val="20"/>
              </w:rPr>
              <w:t>Yes</w:t>
            </w:r>
          </w:p>
          <w:p w:rsidR="00BD084C" w:rsidRPr="00297A95" w:rsidRDefault="00BD084C" w:rsidP="0085034D">
            <w:pPr>
              <w:pStyle w:val="NoSpacing"/>
              <w:spacing w:line="276" w:lineRule="auto"/>
              <w:jc w:val="both"/>
              <w:rPr>
                <w:rFonts w:ascii="Arial" w:hAnsi="Arial" w:cs="Arial"/>
                <w:sz w:val="20"/>
                <w:szCs w:val="20"/>
              </w:rPr>
            </w:pPr>
          </w:p>
        </w:tc>
        <w:tc>
          <w:tcPr>
            <w:tcW w:w="0" w:type="auto"/>
          </w:tcPr>
          <w:p w:rsidR="00BD084C" w:rsidRPr="00297A95" w:rsidRDefault="00BD084C" w:rsidP="0085034D">
            <w:pPr>
              <w:pStyle w:val="NoSpacing"/>
              <w:spacing w:line="276" w:lineRule="auto"/>
              <w:jc w:val="both"/>
              <w:rPr>
                <w:rFonts w:ascii="Arial" w:hAnsi="Arial" w:cs="Arial"/>
                <w:sz w:val="20"/>
                <w:szCs w:val="20"/>
              </w:rPr>
            </w:pPr>
            <w:r w:rsidRPr="00297A95">
              <w:rPr>
                <w:rFonts w:ascii="Arial" w:hAnsi="Arial" w:cs="Arial"/>
                <w:sz w:val="20"/>
                <w:szCs w:val="20"/>
              </w:rPr>
              <w:t>2</w:t>
            </w:r>
          </w:p>
        </w:tc>
        <w:tc>
          <w:tcPr>
            <w:tcW w:w="0" w:type="auto"/>
          </w:tcPr>
          <w:p w:rsidR="00BD084C" w:rsidRPr="00297A95" w:rsidRDefault="00BD084C" w:rsidP="0085034D">
            <w:pPr>
              <w:spacing w:after="0" w:line="240" w:lineRule="auto"/>
              <w:rPr>
                <w:rFonts w:ascii="Arial" w:hAnsi="Arial" w:cs="Arial"/>
                <w:sz w:val="20"/>
                <w:szCs w:val="20"/>
              </w:rPr>
            </w:pPr>
            <w:r w:rsidRPr="00297A95">
              <w:rPr>
                <w:rFonts w:ascii="Arial" w:hAnsi="Arial" w:cs="Arial"/>
                <w:sz w:val="20"/>
                <w:szCs w:val="20"/>
              </w:rPr>
              <w:t>Good validation.</w:t>
            </w:r>
          </w:p>
          <w:p w:rsidR="00BD084C" w:rsidRPr="00297A95" w:rsidRDefault="00BD084C" w:rsidP="0085034D">
            <w:pPr>
              <w:spacing w:after="0" w:line="240" w:lineRule="auto"/>
              <w:rPr>
                <w:rFonts w:ascii="Arial" w:hAnsi="Arial" w:cs="Arial"/>
                <w:sz w:val="20"/>
                <w:szCs w:val="20"/>
              </w:rPr>
            </w:pPr>
            <w:r w:rsidRPr="00297A95">
              <w:rPr>
                <w:rFonts w:ascii="Arial" w:hAnsi="Arial" w:cs="Arial"/>
                <w:sz w:val="20"/>
                <w:szCs w:val="20"/>
              </w:rPr>
              <w:t>No control group</w:t>
            </w:r>
          </w:p>
          <w:p w:rsidR="00BD084C" w:rsidRPr="00297A95" w:rsidRDefault="00BD084C" w:rsidP="0085034D">
            <w:pPr>
              <w:pStyle w:val="NoSpacing"/>
              <w:spacing w:line="276" w:lineRule="auto"/>
              <w:jc w:val="both"/>
              <w:rPr>
                <w:rFonts w:ascii="Arial" w:hAnsi="Arial" w:cs="Arial"/>
                <w:sz w:val="20"/>
                <w:szCs w:val="20"/>
              </w:rPr>
            </w:pPr>
            <w:r w:rsidRPr="00297A95">
              <w:rPr>
                <w:rFonts w:ascii="Arial" w:hAnsi="Arial" w:cs="Arial"/>
                <w:sz w:val="20"/>
                <w:szCs w:val="20"/>
              </w:rPr>
              <w:t>Consistent dosing among patients</w:t>
            </w:r>
          </w:p>
        </w:tc>
      </w:tr>
      <w:tr w:rsidR="00BD084C" w:rsidRPr="00297A95" w:rsidTr="0085034D">
        <w:tc>
          <w:tcPr>
            <w:tcW w:w="0" w:type="auto"/>
          </w:tcPr>
          <w:p w:rsidR="00BD084C" w:rsidRPr="00297A95" w:rsidRDefault="00BD084C" w:rsidP="0085034D">
            <w:pPr>
              <w:spacing w:after="0" w:line="240" w:lineRule="auto"/>
              <w:rPr>
                <w:rFonts w:ascii="Arial" w:hAnsi="Arial" w:cs="Arial"/>
                <w:b/>
                <w:sz w:val="20"/>
                <w:szCs w:val="20"/>
              </w:rPr>
            </w:pPr>
            <w:r>
              <w:rPr>
                <w:rFonts w:ascii="Arial" w:hAnsi="Arial" w:cs="Arial"/>
                <w:b/>
                <w:sz w:val="20"/>
                <w:szCs w:val="20"/>
              </w:rPr>
              <w:lastRenderedPageBreak/>
              <w:t>Singh 2013</w:t>
            </w:r>
            <w:r w:rsidRPr="00BF0F49">
              <w:rPr>
                <w:rFonts w:ascii="Arial" w:hAnsi="Arial" w:cs="Arial"/>
                <w:b/>
                <w:noProof/>
                <w:sz w:val="20"/>
                <w:szCs w:val="20"/>
                <w:vertAlign w:val="superscript"/>
              </w:rPr>
              <w:t>115</w:t>
            </w:r>
          </w:p>
        </w:tc>
        <w:tc>
          <w:tcPr>
            <w:tcW w:w="0" w:type="auto"/>
          </w:tcPr>
          <w:p w:rsidR="00BD084C" w:rsidRPr="00297A95" w:rsidRDefault="00BD084C" w:rsidP="0085034D">
            <w:pPr>
              <w:pStyle w:val="NoSpacing"/>
              <w:spacing w:line="276" w:lineRule="auto"/>
              <w:jc w:val="both"/>
              <w:rPr>
                <w:rFonts w:ascii="Arial" w:hAnsi="Arial" w:cs="Arial"/>
                <w:sz w:val="20"/>
                <w:szCs w:val="20"/>
              </w:rPr>
            </w:pPr>
            <w:r>
              <w:rPr>
                <w:rFonts w:ascii="Arial" w:hAnsi="Arial" w:cs="Arial"/>
                <w:sz w:val="20"/>
                <w:szCs w:val="20"/>
              </w:rPr>
              <w:t>Dermatology unit</w:t>
            </w:r>
          </w:p>
        </w:tc>
        <w:tc>
          <w:tcPr>
            <w:tcW w:w="0" w:type="auto"/>
          </w:tcPr>
          <w:p w:rsidR="00BD084C" w:rsidRPr="00297A95" w:rsidRDefault="00BD084C" w:rsidP="0085034D">
            <w:pPr>
              <w:pStyle w:val="NoSpacing"/>
              <w:spacing w:line="276" w:lineRule="auto"/>
              <w:jc w:val="both"/>
              <w:rPr>
                <w:rFonts w:ascii="Arial" w:hAnsi="Arial" w:cs="Arial"/>
                <w:sz w:val="20"/>
                <w:szCs w:val="20"/>
              </w:rPr>
            </w:pPr>
            <w:r>
              <w:rPr>
                <w:rFonts w:ascii="Arial" w:hAnsi="Arial" w:cs="Arial"/>
                <w:sz w:val="20"/>
                <w:szCs w:val="20"/>
              </w:rPr>
              <w:t>Case control study (historic controls)</w:t>
            </w:r>
          </w:p>
        </w:tc>
        <w:tc>
          <w:tcPr>
            <w:tcW w:w="0" w:type="auto"/>
          </w:tcPr>
          <w:p w:rsidR="00BD084C" w:rsidRPr="004E684C" w:rsidRDefault="00BD084C" w:rsidP="0085034D">
            <w:pPr>
              <w:pStyle w:val="NoSpacing"/>
              <w:spacing w:line="276" w:lineRule="auto"/>
              <w:jc w:val="both"/>
              <w:rPr>
                <w:rFonts w:ascii="Arial" w:hAnsi="Arial" w:cs="Arial"/>
                <w:sz w:val="20"/>
                <w:szCs w:val="20"/>
                <w:lang w:val="de-DE"/>
              </w:rPr>
            </w:pPr>
            <w:r w:rsidRPr="004E684C">
              <w:rPr>
                <w:rFonts w:ascii="Arial" w:hAnsi="Arial" w:cs="Arial"/>
                <w:sz w:val="20"/>
                <w:szCs w:val="20"/>
                <w:lang w:val="de-DE"/>
              </w:rPr>
              <w:t>SJS (5),</w:t>
            </w:r>
          </w:p>
          <w:p w:rsidR="00BD084C" w:rsidRPr="004E684C" w:rsidRDefault="00BD084C" w:rsidP="0085034D">
            <w:pPr>
              <w:pStyle w:val="NoSpacing"/>
              <w:spacing w:line="276" w:lineRule="auto"/>
              <w:jc w:val="both"/>
              <w:rPr>
                <w:rFonts w:ascii="Arial" w:hAnsi="Arial" w:cs="Arial"/>
                <w:sz w:val="20"/>
                <w:szCs w:val="20"/>
                <w:lang w:val="de-DE"/>
              </w:rPr>
            </w:pPr>
            <w:r w:rsidRPr="004E684C">
              <w:rPr>
                <w:rFonts w:ascii="Arial" w:hAnsi="Arial" w:cs="Arial"/>
                <w:sz w:val="20"/>
                <w:szCs w:val="20"/>
                <w:lang w:val="de-DE"/>
              </w:rPr>
              <w:t>Overlap SJS/TEN (3)</w:t>
            </w:r>
          </w:p>
          <w:p w:rsidR="00BD084C" w:rsidRPr="004E684C" w:rsidRDefault="00BD084C" w:rsidP="0085034D">
            <w:pPr>
              <w:pStyle w:val="NoSpacing"/>
              <w:spacing w:line="276" w:lineRule="auto"/>
              <w:jc w:val="both"/>
              <w:rPr>
                <w:rFonts w:ascii="Arial" w:hAnsi="Arial" w:cs="Arial"/>
                <w:sz w:val="20"/>
                <w:szCs w:val="20"/>
                <w:lang w:val="de-DE"/>
              </w:rPr>
            </w:pPr>
            <w:r w:rsidRPr="004E684C">
              <w:rPr>
                <w:rFonts w:ascii="Arial" w:hAnsi="Arial" w:cs="Arial"/>
                <w:sz w:val="20"/>
                <w:szCs w:val="20"/>
                <w:lang w:val="de-DE"/>
              </w:rPr>
              <w:t>TEN (3)</w:t>
            </w:r>
          </w:p>
        </w:tc>
        <w:tc>
          <w:tcPr>
            <w:tcW w:w="0" w:type="auto"/>
          </w:tcPr>
          <w:p w:rsidR="00BD084C" w:rsidRPr="00297A95" w:rsidRDefault="00BD084C" w:rsidP="0085034D">
            <w:pPr>
              <w:pStyle w:val="NoSpacing"/>
              <w:spacing w:line="276" w:lineRule="auto"/>
              <w:jc w:val="both"/>
              <w:rPr>
                <w:rFonts w:ascii="Arial" w:hAnsi="Arial" w:cs="Arial"/>
                <w:sz w:val="20"/>
                <w:szCs w:val="20"/>
              </w:rPr>
            </w:pPr>
            <w:proofErr w:type="spellStart"/>
            <w:r>
              <w:rPr>
                <w:rFonts w:ascii="Arial" w:hAnsi="Arial" w:cs="Arial"/>
                <w:sz w:val="20"/>
                <w:szCs w:val="20"/>
              </w:rPr>
              <w:t>CyA</w:t>
            </w:r>
            <w:proofErr w:type="spellEnd"/>
            <w:r>
              <w:rPr>
                <w:rFonts w:ascii="Arial" w:hAnsi="Arial" w:cs="Arial"/>
                <w:sz w:val="20"/>
                <w:szCs w:val="20"/>
              </w:rPr>
              <w:t xml:space="preserve"> 3 mg/kg/day for 7 days, and tapered for 7 days.</w:t>
            </w:r>
          </w:p>
        </w:tc>
        <w:tc>
          <w:tcPr>
            <w:tcW w:w="0" w:type="auto"/>
          </w:tcPr>
          <w:p w:rsidR="00BD084C" w:rsidRPr="00297A95" w:rsidRDefault="00BD084C" w:rsidP="0085034D">
            <w:pPr>
              <w:pStyle w:val="NoSpacing"/>
              <w:spacing w:line="276" w:lineRule="auto"/>
              <w:jc w:val="both"/>
              <w:rPr>
                <w:rFonts w:ascii="Arial" w:hAnsi="Arial" w:cs="Arial"/>
                <w:sz w:val="20"/>
                <w:szCs w:val="20"/>
              </w:rPr>
            </w:pPr>
            <w:r>
              <w:rPr>
                <w:rFonts w:ascii="Arial" w:hAnsi="Arial" w:cs="Arial"/>
                <w:sz w:val="20"/>
                <w:szCs w:val="20"/>
              </w:rPr>
              <w:t>0/11</w:t>
            </w:r>
          </w:p>
        </w:tc>
        <w:tc>
          <w:tcPr>
            <w:tcW w:w="0" w:type="auto"/>
          </w:tcPr>
          <w:p w:rsidR="00BD084C" w:rsidRPr="00297A95" w:rsidRDefault="00BD084C" w:rsidP="0085034D">
            <w:pPr>
              <w:pStyle w:val="NoSpacing"/>
              <w:spacing w:line="276" w:lineRule="auto"/>
              <w:jc w:val="both"/>
              <w:rPr>
                <w:rFonts w:ascii="Arial" w:hAnsi="Arial" w:cs="Arial"/>
                <w:sz w:val="20"/>
                <w:szCs w:val="20"/>
              </w:rPr>
            </w:pPr>
            <w:r>
              <w:rPr>
                <w:rFonts w:ascii="Arial" w:hAnsi="Arial" w:cs="Arial"/>
                <w:sz w:val="20"/>
                <w:szCs w:val="20"/>
              </w:rPr>
              <w:t>SCORTEN-predicted mortality in control group treated with corticosteroid</w:t>
            </w:r>
          </w:p>
        </w:tc>
        <w:tc>
          <w:tcPr>
            <w:tcW w:w="0" w:type="auto"/>
          </w:tcPr>
          <w:p w:rsidR="00BD084C" w:rsidRPr="00297A95" w:rsidRDefault="00BD084C" w:rsidP="0085034D">
            <w:pPr>
              <w:spacing w:after="0" w:line="240" w:lineRule="auto"/>
              <w:rPr>
                <w:rFonts w:ascii="Arial" w:hAnsi="Arial" w:cs="Arial"/>
                <w:sz w:val="20"/>
                <w:szCs w:val="20"/>
              </w:rPr>
            </w:pPr>
            <w:r>
              <w:rPr>
                <w:rFonts w:ascii="Arial" w:hAnsi="Arial" w:cs="Arial"/>
                <w:sz w:val="20"/>
                <w:szCs w:val="20"/>
              </w:rPr>
              <w:t>Yes</w:t>
            </w:r>
          </w:p>
        </w:tc>
        <w:tc>
          <w:tcPr>
            <w:tcW w:w="0" w:type="auto"/>
          </w:tcPr>
          <w:p w:rsidR="00BD084C" w:rsidRPr="00297A95" w:rsidRDefault="00BD084C" w:rsidP="0085034D">
            <w:pPr>
              <w:pStyle w:val="NoSpacing"/>
              <w:spacing w:line="276" w:lineRule="auto"/>
              <w:jc w:val="both"/>
              <w:rPr>
                <w:rFonts w:ascii="Arial" w:hAnsi="Arial" w:cs="Arial"/>
                <w:sz w:val="20"/>
                <w:szCs w:val="20"/>
              </w:rPr>
            </w:pPr>
            <w:r>
              <w:rPr>
                <w:rFonts w:ascii="Arial" w:hAnsi="Arial" w:cs="Arial"/>
                <w:sz w:val="20"/>
                <w:szCs w:val="20"/>
              </w:rPr>
              <w:t>3</w:t>
            </w:r>
          </w:p>
        </w:tc>
        <w:tc>
          <w:tcPr>
            <w:tcW w:w="0" w:type="auto"/>
          </w:tcPr>
          <w:p w:rsidR="00BD084C" w:rsidRPr="00297A95" w:rsidRDefault="00BD084C" w:rsidP="0085034D">
            <w:pPr>
              <w:spacing w:after="0" w:line="240" w:lineRule="auto"/>
              <w:rPr>
                <w:rFonts w:ascii="Arial" w:hAnsi="Arial" w:cs="Arial"/>
                <w:sz w:val="20"/>
                <w:szCs w:val="20"/>
              </w:rPr>
            </w:pPr>
            <w:r>
              <w:rPr>
                <w:rFonts w:ascii="Arial" w:hAnsi="Arial" w:cs="Arial"/>
                <w:sz w:val="20"/>
                <w:szCs w:val="20"/>
              </w:rPr>
              <w:t>No evidence of case validation</w:t>
            </w:r>
          </w:p>
        </w:tc>
      </w:tr>
      <w:tr w:rsidR="00BD084C" w:rsidRPr="00297A95" w:rsidTr="0085034D">
        <w:tc>
          <w:tcPr>
            <w:tcW w:w="0" w:type="auto"/>
          </w:tcPr>
          <w:p w:rsidR="00BD084C" w:rsidRPr="00297A95" w:rsidRDefault="00BD084C" w:rsidP="0085034D">
            <w:pPr>
              <w:spacing w:after="0" w:line="240" w:lineRule="auto"/>
              <w:rPr>
                <w:rFonts w:ascii="Arial" w:hAnsi="Arial" w:cs="Arial"/>
                <w:b/>
                <w:sz w:val="20"/>
                <w:szCs w:val="20"/>
              </w:rPr>
            </w:pPr>
            <w:proofErr w:type="spellStart"/>
            <w:r>
              <w:rPr>
                <w:rFonts w:ascii="Arial" w:hAnsi="Arial" w:cs="Arial"/>
                <w:b/>
                <w:sz w:val="20"/>
                <w:szCs w:val="20"/>
              </w:rPr>
              <w:t>Kirchhof</w:t>
            </w:r>
            <w:proofErr w:type="spellEnd"/>
            <w:r>
              <w:rPr>
                <w:rFonts w:ascii="Arial" w:hAnsi="Arial" w:cs="Arial"/>
                <w:b/>
                <w:sz w:val="20"/>
                <w:szCs w:val="20"/>
              </w:rPr>
              <w:t xml:space="preserve"> 2014</w:t>
            </w:r>
            <w:r w:rsidRPr="00BF0F49">
              <w:rPr>
                <w:rFonts w:ascii="Arial" w:hAnsi="Arial" w:cs="Arial"/>
                <w:b/>
                <w:noProof/>
                <w:sz w:val="20"/>
                <w:szCs w:val="20"/>
                <w:vertAlign w:val="superscript"/>
              </w:rPr>
              <w:t>116</w:t>
            </w:r>
          </w:p>
        </w:tc>
        <w:tc>
          <w:tcPr>
            <w:tcW w:w="0" w:type="auto"/>
          </w:tcPr>
          <w:p w:rsidR="00BD084C" w:rsidRPr="00297A95" w:rsidRDefault="00BD084C" w:rsidP="0085034D">
            <w:pPr>
              <w:pStyle w:val="NoSpacing"/>
              <w:spacing w:line="276" w:lineRule="auto"/>
              <w:jc w:val="both"/>
              <w:rPr>
                <w:rFonts w:ascii="Arial" w:hAnsi="Arial" w:cs="Arial"/>
                <w:sz w:val="20"/>
                <w:szCs w:val="20"/>
              </w:rPr>
            </w:pPr>
            <w:r>
              <w:rPr>
                <w:rFonts w:ascii="Arial" w:hAnsi="Arial" w:cs="Arial"/>
                <w:sz w:val="20"/>
                <w:szCs w:val="20"/>
              </w:rPr>
              <w:t>Dermatology unit</w:t>
            </w:r>
          </w:p>
        </w:tc>
        <w:tc>
          <w:tcPr>
            <w:tcW w:w="0" w:type="auto"/>
          </w:tcPr>
          <w:p w:rsidR="00BD084C" w:rsidRPr="00297A95" w:rsidRDefault="00BD084C" w:rsidP="0085034D">
            <w:pPr>
              <w:pStyle w:val="NoSpacing"/>
              <w:spacing w:line="276" w:lineRule="auto"/>
              <w:jc w:val="both"/>
              <w:rPr>
                <w:rFonts w:ascii="Arial" w:hAnsi="Arial" w:cs="Arial"/>
                <w:sz w:val="20"/>
                <w:szCs w:val="20"/>
              </w:rPr>
            </w:pPr>
            <w:r>
              <w:rPr>
                <w:rFonts w:ascii="Arial" w:hAnsi="Arial" w:cs="Arial"/>
                <w:sz w:val="20"/>
                <w:szCs w:val="20"/>
              </w:rPr>
              <w:t xml:space="preserve">Retrospective series: </w:t>
            </w:r>
            <w:proofErr w:type="spellStart"/>
            <w:r>
              <w:rPr>
                <w:rFonts w:ascii="Arial" w:hAnsi="Arial" w:cs="Arial"/>
                <w:sz w:val="20"/>
                <w:szCs w:val="20"/>
              </w:rPr>
              <w:t>CyA</w:t>
            </w:r>
            <w:proofErr w:type="spellEnd"/>
            <w:r>
              <w:rPr>
                <w:rFonts w:ascii="Arial" w:hAnsi="Arial" w:cs="Arial"/>
                <w:sz w:val="20"/>
                <w:szCs w:val="20"/>
              </w:rPr>
              <w:t xml:space="preserve"> versus </w:t>
            </w:r>
            <w:proofErr w:type="spellStart"/>
            <w:r>
              <w:rPr>
                <w:rFonts w:ascii="Arial" w:hAnsi="Arial" w:cs="Arial"/>
                <w:sz w:val="20"/>
                <w:szCs w:val="20"/>
              </w:rPr>
              <w:t>IVIg</w:t>
            </w:r>
            <w:proofErr w:type="spellEnd"/>
          </w:p>
        </w:tc>
        <w:tc>
          <w:tcPr>
            <w:tcW w:w="0" w:type="auto"/>
          </w:tcPr>
          <w:p w:rsidR="00BD084C" w:rsidRPr="00297A95" w:rsidRDefault="00BD084C" w:rsidP="0085034D">
            <w:pPr>
              <w:pStyle w:val="NoSpacing"/>
              <w:spacing w:line="276" w:lineRule="auto"/>
              <w:jc w:val="both"/>
              <w:rPr>
                <w:rFonts w:ascii="Arial" w:hAnsi="Arial" w:cs="Arial"/>
                <w:sz w:val="20"/>
                <w:szCs w:val="20"/>
              </w:rPr>
            </w:pPr>
            <w:r>
              <w:rPr>
                <w:rFonts w:ascii="Arial" w:hAnsi="Arial" w:cs="Arial"/>
                <w:sz w:val="20"/>
                <w:szCs w:val="20"/>
              </w:rPr>
              <w:t>Overlap SJS/TEN (64)</w:t>
            </w:r>
          </w:p>
        </w:tc>
        <w:tc>
          <w:tcPr>
            <w:tcW w:w="0" w:type="auto"/>
          </w:tcPr>
          <w:p w:rsidR="00BD084C" w:rsidRPr="00297A95" w:rsidRDefault="00BD084C" w:rsidP="0085034D">
            <w:pPr>
              <w:pStyle w:val="NoSpacing"/>
              <w:spacing w:line="276" w:lineRule="auto"/>
              <w:jc w:val="both"/>
              <w:rPr>
                <w:rFonts w:ascii="Arial" w:hAnsi="Arial" w:cs="Arial"/>
                <w:sz w:val="20"/>
                <w:szCs w:val="20"/>
              </w:rPr>
            </w:pPr>
            <w:r w:rsidRPr="00FE0B02">
              <w:rPr>
                <w:rFonts w:ascii="Arial" w:hAnsi="Arial" w:cs="Arial"/>
                <w:sz w:val="20"/>
                <w:szCs w:val="20"/>
              </w:rPr>
              <w:t xml:space="preserve">Various doses of </w:t>
            </w:r>
            <w:proofErr w:type="spellStart"/>
            <w:r w:rsidRPr="00FE0B02">
              <w:rPr>
                <w:rFonts w:ascii="Arial" w:hAnsi="Arial" w:cs="Arial"/>
                <w:sz w:val="20"/>
                <w:szCs w:val="20"/>
              </w:rPr>
              <w:t>CyA</w:t>
            </w:r>
            <w:proofErr w:type="spellEnd"/>
            <w:r w:rsidRPr="00FE0B02">
              <w:rPr>
                <w:rFonts w:ascii="Arial" w:hAnsi="Arial" w:cs="Arial"/>
                <w:sz w:val="20"/>
                <w:szCs w:val="20"/>
              </w:rPr>
              <w:t xml:space="preserve"> and </w:t>
            </w:r>
            <w:proofErr w:type="spellStart"/>
            <w:r w:rsidRPr="00FE0B02">
              <w:rPr>
                <w:rFonts w:ascii="Arial" w:hAnsi="Arial" w:cs="Arial"/>
                <w:sz w:val="20"/>
                <w:szCs w:val="20"/>
              </w:rPr>
              <w:t>IVIg</w:t>
            </w:r>
            <w:proofErr w:type="spellEnd"/>
          </w:p>
        </w:tc>
        <w:tc>
          <w:tcPr>
            <w:tcW w:w="0" w:type="auto"/>
          </w:tcPr>
          <w:p w:rsidR="00BD084C" w:rsidRPr="00FE0B02" w:rsidRDefault="00BD084C" w:rsidP="0085034D">
            <w:pPr>
              <w:pStyle w:val="NoSpacing"/>
              <w:jc w:val="both"/>
              <w:rPr>
                <w:rFonts w:ascii="Arial" w:hAnsi="Arial" w:cs="Arial"/>
                <w:sz w:val="20"/>
                <w:szCs w:val="20"/>
              </w:rPr>
            </w:pPr>
            <w:proofErr w:type="spellStart"/>
            <w:r w:rsidRPr="00FE0B02">
              <w:rPr>
                <w:rFonts w:ascii="Arial" w:hAnsi="Arial" w:cs="Arial"/>
                <w:sz w:val="20"/>
                <w:szCs w:val="20"/>
              </w:rPr>
              <w:t>CyA</w:t>
            </w:r>
            <w:proofErr w:type="spellEnd"/>
            <w:r w:rsidRPr="00FE0B02">
              <w:rPr>
                <w:rFonts w:ascii="Arial" w:hAnsi="Arial" w:cs="Arial"/>
                <w:sz w:val="20"/>
                <w:szCs w:val="20"/>
              </w:rPr>
              <w:t xml:space="preserve"> SMR 0.43</w:t>
            </w:r>
          </w:p>
          <w:p w:rsidR="00BD084C" w:rsidRPr="00297A95" w:rsidRDefault="00BD084C" w:rsidP="0085034D">
            <w:pPr>
              <w:pStyle w:val="NoSpacing"/>
              <w:spacing w:line="276" w:lineRule="auto"/>
              <w:jc w:val="both"/>
              <w:rPr>
                <w:rFonts w:ascii="Arial" w:hAnsi="Arial" w:cs="Arial"/>
                <w:sz w:val="20"/>
                <w:szCs w:val="20"/>
              </w:rPr>
            </w:pPr>
            <w:proofErr w:type="spellStart"/>
            <w:r w:rsidRPr="00FE0B02">
              <w:rPr>
                <w:rFonts w:ascii="Arial" w:hAnsi="Arial" w:cs="Arial"/>
                <w:sz w:val="20"/>
                <w:szCs w:val="20"/>
              </w:rPr>
              <w:t>IVIg</w:t>
            </w:r>
            <w:proofErr w:type="spellEnd"/>
            <w:r w:rsidRPr="00FE0B02">
              <w:rPr>
                <w:rFonts w:ascii="Arial" w:hAnsi="Arial" w:cs="Arial"/>
                <w:sz w:val="20"/>
                <w:szCs w:val="20"/>
              </w:rPr>
              <w:t xml:space="preserve"> SMR 1.43</w:t>
            </w:r>
          </w:p>
        </w:tc>
        <w:tc>
          <w:tcPr>
            <w:tcW w:w="0" w:type="auto"/>
          </w:tcPr>
          <w:p w:rsidR="00BD084C" w:rsidRPr="00297A95" w:rsidRDefault="00BD084C" w:rsidP="0085034D">
            <w:pPr>
              <w:pStyle w:val="NoSpacing"/>
              <w:spacing w:line="276" w:lineRule="auto"/>
              <w:jc w:val="both"/>
              <w:rPr>
                <w:rFonts w:ascii="Arial" w:hAnsi="Arial" w:cs="Arial"/>
                <w:sz w:val="20"/>
                <w:szCs w:val="20"/>
              </w:rPr>
            </w:pPr>
            <w:proofErr w:type="spellStart"/>
            <w:r w:rsidRPr="00FE0B02">
              <w:rPr>
                <w:rFonts w:ascii="Arial" w:hAnsi="Arial" w:cs="Arial"/>
                <w:sz w:val="20"/>
                <w:szCs w:val="20"/>
              </w:rPr>
              <w:t>CyA</w:t>
            </w:r>
            <w:proofErr w:type="spellEnd"/>
            <w:r w:rsidRPr="00FE0B02">
              <w:rPr>
                <w:rFonts w:ascii="Arial" w:hAnsi="Arial" w:cs="Arial"/>
                <w:sz w:val="20"/>
                <w:szCs w:val="20"/>
              </w:rPr>
              <w:t xml:space="preserve"> treated group compared to </w:t>
            </w:r>
            <w:proofErr w:type="spellStart"/>
            <w:r w:rsidRPr="00FE0B02">
              <w:rPr>
                <w:rFonts w:ascii="Arial" w:hAnsi="Arial" w:cs="Arial"/>
                <w:sz w:val="20"/>
                <w:szCs w:val="20"/>
              </w:rPr>
              <w:t>IVIg</w:t>
            </w:r>
            <w:proofErr w:type="spellEnd"/>
            <w:r w:rsidRPr="00FE0B02">
              <w:rPr>
                <w:rFonts w:ascii="Arial" w:hAnsi="Arial" w:cs="Arial"/>
                <w:sz w:val="20"/>
                <w:szCs w:val="20"/>
              </w:rPr>
              <w:t xml:space="preserve"> treated group</w:t>
            </w:r>
          </w:p>
        </w:tc>
        <w:tc>
          <w:tcPr>
            <w:tcW w:w="0" w:type="auto"/>
          </w:tcPr>
          <w:p w:rsidR="00BD084C" w:rsidRPr="00297A95" w:rsidRDefault="00BD084C" w:rsidP="0085034D">
            <w:pPr>
              <w:spacing w:after="0" w:line="240" w:lineRule="auto"/>
              <w:rPr>
                <w:rFonts w:ascii="Arial" w:hAnsi="Arial" w:cs="Arial"/>
                <w:sz w:val="20"/>
                <w:szCs w:val="20"/>
              </w:rPr>
            </w:pPr>
            <w:r>
              <w:rPr>
                <w:rFonts w:ascii="Arial" w:hAnsi="Arial" w:cs="Arial"/>
                <w:sz w:val="20"/>
                <w:szCs w:val="20"/>
              </w:rPr>
              <w:t>Yes</w:t>
            </w:r>
          </w:p>
        </w:tc>
        <w:tc>
          <w:tcPr>
            <w:tcW w:w="0" w:type="auto"/>
          </w:tcPr>
          <w:p w:rsidR="00BD084C" w:rsidRPr="00297A95" w:rsidRDefault="00BD084C" w:rsidP="0085034D">
            <w:pPr>
              <w:pStyle w:val="NoSpacing"/>
              <w:spacing w:line="276" w:lineRule="auto"/>
              <w:jc w:val="both"/>
              <w:rPr>
                <w:rFonts w:ascii="Arial" w:hAnsi="Arial" w:cs="Arial"/>
                <w:sz w:val="20"/>
                <w:szCs w:val="20"/>
              </w:rPr>
            </w:pPr>
            <w:r>
              <w:rPr>
                <w:rFonts w:ascii="Arial" w:hAnsi="Arial" w:cs="Arial"/>
                <w:sz w:val="20"/>
                <w:szCs w:val="20"/>
              </w:rPr>
              <w:t>3</w:t>
            </w:r>
          </w:p>
        </w:tc>
        <w:tc>
          <w:tcPr>
            <w:tcW w:w="0" w:type="auto"/>
          </w:tcPr>
          <w:p w:rsidR="00BD084C" w:rsidRPr="00FE0B02" w:rsidRDefault="00BD084C" w:rsidP="0085034D">
            <w:pPr>
              <w:spacing w:after="0" w:line="240" w:lineRule="auto"/>
              <w:rPr>
                <w:rFonts w:ascii="Arial" w:hAnsi="Arial" w:cs="Arial"/>
                <w:sz w:val="20"/>
                <w:szCs w:val="20"/>
              </w:rPr>
            </w:pPr>
            <w:r w:rsidRPr="00FE0B02">
              <w:rPr>
                <w:rFonts w:ascii="Arial" w:hAnsi="Arial" w:cs="Arial"/>
                <w:sz w:val="20"/>
                <w:szCs w:val="20"/>
              </w:rPr>
              <w:t>No evidence of case validation</w:t>
            </w:r>
          </w:p>
          <w:p w:rsidR="00BD084C" w:rsidRPr="00297A95" w:rsidRDefault="00BD084C" w:rsidP="0085034D">
            <w:pPr>
              <w:spacing w:after="0" w:line="240" w:lineRule="auto"/>
              <w:rPr>
                <w:rFonts w:ascii="Arial" w:hAnsi="Arial" w:cs="Arial"/>
                <w:sz w:val="20"/>
                <w:szCs w:val="20"/>
              </w:rPr>
            </w:pPr>
            <w:r w:rsidRPr="00FE0B02">
              <w:rPr>
                <w:rFonts w:ascii="Arial" w:hAnsi="Arial" w:cs="Arial"/>
                <w:sz w:val="20"/>
                <w:szCs w:val="20"/>
              </w:rPr>
              <w:t>No control group</w:t>
            </w:r>
          </w:p>
        </w:tc>
      </w:tr>
    </w:tbl>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color w:val="000000"/>
        </w:rPr>
      </w:pPr>
      <w:r>
        <w:rPr>
          <w:rStyle w:val="FootnoteReference"/>
        </w:rPr>
        <w:footnoteRef/>
      </w:r>
      <w:r>
        <w:t xml:space="preserve"> </w:t>
      </w:r>
      <w:r w:rsidRPr="003705FB">
        <w:rPr>
          <w:sz w:val="20"/>
          <w:szCs w:val="20"/>
        </w:rPr>
        <w:t>See Appendix 1</w:t>
      </w:r>
    </w:p>
    <w:p w:rsidR="00BD084C" w:rsidRPr="00297A95" w:rsidRDefault="00BD084C" w:rsidP="0085034D">
      <w:pPr>
        <w:pStyle w:val="NoSpacing"/>
        <w:spacing w:line="276" w:lineRule="auto"/>
        <w:jc w:val="both"/>
        <w:rPr>
          <w:rFonts w:ascii="Arial" w:hAnsi="Arial" w:cs="Arial"/>
          <w:color w:val="000000"/>
        </w:rPr>
      </w:pPr>
    </w:p>
    <w:p w:rsidR="00BD084C" w:rsidRPr="00297A95" w:rsidRDefault="00BD084C" w:rsidP="0085034D">
      <w:pPr>
        <w:pStyle w:val="NoSpacing"/>
        <w:spacing w:line="276" w:lineRule="auto"/>
        <w:jc w:val="both"/>
        <w:rPr>
          <w:rFonts w:ascii="Arial" w:hAnsi="Arial" w:cs="Arial"/>
          <w:color w:val="000000"/>
        </w:rPr>
        <w:sectPr w:rsidR="00BD084C" w:rsidRPr="00297A95" w:rsidSect="0085034D">
          <w:pgSz w:w="16838" w:h="11906" w:orient="landscape"/>
          <w:pgMar w:top="1440" w:right="1440" w:bottom="1440" w:left="1440" w:header="706" w:footer="706" w:gutter="0"/>
          <w:cols w:space="708"/>
          <w:docGrid w:linePitch="360"/>
        </w:sectPr>
      </w:pPr>
    </w:p>
    <w:p w:rsidR="00BD084C" w:rsidRPr="006276EE" w:rsidRDefault="00BD084C" w:rsidP="0085034D">
      <w:pPr>
        <w:pStyle w:val="NoSpacing"/>
        <w:spacing w:line="276" w:lineRule="auto"/>
        <w:jc w:val="both"/>
        <w:rPr>
          <w:rFonts w:ascii="Arial" w:hAnsi="Arial" w:cs="Arial"/>
          <w:color w:val="00B0F0"/>
        </w:rPr>
      </w:pPr>
      <w:r w:rsidRPr="006276EE">
        <w:rPr>
          <w:rFonts w:ascii="Arial" w:hAnsi="Arial" w:cs="Arial"/>
          <w:b/>
          <w:color w:val="00B0F0"/>
        </w:rPr>
        <w:lastRenderedPageBreak/>
        <w:t>15.0 DRUG HYPERSENSITIVITY TESTS IN SJS/TEN</w:t>
      </w:r>
      <w:r w:rsidRPr="006276EE">
        <w:rPr>
          <w:rFonts w:ascii="Arial" w:hAnsi="Arial" w:cs="Arial"/>
          <w:color w:val="00B0F0"/>
        </w:rPr>
        <w:t xml:space="preserve">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Once a diagnosis of drug-induced SJS/TEN has been made, investigations may be helpful in confirming or identifying the culprit medication. Since T cell-mediated mechanisms predominate in SJS/TEN, assays for drug-specific </w:t>
      </w:r>
      <w:proofErr w:type="spellStart"/>
      <w:r w:rsidRPr="00297A95">
        <w:rPr>
          <w:rFonts w:ascii="Arial" w:hAnsi="Arial" w:cs="Arial"/>
        </w:rPr>
        <w:t>IgE</w:t>
      </w:r>
      <w:proofErr w:type="spellEnd"/>
      <w:r w:rsidRPr="00297A95">
        <w:rPr>
          <w:rFonts w:ascii="Arial" w:hAnsi="Arial" w:cs="Arial"/>
        </w:rPr>
        <w:t xml:space="preserve">-mediated immediate reactions (i.e. skin prick testing and specific </w:t>
      </w:r>
      <w:proofErr w:type="spellStart"/>
      <w:r w:rsidRPr="00297A95">
        <w:rPr>
          <w:rFonts w:ascii="Arial" w:hAnsi="Arial" w:cs="Arial"/>
        </w:rPr>
        <w:t>IgE</w:t>
      </w:r>
      <w:proofErr w:type="spellEnd"/>
      <w:r w:rsidRPr="00297A95">
        <w:rPr>
          <w:rFonts w:ascii="Arial" w:hAnsi="Arial" w:cs="Arial"/>
        </w:rPr>
        <w:t xml:space="preserve"> testing) are of no value. Appropriate tests are those which identify delayed type IV hypersensitivity reactions, most notably drug patch testing and </w:t>
      </w:r>
      <w:r w:rsidRPr="00297A95">
        <w:rPr>
          <w:rFonts w:ascii="Arial" w:hAnsi="Arial" w:cs="Arial"/>
          <w:i/>
        </w:rPr>
        <w:t xml:space="preserve">in vitro </w:t>
      </w:r>
      <w:r w:rsidRPr="00297A95">
        <w:rPr>
          <w:rFonts w:ascii="Arial" w:hAnsi="Arial" w:cs="Arial"/>
        </w:rPr>
        <w:t>assays, such as drug-induced T cell proliferation (lymphocyte transformation tests) and drug-induced lymphocyte cytokine production. Oral provocation studies are not ethical in SJS/TEN because of a risk of life-threatening reactions. Although a lesser risk, induction of severe reactions has been recorded with patch testing.</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rPr>
      </w:pPr>
      <w:r w:rsidRPr="00297A95">
        <w:rPr>
          <w:rFonts w:ascii="Arial" w:hAnsi="Arial" w:cs="Arial"/>
          <w:b/>
        </w:rPr>
        <w:t>15.1 What is the evidence that patch tests can identify a culprit drug in SJS/TEN?</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Reviews have commented on the value of patch testing in drug allergy and have suggested explanations for the variable sensitivity and specificity of this assay in different reaction patterns and with different drugs.</w:t>
      </w:r>
      <w:r w:rsidRPr="00EF73B5">
        <w:rPr>
          <w:rFonts w:ascii="Arial" w:hAnsi="Arial" w:cs="Arial"/>
          <w:noProof/>
          <w:vertAlign w:val="superscript"/>
        </w:rPr>
        <w:t>124</w:t>
      </w:r>
      <w:r w:rsidRPr="00297A95">
        <w:rPr>
          <w:rFonts w:ascii="Arial" w:hAnsi="Arial" w:cs="Arial"/>
        </w:rPr>
        <w:t xml:space="preserve"> A study by </w:t>
      </w:r>
      <w:proofErr w:type="spellStart"/>
      <w:r w:rsidRPr="00297A95">
        <w:rPr>
          <w:rFonts w:ascii="Arial" w:hAnsi="Arial" w:cs="Arial"/>
        </w:rPr>
        <w:t>Wolkenstein</w:t>
      </w:r>
      <w:proofErr w:type="spellEnd"/>
      <w:r w:rsidRPr="00297A95">
        <w:rPr>
          <w:rFonts w:ascii="Arial" w:hAnsi="Arial" w:cs="Arial"/>
        </w:rPr>
        <w:t xml:space="preserve"> </w:t>
      </w:r>
      <w:r w:rsidRPr="00297A95">
        <w:rPr>
          <w:rFonts w:ascii="Arial" w:hAnsi="Arial" w:cs="Arial"/>
          <w:i/>
        </w:rPr>
        <w:t>et al.</w:t>
      </w:r>
      <w:r w:rsidRPr="00297A95">
        <w:rPr>
          <w:rFonts w:ascii="Arial" w:hAnsi="Arial" w:cs="Arial"/>
        </w:rPr>
        <w:t xml:space="preserve"> patch tested 22 cases of SJS/TEN (series n=59) and found only 9% (2/22) of the cases to be positive.</w:t>
      </w:r>
      <w:r w:rsidRPr="00EF73B5">
        <w:rPr>
          <w:rFonts w:ascii="Arial" w:hAnsi="Arial" w:cs="Arial"/>
          <w:noProof/>
          <w:vertAlign w:val="superscript"/>
        </w:rPr>
        <w:t>125</w:t>
      </w:r>
      <w:r w:rsidRPr="00297A95">
        <w:rPr>
          <w:rFonts w:ascii="Arial" w:hAnsi="Arial" w:cs="Arial"/>
        </w:rPr>
        <w:t xml:space="preserve"> Another study by Lin </w:t>
      </w:r>
      <w:r w:rsidRPr="00297A95">
        <w:rPr>
          <w:rFonts w:ascii="Arial" w:hAnsi="Arial" w:cs="Arial"/>
          <w:i/>
        </w:rPr>
        <w:t>et al.</w:t>
      </w:r>
      <w:r w:rsidRPr="00297A95">
        <w:rPr>
          <w:rFonts w:ascii="Arial" w:hAnsi="Arial" w:cs="Arial"/>
        </w:rPr>
        <w:t xml:space="preserve"> demonstrated positive patch tests to carbamazepine in 62.5% (10/16) of cases of carbamazepine-induced SJS/TEN, compared with 0% (0/10) controls.</w:t>
      </w:r>
      <w:r w:rsidRPr="00EF73B5">
        <w:rPr>
          <w:rFonts w:ascii="Arial" w:hAnsi="Arial" w:cs="Arial"/>
          <w:noProof/>
          <w:vertAlign w:val="superscript"/>
        </w:rPr>
        <w:t>126</w:t>
      </w:r>
      <w:r w:rsidRPr="00297A95">
        <w:rPr>
          <w:rFonts w:ascii="Arial" w:hAnsi="Arial" w:cs="Arial"/>
        </w:rPr>
        <w:t xml:space="preserve"> In this study cross-reactivity to other aromatic anticonvulsant drugs was observed.</w:t>
      </w:r>
      <w:hyperlink w:anchor="_ENREF_101" w:tooltip="Lin, 2012 Jan 4 #3058" w:history="1"/>
      <w:r w:rsidRPr="00297A95">
        <w:rPr>
          <w:rFonts w:ascii="Arial" w:hAnsi="Arial" w:cs="Arial"/>
        </w:rPr>
        <w:t xml:space="preserve"> A recent French multi-centre study reported 17 patients with SJS/TEN where positive patch tests were identified in 24% (4/17) of cases, but in this series patch testing showed positive reactions in 0% (0/5) of cases of carbamazepine-induced SJS/TEN.</w:t>
      </w:r>
      <w:r w:rsidRPr="00EF73B5">
        <w:rPr>
          <w:rFonts w:ascii="Arial" w:hAnsi="Arial" w:cs="Arial"/>
          <w:noProof/>
          <w:vertAlign w:val="superscript"/>
        </w:rPr>
        <w:t>127</w:t>
      </w:r>
    </w:p>
    <w:p w:rsidR="00BD084C" w:rsidRPr="00297A95" w:rsidRDefault="00BD084C" w:rsidP="0085034D">
      <w:pPr>
        <w:pStyle w:val="NoSpacing"/>
        <w:spacing w:line="276" w:lineRule="auto"/>
        <w:jc w:val="both"/>
        <w:rPr>
          <w:rFonts w:ascii="Arial" w:hAnsi="Arial" w:cs="Arial"/>
        </w:rPr>
      </w:pPr>
    </w:p>
    <w:p w:rsidR="00BD084C" w:rsidRDefault="00BD084C" w:rsidP="0085034D">
      <w:pPr>
        <w:pStyle w:val="NoSpacing"/>
        <w:spacing w:line="276" w:lineRule="auto"/>
        <w:jc w:val="both"/>
        <w:rPr>
          <w:rFonts w:ascii="Arial" w:hAnsi="Arial" w:cs="Arial"/>
          <w:b/>
        </w:rPr>
      </w:pPr>
      <w:r w:rsidRPr="00297A95">
        <w:rPr>
          <w:rFonts w:ascii="Arial" w:hAnsi="Arial" w:cs="Arial"/>
          <w:b/>
        </w:rPr>
        <w:t xml:space="preserve">15.2 What is the evidence that </w:t>
      </w:r>
      <w:r w:rsidRPr="00297A95">
        <w:rPr>
          <w:rFonts w:ascii="Arial" w:hAnsi="Arial" w:cs="Arial"/>
          <w:b/>
          <w:i/>
        </w:rPr>
        <w:t>in vitro</w:t>
      </w:r>
      <w:r w:rsidRPr="00297A95">
        <w:rPr>
          <w:rFonts w:ascii="Arial" w:hAnsi="Arial" w:cs="Arial"/>
          <w:b/>
        </w:rPr>
        <w:t xml:space="preserve"> tests can identify a culprit drug in SJS/TEN?</w:t>
      </w:r>
    </w:p>
    <w:p w:rsidR="00BD084C" w:rsidRPr="00F7655B" w:rsidRDefault="00BD084C" w:rsidP="0085034D">
      <w:pPr>
        <w:pStyle w:val="NoSpacing"/>
        <w:spacing w:line="276" w:lineRule="auto"/>
        <w:jc w:val="both"/>
        <w:rPr>
          <w:rFonts w:ascii="Arial" w:hAnsi="Arial" w:cs="Arial"/>
        </w:rPr>
      </w:pPr>
      <w:r>
        <w:rPr>
          <w:rFonts w:ascii="Arial" w:hAnsi="Arial" w:cs="Arial"/>
        </w:rPr>
        <w:t xml:space="preserve">The method of isolation of peripheral blood mononuclear cells (PBMC) followed by </w:t>
      </w:r>
      <w:r w:rsidRPr="00F7655B">
        <w:rPr>
          <w:rFonts w:ascii="Arial" w:hAnsi="Arial" w:cs="Arial"/>
          <w:i/>
        </w:rPr>
        <w:t>in vitro</w:t>
      </w:r>
      <w:r>
        <w:rPr>
          <w:rFonts w:ascii="Arial" w:hAnsi="Arial" w:cs="Arial"/>
        </w:rPr>
        <w:t xml:space="preserve"> challenge with the putative causal drug has been widely studied in the context of drug hypersensitivity testing. Although these assays involve the culture of PBMC with the drug in question, it is generally accepted that the responding cells are T lymphocytes.</w:t>
      </w:r>
    </w:p>
    <w:p w:rsidR="00BD084C" w:rsidRPr="00297A95" w:rsidRDefault="00BD084C" w:rsidP="0085034D">
      <w:pPr>
        <w:pStyle w:val="NoSpacing"/>
        <w:spacing w:line="276" w:lineRule="auto"/>
        <w:jc w:val="both"/>
        <w:rPr>
          <w:rFonts w:ascii="Arial" w:hAnsi="Arial" w:cs="Arial"/>
          <w:b/>
        </w:rPr>
      </w:pPr>
    </w:p>
    <w:p w:rsidR="00BD084C" w:rsidRPr="00E41333" w:rsidRDefault="00BD084C" w:rsidP="00BD084C">
      <w:pPr>
        <w:pStyle w:val="NoSpacing"/>
        <w:numPr>
          <w:ilvl w:val="0"/>
          <w:numId w:val="16"/>
        </w:numPr>
        <w:spacing w:line="276" w:lineRule="auto"/>
        <w:jc w:val="both"/>
        <w:rPr>
          <w:rFonts w:ascii="Arial" w:hAnsi="Arial" w:cs="Arial"/>
          <w:b/>
          <w:i/>
        </w:rPr>
      </w:pPr>
      <w:r w:rsidRPr="00E41333">
        <w:rPr>
          <w:rFonts w:ascii="Arial" w:hAnsi="Arial" w:cs="Arial"/>
          <w:b/>
          <w:i/>
        </w:rPr>
        <w:t>Lymphocyte transformation tests (LTT</w:t>
      </w:r>
      <w:r>
        <w:rPr>
          <w:rFonts w:ascii="Arial" w:hAnsi="Arial" w:cs="Arial"/>
          <w:b/>
          <w:i/>
        </w:rPr>
        <w:t>; lymphocyte proliferation assay</w:t>
      </w:r>
      <w:r w:rsidRPr="00E41333">
        <w:rPr>
          <w:rFonts w:ascii="Arial" w:hAnsi="Arial" w:cs="Arial"/>
          <w:b/>
          <w:i/>
        </w:rPr>
        <w:t>)</w:t>
      </w:r>
    </w:p>
    <w:p w:rsidR="00BD084C" w:rsidRPr="00297A95" w:rsidRDefault="00BD084C" w:rsidP="0085034D">
      <w:pPr>
        <w:pStyle w:val="NoSpacing"/>
        <w:spacing w:line="276" w:lineRule="auto"/>
        <w:ind w:left="360"/>
        <w:jc w:val="both"/>
        <w:rPr>
          <w:rFonts w:ascii="Arial" w:hAnsi="Arial" w:cs="Arial"/>
        </w:rPr>
      </w:pPr>
      <w:r>
        <w:rPr>
          <w:rFonts w:ascii="Arial" w:hAnsi="Arial" w:cs="Arial"/>
        </w:rPr>
        <w:t xml:space="preserve">Lymphocyte proliferation as measured by uptake of 3H-thymidine in dividing cells is widely referred to as the LTT. However, variations in standard methodology mean that comparative interpretation is difficult. </w:t>
      </w:r>
      <w:r w:rsidRPr="00297A95">
        <w:rPr>
          <w:rFonts w:ascii="Arial" w:hAnsi="Arial" w:cs="Arial"/>
        </w:rPr>
        <w:t>Overall, the number of reports specifically characterising the value of LTT for SJS/TEN is low. Studies have reported positive LTT responses in 100% (4/4) of SJS cases to a variety of culprit drugs</w:t>
      </w:r>
      <w:proofErr w:type="gramStart"/>
      <w:r w:rsidRPr="00297A95">
        <w:rPr>
          <w:rFonts w:ascii="Arial" w:hAnsi="Arial" w:cs="Arial"/>
        </w:rPr>
        <w:t>,</w:t>
      </w:r>
      <w:r w:rsidRPr="00EF73B5">
        <w:rPr>
          <w:rFonts w:ascii="Arial" w:hAnsi="Arial" w:cs="Arial"/>
          <w:noProof/>
          <w:vertAlign w:val="superscript"/>
        </w:rPr>
        <w:t>128</w:t>
      </w:r>
      <w:proofErr w:type="gramEnd"/>
      <w:r w:rsidRPr="00297A95">
        <w:rPr>
          <w:rFonts w:ascii="Arial" w:hAnsi="Arial" w:cs="Arial"/>
        </w:rPr>
        <w:t xml:space="preserve"> and 75% (3/4) of SJS cases, again triggered by a range of medicines.</w:t>
      </w:r>
      <w:r w:rsidRPr="00EF73B5">
        <w:rPr>
          <w:rFonts w:ascii="Arial" w:hAnsi="Arial" w:cs="Arial"/>
          <w:noProof/>
          <w:vertAlign w:val="superscript"/>
        </w:rPr>
        <w:t>129</w:t>
      </w:r>
      <w:r w:rsidRPr="00297A95">
        <w:rPr>
          <w:rFonts w:ascii="Arial" w:hAnsi="Arial" w:cs="Arial"/>
        </w:rPr>
        <w:t xml:space="preserve"> However, neither of these reports compared drug-LTT assays in a control population. A study by Kano </w:t>
      </w:r>
      <w:r w:rsidRPr="00297A95">
        <w:rPr>
          <w:rFonts w:ascii="Arial" w:hAnsi="Arial" w:cs="Arial"/>
          <w:i/>
        </w:rPr>
        <w:t>et al.</w:t>
      </w:r>
      <w:r w:rsidRPr="00297A95">
        <w:rPr>
          <w:rFonts w:ascii="Arial" w:hAnsi="Arial" w:cs="Arial"/>
        </w:rPr>
        <w:t xml:space="preserve"> showed that in two cases of SJS, LTT results were positive in the acute phase of the reaction but weakened over 2 months.</w:t>
      </w:r>
      <w:r w:rsidRPr="00EF73B5">
        <w:rPr>
          <w:rFonts w:ascii="Arial" w:hAnsi="Arial" w:cs="Arial"/>
          <w:noProof/>
          <w:vertAlign w:val="superscript"/>
        </w:rPr>
        <w:t>130</w:t>
      </w:r>
      <w:r w:rsidRPr="00297A95">
        <w:rPr>
          <w:rFonts w:ascii="Arial" w:hAnsi="Arial" w:cs="Arial"/>
        </w:rPr>
        <w:t xml:space="preserve"> A report by Tang </w:t>
      </w:r>
      <w:r w:rsidRPr="00297A95">
        <w:rPr>
          <w:rFonts w:ascii="Arial" w:hAnsi="Arial" w:cs="Arial"/>
          <w:i/>
        </w:rPr>
        <w:t>et al.</w:t>
      </w:r>
      <w:r w:rsidRPr="00297A95">
        <w:rPr>
          <w:rFonts w:ascii="Arial" w:hAnsi="Arial" w:cs="Arial"/>
        </w:rPr>
        <w:t xml:space="preserve"> suggested that LTT was not of value for the investigation of lamotrigine-induced SJS/TEN since only 21.4% (3/14) cases showed a positive result.</w:t>
      </w:r>
      <w:r w:rsidRPr="00EF73B5">
        <w:rPr>
          <w:rFonts w:ascii="Arial" w:hAnsi="Arial" w:cs="Arial"/>
          <w:noProof/>
          <w:vertAlign w:val="superscript"/>
        </w:rPr>
        <w:t>131</w:t>
      </w:r>
    </w:p>
    <w:p w:rsidR="00BD084C" w:rsidRPr="00297A95" w:rsidRDefault="00BD084C" w:rsidP="0085034D">
      <w:pPr>
        <w:pStyle w:val="NoSpacing"/>
        <w:spacing w:line="276" w:lineRule="auto"/>
        <w:ind w:left="360"/>
        <w:jc w:val="both"/>
        <w:rPr>
          <w:rFonts w:ascii="Arial" w:hAnsi="Arial" w:cs="Arial"/>
        </w:rPr>
      </w:pPr>
    </w:p>
    <w:p w:rsidR="00BD084C" w:rsidRPr="00297A95" w:rsidRDefault="00BD084C" w:rsidP="0085034D">
      <w:pPr>
        <w:pStyle w:val="NoSpacing"/>
        <w:spacing w:line="276" w:lineRule="auto"/>
        <w:ind w:left="360"/>
        <w:jc w:val="both"/>
        <w:rPr>
          <w:rFonts w:ascii="Arial" w:hAnsi="Arial" w:cs="Arial"/>
        </w:rPr>
      </w:pPr>
      <w:r w:rsidRPr="00297A95">
        <w:rPr>
          <w:rFonts w:ascii="Arial" w:hAnsi="Arial" w:cs="Arial"/>
        </w:rPr>
        <w:t xml:space="preserve">A study by </w:t>
      </w:r>
      <w:proofErr w:type="spellStart"/>
      <w:r w:rsidRPr="00297A95">
        <w:rPr>
          <w:rFonts w:ascii="Arial" w:hAnsi="Arial" w:cs="Arial"/>
        </w:rPr>
        <w:t>Roujeau</w:t>
      </w:r>
      <w:proofErr w:type="spellEnd"/>
      <w:r w:rsidRPr="00297A95">
        <w:rPr>
          <w:rFonts w:ascii="Arial" w:hAnsi="Arial" w:cs="Arial"/>
        </w:rPr>
        <w:t xml:space="preserve"> </w:t>
      </w:r>
      <w:r w:rsidRPr="00297A95">
        <w:rPr>
          <w:rFonts w:ascii="Arial" w:hAnsi="Arial" w:cs="Arial"/>
          <w:i/>
        </w:rPr>
        <w:t xml:space="preserve">et al. </w:t>
      </w:r>
      <w:r w:rsidRPr="00297A95">
        <w:rPr>
          <w:rFonts w:ascii="Arial" w:hAnsi="Arial" w:cs="Arial"/>
        </w:rPr>
        <w:t>reported 11 cases tested with LTT within 1 month of recovery from TEN.</w:t>
      </w:r>
      <w:r w:rsidRPr="00EF73B5">
        <w:rPr>
          <w:rFonts w:ascii="Arial" w:hAnsi="Arial" w:cs="Arial"/>
          <w:noProof/>
          <w:vertAlign w:val="superscript"/>
        </w:rPr>
        <w:t>132</w:t>
      </w:r>
      <w:r w:rsidRPr="00297A95">
        <w:rPr>
          <w:rFonts w:ascii="Arial" w:hAnsi="Arial" w:cs="Arial"/>
        </w:rPr>
        <w:t xml:space="preserve"> Although 44% of cases showed positive LTTs to the culprit drug, control groups also showed a similar frequency of positive drug LTT assays.</w:t>
      </w:r>
      <w:r w:rsidRPr="00EF73B5">
        <w:rPr>
          <w:rFonts w:ascii="Arial" w:hAnsi="Arial" w:cs="Arial"/>
          <w:noProof/>
          <w:vertAlign w:val="superscript"/>
        </w:rPr>
        <w:t>132</w:t>
      </w:r>
      <w:hyperlink w:anchor="_ENREF_107" w:tooltip="Roujeau, 1985 #3062" w:history="1"/>
      <w:r w:rsidRPr="00297A95">
        <w:rPr>
          <w:rFonts w:ascii="Arial" w:hAnsi="Arial" w:cs="Arial"/>
        </w:rPr>
        <w:t xml:space="preserve"> The authors </w:t>
      </w:r>
      <w:r w:rsidRPr="00297A95">
        <w:rPr>
          <w:rFonts w:ascii="Arial" w:hAnsi="Arial" w:cs="Arial"/>
        </w:rPr>
        <w:lastRenderedPageBreak/>
        <w:t xml:space="preserve">concluded that the assay is not useful in cases of TEN. However, </w:t>
      </w:r>
      <w:r>
        <w:rPr>
          <w:rFonts w:ascii="Arial" w:hAnsi="Arial" w:cs="Arial"/>
        </w:rPr>
        <w:t>other</w:t>
      </w:r>
      <w:r w:rsidRPr="00297A95">
        <w:rPr>
          <w:rFonts w:ascii="Arial" w:hAnsi="Arial" w:cs="Arial"/>
        </w:rPr>
        <w:t xml:space="preserve"> series </w:t>
      </w:r>
      <w:r>
        <w:rPr>
          <w:rFonts w:ascii="Arial" w:hAnsi="Arial" w:cs="Arial"/>
        </w:rPr>
        <w:t>have shown</w:t>
      </w:r>
      <w:r w:rsidRPr="00297A95">
        <w:rPr>
          <w:rFonts w:ascii="Arial" w:hAnsi="Arial" w:cs="Arial"/>
        </w:rPr>
        <w:t xml:space="preserve"> positive result</w:t>
      </w:r>
      <w:r>
        <w:rPr>
          <w:rFonts w:ascii="Arial" w:hAnsi="Arial" w:cs="Arial"/>
        </w:rPr>
        <w:t>s</w:t>
      </w:r>
      <w:r w:rsidRPr="00297A95">
        <w:rPr>
          <w:rFonts w:ascii="Arial" w:hAnsi="Arial" w:cs="Arial"/>
        </w:rPr>
        <w:t xml:space="preserve"> in only 15% </w:t>
      </w:r>
      <w:r>
        <w:rPr>
          <w:rFonts w:ascii="Arial" w:hAnsi="Arial" w:cs="Arial"/>
        </w:rPr>
        <w:t xml:space="preserve">and 0% (0/18) </w:t>
      </w:r>
      <w:r w:rsidRPr="00297A95">
        <w:rPr>
          <w:rFonts w:ascii="Arial" w:hAnsi="Arial" w:cs="Arial"/>
        </w:rPr>
        <w:t>of controls.</w:t>
      </w:r>
      <w:r w:rsidRPr="00EF73B5">
        <w:rPr>
          <w:rFonts w:ascii="Arial" w:hAnsi="Arial" w:cs="Arial"/>
          <w:noProof/>
          <w:vertAlign w:val="superscript"/>
        </w:rPr>
        <w:t>133,134</w:t>
      </w:r>
      <w:r w:rsidRPr="00297A95">
        <w:rPr>
          <w:rFonts w:ascii="Arial" w:hAnsi="Arial" w:cs="Arial"/>
        </w:rPr>
        <w:t xml:space="preserve"> In </w:t>
      </w:r>
      <w:proofErr w:type="spellStart"/>
      <w:r w:rsidRPr="00297A95">
        <w:rPr>
          <w:rFonts w:ascii="Arial" w:hAnsi="Arial" w:cs="Arial"/>
        </w:rPr>
        <w:t>Polak</w:t>
      </w:r>
      <w:proofErr w:type="spellEnd"/>
      <w:r w:rsidRPr="00297A95">
        <w:rPr>
          <w:rFonts w:ascii="Arial" w:hAnsi="Arial" w:cs="Arial"/>
        </w:rPr>
        <w:t xml:space="preserve"> </w:t>
      </w:r>
      <w:r w:rsidRPr="00297A95">
        <w:rPr>
          <w:rFonts w:ascii="Arial" w:hAnsi="Arial" w:cs="Arial"/>
          <w:i/>
        </w:rPr>
        <w:t>et al.</w:t>
      </w:r>
      <w:r w:rsidRPr="00297A95">
        <w:rPr>
          <w:rFonts w:ascii="Arial" w:hAnsi="Arial" w:cs="Arial"/>
        </w:rPr>
        <w:t>’s series, 56% (5/9) of EM/SJS/TEN cases demonstrated positive LTT’s, in the context of a low false-positive rate of 4.9%</w:t>
      </w:r>
      <w:r>
        <w:rPr>
          <w:rFonts w:ascii="Arial" w:hAnsi="Arial" w:cs="Arial"/>
        </w:rPr>
        <w:t>,</w:t>
      </w:r>
      <w:r w:rsidRPr="00EF73B5">
        <w:rPr>
          <w:rFonts w:ascii="Arial" w:hAnsi="Arial" w:cs="Arial"/>
          <w:noProof/>
          <w:vertAlign w:val="superscript"/>
        </w:rPr>
        <w:t>135</w:t>
      </w:r>
      <w:r w:rsidRPr="00297A95">
        <w:rPr>
          <w:rFonts w:ascii="Arial" w:hAnsi="Arial" w:cs="Arial"/>
        </w:rPr>
        <w:t xml:space="preserve"> </w:t>
      </w:r>
      <w:r>
        <w:rPr>
          <w:rFonts w:ascii="Arial" w:hAnsi="Arial" w:cs="Arial"/>
        </w:rPr>
        <w:t>whilst other series showed the LTT to be positive in only 27% (4/15) of cases.</w:t>
      </w:r>
      <w:r w:rsidRPr="00EF73B5">
        <w:rPr>
          <w:rFonts w:ascii="Arial" w:hAnsi="Arial" w:cs="Arial"/>
          <w:noProof/>
          <w:vertAlign w:val="superscript"/>
        </w:rPr>
        <w:t>134</w:t>
      </w:r>
      <w:r>
        <w:rPr>
          <w:rFonts w:ascii="Arial" w:hAnsi="Arial" w:cs="Arial"/>
        </w:rPr>
        <w:t xml:space="preserve"> Lymphocyte proliferation measured by other techniques such as the </w:t>
      </w:r>
      <w:proofErr w:type="spellStart"/>
      <w:r>
        <w:rPr>
          <w:rFonts w:ascii="Arial" w:hAnsi="Arial" w:cs="Arial"/>
        </w:rPr>
        <w:t>carboxyfluorescein</w:t>
      </w:r>
      <w:proofErr w:type="spellEnd"/>
      <w:r>
        <w:rPr>
          <w:rFonts w:ascii="Arial" w:hAnsi="Arial" w:cs="Arial"/>
        </w:rPr>
        <w:t xml:space="preserve"> </w:t>
      </w:r>
      <w:proofErr w:type="spellStart"/>
      <w:r>
        <w:rPr>
          <w:rFonts w:ascii="Arial" w:hAnsi="Arial" w:cs="Arial"/>
        </w:rPr>
        <w:t>succinimidyl</w:t>
      </w:r>
      <w:proofErr w:type="spellEnd"/>
      <w:r>
        <w:rPr>
          <w:rFonts w:ascii="Arial" w:hAnsi="Arial" w:cs="Arial"/>
        </w:rPr>
        <w:t xml:space="preserve"> ester (CFSE) dilution assay has not been widely examined in SJS/TEN. </w:t>
      </w:r>
      <w:r w:rsidRPr="00A30489">
        <w:rPr>
          <w:rFonts w:ascii="Arial" w:hAnsi="Arial" w:cs="Arial"/>
        </w:rPr>
        <w:t>A recent report has suggested that blockade of inhibitory molecules to T cell proliferation during the LTT assay (with anti-CTLA4, and anti-PDL1), may increase</w:t>
      </w:r>
      <w:r>
        <w:rPr>
          <w:rFonts w:ascii="Arial" w:hAnsi="Arial" w:cs="Arial"/>
        </w:rPr>
        <w:t xml:space="preserve"> positivity</w:t>
      </w:r>
      <w:r w:rsidRPr="00A30489">
        <w:rPr>
          <w:rFonts w:ascii="Arial" w:hAnsi="Arial" w:cs="Arial"/>
        </w:rPr>
        <w:t xml:space="preserve"> from 32% to 50%</w:t>
      </w:r>
      <w:r>
        <w:rPr>
          <w:rFonts w:ascii="Arial" w:hAnsi="Arial" w:cs="Arial"/>
        </w:rPr>
        <w:t>.</w:t>
      </w:r>
      <w:r w:rsidRPr="00EF73B5">
        <w:rPr>
          <w:rFonts w:ascii="Arial" w:hAnsi="Arial" w:cs="Arial"/>
          <w:noProof/>
          <w:vertAlign w:val="superscript"/>
        </w:rPr>
        <w:t>136</w:t>
      </w:r>
    </w:p>
    <w:p w:rsidR="00BD084C" w:rsidRPr="00297A95" w:rsidRDefault="00BD084C" w:rsidP="0085034D">
      <w:pPr>
        <w:pStyle w:val="NoSpacing"/>
        <w:spacing w:line="276" w:lineRule="auto"/>
        <w:jc w:val="both"/>
        <w:rPr>
          <w:rFonts w:ascii="Arial" w:hAnsi="Arial" w:cs="Arial"/>
        </w:rPr>
      </w:pPr>
    </w:p>
    <w:p w:rsidR="00BD084C" w:rsidRPr="00E41333" w:rsidRDefault="00BD084C" w:rsidP="00BD084C">
      <w:pPr>
        <w:pStyle w:val="NoSpacing"/>
        <w:numPr>
          <w:ilvl w:val="0"/>
          <w:numId w:val="16"/>
        </w:numPr>
        <w:spacing w:line="276" w:lineRule="auto"/>
        <w:jc w:val="both"/>
        <w:rPr>
          <w:rFonts w:ascii="Arial" w:hAnsi="Arial" w:cs="Arial"/>
          <w:b/>
          <w:i/>
        </w:rPr>
      </w:pPr>
      <w:r w:rsidRPr="00E41333">
        <w:rPr>
          <w:rFonts w:ascii="Arial" w:hAnsi="Arial" w:cs="Arial"/>
          <w:b/>
          <w:i/>
        </w:rPr>
        <w:t>Lymphocyte function assays</w:t>
      </w:r>
    </w:p>
    <w:p w:rsidR="00BD084C" w:rsidRPr="00297A95" w:rsidRDefault="00BD084C" w:rsidP="0085034D">
      <w:pPr>
        <w:pStyle w:val="NoSpacing"/>
        <w:spacing w:line="276" w:lineRule="auto"/>
        <w:ind w:left="360"/>
        <w:jc w:val="both"/>
        <w:rPr>
          <w:rFonts w:ascii="Arial" w:hAnsi="Arial" w:cs="Arial"/>
        </w:rPr>
      </w:pPr>
      <w:r w:rsidRPr="00297A95">
        <w:rPr>
          <w:rFonts w:ascii="Arial" w:hAnsi="Arial" w:cs="Arial"/>
        </w:rPr>
        <w:t xml:space="preserve">Drug-induced lymphocyte production of cytokines or other mediators measured by ELISA, ELISpot or intracellular fluorescence, has the advantage of utilising a shorter assay time and does not require the use of radioisotopes. Furthermore, it does not rely on lymphocyte proliferation which is likely to be more susceptible to direct drug toxicity </w:t>
      </w:r>
      <w:r w:rsidRPr="00297A95">
        <w:rPr>
          <w:rFonts w:ascii="Arial" w:hAnsi="Arial" w:cs="Arial"/>
          <w:i/>
        </w:rPr>
        <w:t>in vitro.</w:t>
      </w:r>
      <w:r w:rsidRPr="00297A95">
        <w:rPr>
          <w:rFonts w:ascii="Arial" w:hAnsi="Arial" w:cs="Arial"/>
        </w:rPr>
        <w:t xml:space="preserve"> However, these assays are technically more challenging and require more complicated equipment. </w:t>
      </w:r>
    </w:p>
    <w:p w:rsidR="00BD084C" w:rsidRPr="00297A95" w:rsidRDefault="00BD084C" w:rsidP="0085034D">
      <w:pPr>
        <w:pStyle w:val="NoSpacing"/>
        <w:spacing w:line="276" w:lineRule="auto"/>
        <w:ind w:left="360"/>
        <w:jc w:val="both"/>
        <w:rPr>
          <w:rFonts w:ascii="Arial" w:hAnsi="Arial" w:cs="Arial"/>
        </w:rPr>
      </w:pPr>
    </w:p>
    <w:p w:rsidR="00BD084C" w:rsidRDefault="00BD084C" w:rsidP="0085034D">
      <w:pPr>
        <w:pStyle w:val="NoSpacing"/>
        <w:spacing w:line="276" w:lineRule="auto"/>
        <w:ind w:left="360"/>
        <w:jc w:val="both"/>
        <w:rPr>
          <w:rFonts w:ascii="Arial" w:hAnsi="Arial" w:cs="Arial"/>
        </w:rPr>
      </w:pPr>
      <w:r w:rsidRPr="00297A95">
        <w:rPr>
          <w:rFonts w:ascii="Arial" w:hAnsi="Arial" w:cs="Arial"/>
        </w:rPr>
        <w:t xml:space="preserve">Published reports have suggested the value of cytokine assays incorporating IFN-γ, IL-2, IL-4, IL-5, IL-13, IL-17, </w:t>
      </w:r>
      <w:proofErr w:type="spellStart"/>
      <w:r w:rsidRPr="00297A95">
        <w:rPr>
          <w:rFonts w:ascii="Arial" w:hAnsi="Arial" w:cs="Arial"/>
        </w:rPr>
        <w:t>granzyme</w:t>
      </w:r>
      <w:proofErr w:type="spellEnd"/>
      <w:r w:rsidRPr="00297A95">
        <w:rPr>
          <w:rFonts w:ascii="Arial" w:hAnsi="Arial" w:cs="Arial"/>
        </w:rPr>
        <w:t xml:space="preserve"> B, </w:t>
      </w:r>
      <w:proofErr w:type="spellStart"/>
      <w:r w:rsidRPr="00297A95">
        <w:rPr>
          <w:rFonts w:ascii="Arial" w:hAnsi="Arial" w:cs="Arial"/>
        </w:rPr>
        <w:t>sFasL</w:t>
      </w:r>
      <w:proofErr w:type="spellEnd"/>
      <w:r>
        <w:rPr>
          <w:rFonts w:ascii="Arial" w:hAnsi="Arial" w:cs="Arial"/>
        </w:rPr>
        <w:t xml:space="preserve">, </w:t>
      </w:r>
      <w:proofErr w:type="spellStart"/>
      <w:r>
        <w:rPr>
          <w:rFonts w:ascii="Arial" w:hAnsi="Arial" w:cs="Arial"/>
        </w:rPr>
        <w:t>granulysin</w:t>
      </w:r>
      <w:proofErr w:type="spellEnd"/>
      <w:r w:rsidRPr="00297A95">
        <w:rPr>
          <w:rFonts w:ascii="Arial" w:hAnsi="Arial" w:cs="Arial"/>
        </w:rPr>
        <w:t xml:space="preserve"> and others to investigate drug hypersensitivity </w:t>
      </w:r>
      <w:r w:rsidRPr="00297A95">
        <w:rPr>
          <w:rFonts w:ascii="Arial" w:hAnsi="Arial" w:cs="Arial"/>
          <w:i/>
        </w:rPr>
        <w:t>in vitro</w:t>
      </w:r>
      <w:r w:rsidRPr="00297A95">
        <w:rPr>
          <w:rFonts w:ascii="Arial" w:hAnsi="Arial" w:cs="Arial"/>
        </w:rPr>
        <w:t>.</w:t>
      </w:r>
      <w:r w:rsidRPr="00EF73B5">
        <w:rPr>
          <w:rFonts w:ascii="Arial" w:hAnsi="Arial" w:cs="Arial"/>
          <w:noProof/>
          <w:vertAlign w:val="superscript"/>
        </w:rPr>
        <w:t>135,137-142</w:t>
      </w:r>
      <w:r w:rsidRPr="00297A95">
        <w:rPr>
          <w:rFonts w:ascii="Arial" w:hAnsi="Arial" w:cs="Arial"/>
          <w:i/>
        </w:rPr>
        <w:t xml:space="preserve"> </w:t>
      </w:r>
      <w:r w:rsidRPr="00297A95">
        <w:rPr>
          <w:rFonts w:ascii="Arial" w:hAnsi="Arial" w:cs="Arial"/>
        </w:rPr>
        <w:t xml:space="preserve">In </w:t>
      </w:r>
      <w:proofErr w:type="spellStart"/>
      <w:r w:rsidRPr="00297A95">
        <w:rPr>
          <w:rFonts w:ascii="Arial" w:hAnsi="Arial" w:cs="Arial"/>
        </w:rPr>
        <w:t>Polak</w:t>
      </w:r>
      <w:proofErr w:type="spellEnd"/>
      <w:r w:rsidRPr="00297A95">
        <w:rPr>
          <w:rFonts w:ascii="Arial" w:hAnsi="Arial" w:cs="Arial"/>
        </w:rPr>
        <w:t xml:space="preserve"> </w:t>
      </w:r>
      <w:r w:rsidRPr="00297A95">
        <w:rPr>
          <w:rFonts w:ascii="Arial" w:hAnsi="Arial" w:cs="Arial"/>
          <w:i/>
        </w:rPr>
        <w:t>et al</w:t>
      </w:r>
      <w:r w:rsidRPr="00297A95">
        <w:rPr>
          <w:rFonts w:ascii="Arial" w:hAnsi="Arial" w:cs="Arial"/>
        </w:rPr>
        <w:t>.’s study, IFN-γ drug ELISpot assays tested at a median of 19 days (IQR ±11 days) after the onset of the reaction were shown to identify causal drugs in 78% (7/9) of cases of EM/SJS/TEN.</w:t>
      </w:r>
      <w:r w:rsidRPr="00EF73B5">
        <w:rPr>
          <w:rFonts w:ascii="Arial" w:hAnsi="Arial" w:cs="Arial"/>
          <w:noProof/>
          <w:vertAlign w:val="superscript"/>
        </w:rPr>
        <w:t>135</w:t>
      </w:r>
      <w:r w:rsidRPr="00297A95">
        <w:rPr>
          <w:rFonts w:ascii="Arial" w:hAnsi="Arial" w:cs="Arial"/>
        </w:rPr>
        <w:t xml:space="preserve"> IL-4 ELISpot was less sensitive and detected only 50% (4/8) of cases.</w:t>
      </w:r>
      <w:r w:rsidRPr="00EF73B5">
        <w:rPr>
          <w:rFonts w:ascii="Arial" w:hAnsi="Arial" w:cs="Arial"/>
          <w:noProof/>
          <w:vertAlign w:val="superscript"/>
        </w:rPr>
        <w:t>135</w:t>
      </w:r>
      <w:hyperlink w:anchor="_ENREF_109" w:tooltip="Polak, 2013 #3079" w:history="1"/>
      <w:r w:rsidRPr="00297A95">
        <w:rPr>
          <w:rFonts w:ascii="Arial" w:hAnsi="Arial" w:cs="Arial"/>
        </w:rPr>
        <w:t xml:space="preserve">  A series of nine cases of SJS/TEN reported that 100% of cases had positive IFN-γ ELISpot assays when tested after a median of 12 months (IQR ±3 months) and  66.6% (6/9) of cases also showed drug-induced </w:t>
      </w:r>
      <w:proofErr w:type="spellStart"/>
      <w:r w:rsidRPr="00297A95">
        <w:rPr>
          <w:rFonts w:ascii="Arial" w:hAnsi="Arial" w:cs="Arial"/>
        </w:rPr>
        <w:t>sFasL</w:t>
      </w:r>
      <w:proofErr w:type="spellEnd"/>
      <w:r w:rsidRPr="00297A95">
        <w:rPr>
          <w:rFonts w:ascii="Arial" w:hAnsi="Arial" w:cs="Arial"/>
        </w:rPr>
        <w:t xml:space="preserve"> production.</w:t>
      </w:r>
      <w:r w:rsidRPr="00EF73B5">
        <w:rPr>
          <w:rFonts w:ascii="Arial" w:hAnsi="Arial" w:cs="Arial"/>
          <w:noProof/>
          <w:vertAlign w:val="superscript"/>
        </w:rPr>
        <w:t>142</w:t>
      </w:r>
      <w:r>
        <w:rPr>
          <w:rFonts w:ascii="Arial" w:hAnsi="Arial" w:cs="Arial"/>
        </w:rPr>
        <w:t xml:space="preserve"> Detection of drug-induced </w:t>
      </w:r>
      <w:r w:rsidRPr="00297A95">
        <w:rPr>
          <w:rFonts w:ascii="Arial" w:hAnsi="Arial" w:cs="Arial"/>
        </w:rPr>
        <w:t>IFN-γ</w:t>
      </w:r>
      <w:r>
        <w:rPr>
          <w:rFonts w:ascii="Arial" w:hAnsi="Arial" w:cs="Arial"/>
        </w:rPr>
        <w:t xml:space="preserve"> has also been demonstrated in a recent series of 15 cases of SJS/TEN and in this series, measurements of </w:t>
      </w:r>
      <w:proofErr w:type="spellStart"/>
      <w:r>
        <w:rPr>
          <w:rFonts w:ascii="Arial" w:hAnsi="Arial" w:cs="Arial"/>
        </w:rPr>
        <w:t>granzyme</w:t>
      </w:r>
      <w:proofErr w:type="spellEnd"/>
      <w:r>
        <w:rPr>
          <w:rFonts w:ascii="Arial" w:hAnsi="Arial" w:cs="Arial"/>
        </w:rPr>
        <w:t xml:space="preserve"> B and IL-5 release following drug exposure were also significantly higher in patients as compared to controls.</w:t>
      </w:r>
      <w:r w:rsidRPr="00EF73B5">
        <w:rPr>
          <w:rFonts w:ascii="Arial" w:hAnsi="Arial" w:cs="Arial"/>
          <w:noProof/>
          <w:vertAlign w:val="superscript"/>
        </w:rPr>
        <w:t>134</w:t>
      </w:r>
    </w:p>
    <w:p w:rsidR="00BD084C" w:rsidRPr="00297A95" w:rsidRDefault="00BD084C" w:rsidP="0085034D">
      <w:pPr>
        <w:pStyle w:val="NoSpacing"/>
        <w:spacing w:line="276" w:lineRule="auto"/>
        <w:ind w:left="360"/>
        <w:jc w:val="both"/>
        <w:rPr>
          <w:rFonts w:ascii="Arial" w:hAnsi="Arial" w:cs="Arial"/>
        </w:rPr>
      </w:pPr>
    </w:p>
    <w:p w:rsidR="00BD084C" w:rsidRPr="002E3C3B" w:rsidRDefault="00BD084C" w:rsidP="0085034D">
      <w:pPr>
        <w:spacing w:after="0"/>
        <w:jc w:val="both"/>
        <w:rPr>
          <w:rFonts w:ascii="Arial" w:hAnsi="Arial" w:cs="Arial"/>
          <w:lang w:eastAsia="en-GB"/>
        </w:rPr>
      </w:pPr>
      <w:r w:rsidRPr="002E3C3B">
        <w:rPr>
          <w:rFonts w:ascii="Arial" w:hAnsi="Arial" w:cs="Arial"/>
          <w:lang w:eastAsia="en-GB"/>
        </w:rPr>
        <w:t xml:space="preserve">Due to ethical considerations, currently no diagnostic tests for SJS/TEN have been validated by deliberate re-exposure challenge testing to the suspected culprit drug. Consequently, true sensitivity is not known and the possibility of false positive and false negative results exists. However, it is generally accepted that re-exposure to a drug showing a positive result (from patch or blood tests) is likely to represent a significant risk of re-initiation of SJS/TEN. Diagnostic testing is not likely to be of benefit in cases where a culprit drug can be imputed with a high level of confidence from clinical grounds (for example where exposure was to only one medication). Furthermore, in cases where strict avoidance of possible culprit drugs and related compounds is of little consequence to the individual, the risk of false negative testing is likely to outweigh the benefits of the test.  In cases where medication avoidance is detrimental to the individual or where accidental exposure is possible, further investigation may be warranted. Patch testing is generally safe but of low diagnostic value for the investigation of SJS/TEN causality. Patch testing specificity and sensitivity are drug-dependent. Although LTT is of uncertain diagnostic value, </w:t>
      </w:r>
      <w:r>
        <w:rPr>
          <w:rFonts w:ascii="Arial" w:hAnsi="Arial" w:cs="Arial"/>
          <w:lang w:eastAsia="en-GB"/>
        </w:rPr>
        <w:t xml:space="preserve">lymphocyte </w:t>
      </w:r>
      <w:r w:rsidRPr="002E3C3B">
        <w:rPr>
          <w:rFonts w:ascii="Arial" w:hAnsi="Arial" w:cs="Arial"/>
          <w:lang w:eastAsia="en-GB"/>
        </w:rPr>
        <w:t xml:space="preserve">drug-induced IFN-γ assays are of value for the investigation of SJS/TEN causality. </w:t>
      </w:r>
      <w:r>
        <w:rPr>
          <w:rFonts w:ascii="Arial" w:hAnsi="Arial" w:cs="Arial"/>
          <w:lang w:eastAsia="en-GB"/>
        </w:rPr>
        <w:t xml:space="preserve">However, evidence from several groups suggests that combination assays show increased sensitivity over one assay </w:t>
      </w:r>
      <w:r>
        <w:rPr>
          <w:rFonts w:ascii="Arial" w:hAnsi="Arial" w:cs="Arial"/>
          <w:lang w:eastAsia="en-GB"/>
        </w:rPr>
        <w:lastRenderedPageBreak/>
        <w:t xml:space="preserve">alone. </w:t>
      </w:r>
      <w:r w:rsidRPr="002E3C3B">
        <w:rPr>
          <w:rFonts w:ascii="Arial" w:hAnsi="Arial" w:cs="Arial"/>
          <w:lang w:eastAsia="en-GB"/>
        </w:rPr>
        <w:t>The use of in vitro tests by clinicians will be determined by the availability of the relevant assays in specialist laboratories. Diagnostic testing should be interpreted by physicians experienced in the management of SJS/TEN who are familiar with the test system. It is to be emphasised that the tests described here have not been evaluated as tools for the diagnosis of SJS/TEN when the clinical picture is not typical.</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b/>
          <w:i/>
        </w:rPr>
      </w:pPr>
      <w:r w:rsidRPr="00297A95">
        <w:rPr>
          <w:rFonts w:ascii="Arial" w:hAnsi="Arial" w:cs="Arial"/>
          <w:b/>
        </w:rPr>
        <w:t>Recommendations:</w:t>
      </w:r>
      <w:r>
        <w:rPr>
          <w:rFonts w:ascii="Arial" w:hAnsi="Arial" w:cs="Arial"/>
          <w:b/>
        </w:rPr>
        <w:t xml:space="preserve"> </w:t>
      </w:r>
      <w:r w:rsidRPr="00297A95">
        <w:rPr>
          <w:rFonts w:ascii="Arial" w:hAnsi="Arial" w:cs="Arial"/>
          <w:b/>
          <w:i/>
        </w:rPr>
        <w:t xml:space="preserve">(Strength of recommendation </w:t>
      </w:r>
      <w:proofErr w:type="gramStart"/>
      <w:r w:rsidRPr="00297A95">
        <w:rPr>
          <w:rFonts w:ascii="Arial" w:hAnsi="Arial" w:cs="Arial"/>
          <w:b/>
          <w:i/>
        </w:rPr>
        <w:t>D</w:t>
      </w:r>
      <w:r>
        <w:rPr>
          <w:rFonts w:ascii="Arial" w:hAnsi="Arial" w:cs="Arial"/>
          <w:b/>
          <w:i/>
        </w:rPr>
        <w:t>(</w:t>
      </w:r>
      <w:proofErr w:type="gramEnd"/>
      <w:r>
        <w:rPr>
          <w:rFonts w:ascii="Arial" w:hAnsi="Arial" w:cs="Arial"/>
          <w:b/>
          <w:i/>
        </w:rPr>
        <w:t>GPP)</w:t>
      </w:r>
      <w:r w:rsidRPr="00297A95">
        <w:rPr>
          <w:rFonts w:ascii="Arial" w:hAnsi="Arial" w:cs="Arial"/>
          <w:b/>
          <w:i/>
        </w:rPr>
        <w:t xml:space="preserve">; level of evidence </w:t>
      </w:r>
      <w:r>
        <w:rPr>
          <w:rFonts w:ascii="Arial" w:hAnsi="Arial" w:cs="Arial"/>
          <w:b/>
          <w:i/>
        </w:rPr>
        <w:t>4</w:t>
      </w:r>
      <w:r w:rsidRPr="00297A95">
        <w:rPr>
          <w:rFonts w:ascii="Arial" w:hAnsi="Arial" w:cs="Arial"/>
          <w:b/>
          <w:i/>
        </w:rPr>
        <w:t>)</w:t>
      </w:r>
    </w:p>
    <w:p w:rsidR="00BD084C" w:rsidRPr="00297A95" w:rsidRDefault="00BD084C" w:rsidP="0085034D">
      <w:pPr>
        <w:pStyle w:val="NoSpacing"/>
        <w:spacing w:line="276" w:lineRule="auto"/>
        <w:jc w:val="both"/>
        <w:rPr>
          <w:rFonts w:ascii="Arial" w:hAnsi="Arial" w:cs="Arial"/>
        </w:rPr>
      </w:pPr>
    </w:p>
    <w:p w:rsidR="00BD084C" w:rsidRDefault="00BD084C" w:rsidP="00BD084C">
      <w:pPr>
        <w:pStyle w:val="NoSpacing"/>
        <w:numPr>
          <w:ilvl w:val="0"/>
          <w:numId w:val="17"/>
        </w:numPr>
        <w:spacing w:line="276" w:lineRule="auto"/>
        <w:ind w:left="714" w:hanging="357"/>
        <w:jc w:val="both"/>
        <w:rPr>
          <w:rFonts w:ascii="Arial" w:hAnsi="Arial" w:cs="Arial"/>
        </w:rPr>
      </w:pPr>
      <w:r>
        <w:rPr>
          <w:rFonts w:ascii="Arial" w:hAnsi="Arial" w:cs="Arial"/>
        </w:rPr>
        <w:t>Routine drug hypersensitivity testing is not recommended following an episode of SJS/TEN.</w:t>
      </w:r>
    </w:p>
    <w:p w:rsidR="00BD084C" w:rsidRDefault="00BD084C" w:rsidP="0085034D">
      <w:pPr>
        <w:pStyle w:val="NoSpacing"/>
        <w:spacing w:line="276" w:lineRule="auto"/>
        <w:ind w:left="714" w:hanging="357"/>
        <w:jc w:val="both"/>
        <w:rPr>
          <w:rFonts w:ascii="Arial" w:hAnsi="Arial" w:cs="Arial"/>
        </w:rPr>
      </w:pPr>
    </w:p>
    <w:p w:rsidR="00BD084C" w:rsidRPr="00297A95" w:rsidRDefault="00BD084C" w:rsidP="00BD084C">
      <w:pPr>
        <w:pStyle w:val="NoSpacing"/>
        <w:numPr>
          <w:ilvl w:val="0"/>
          <w:numId w:val="17"/>
        </w:numPr>
        <w:spacing w:line="276" w:lineRule="auto"/>
        <w:ind w:left="714" w:hanging="357"/>
        <w:jc w:val="both"/>
        <w:rPr>
          <w:rFonts w:ascii="Arial" w:hAnsi="Arial" w:cs="Arial"/>
        </w:rPr>
      </w:pPr>
      <w:r>
        <w:rPr>
          <w:rFonts w:ascii="Arial" w:hAnsi="Arial" w:cs="Arial"/>
        </w:rPr>
        <w:t>Seek specialist advice on formal drug hypersensitivity testing where the culprit drug cannot be imputed with confidence and where medication avoidance is detrimental to the individual or where accidental exposure is possible (also, see follow-up recommendations above).</w:t>
      </w:r>
      <w:r w:rsidRPr="00DD469F">
        <w:rPr>
          <w:rFonts w:ascii="Arial" w:hAnsi="Arial" w:cs="Arial"/>
          <w:noProof/>
          <w:vertAlign w:val="superscript"/>
        </w:rPr>
        <w:t>120</w:t>
      </w:r>
      <w:r>
        <w:rPr>
          <w:rFonts w:ascii="Arial" w:hAnsi="Arial" w:cs="Arial"/>
        </w:rPr>
        <w:t xml:space="preserve"> Current evidence supports the use of lymphocyte drug-induced IFN-</w:t>
      </w:r>
      <w:r w:rsidRPr="002E3C3B">
        <w:rPr>
          <w:rFonts w:ascii="Arial" w:hAnsi="Arial" w:cs="Arial"/>
          <w:lang w:eastAsia="en-GB"/>
        </w:rPr>
        <w:t>γ</w:t>
      </w:r>
      <w:r>
        <w:rPr>
          <w:rFonts w:ascii="Arial" w:hAnsi="Arial" w:cs="Arial"/>
          <w:lang w:eastAsia="en-GB"/>
        </w:rPr>
        <w:t xml:space="preserve"> assay as part of the investigative work-up.</w:t>
      </w:r>
      <w:r w:rsidRPr="00297A95">
        <w:rPr>
          <w:rFonts w:ascii="Arial" w:hAnsi="Arial" w:cs="Arial"/>
        </w:rPr>
        <w:t xml:space="preserve"> </w:t>
      </w:r>
    </w:p>
    <w:p w:rsidR="00BD084C" w:rsidRPr="00297A95" w:rsidRDefault="00BD084C" w:rsidP="0085034D">
      <w:pPr>
        <w:pStyle w:val="NoSpacing"/>
        <w:spacing w:line="276" w:lineRule="auto"/>
        <w:ind w:left="357" w:hanging="357"/>
        <w:jc w:val="both"/>
        <w:rPr>
          <w:rFonts w:ascii="Arial" w:hAnsi="Arial" w:cs="Arial"/>
        </w:rPr>
      </w:pPr>
    </w:p>
    <w:p w:rsidR="00BD084C" w:rsidRPr="00297A95" w:rsidRDefault="00BD084C" w:rsidP="0085034D">
      <w:pPr>
        <w:pStyle w:val="NoSpacing"/>
        <w:spacing w:line="276" w:lineRule="auto"/>
        <w:jc w:val="both"/>
        <w:rPr>
          <w:rFonts w:ascii="Arial" w:hAnsi="Arial" w:cs="Arial"/>
          <w:i/>
        </w:rPr>
      </w:pPr>
    </w:p>
    <w:p w:rsidR="00BD084C" w:rsidRPr="006276EE" w:rsidRDefault="00BD084C" w:rsidP="0085034D">
      <w:pPr>
        <w:pStyle w:val="NoSpacing"/>
        <w:spacing w:line="276" w:lineRule="auto"/>
        <w:jc w:val="both"/>
        <w:rPr>
          <w:rFonts w:ascii="Arial" w:hAnsi="Arial" w:cs="Arial"/>
          <w:b/>
          <w:color w:val="00B0F0"/>
        </w:rPr>
      </w:pPr>
      <w:r w:rsidRPr="006276EE">
        <w:rPr>
          <w:rFonts w:ascii="Arial" w:hAnsi="Arial" w:cs="Arial"/>
          <w:b/>
          <w:color w:val="00B0F0"/>
        </w:rPr>
        <w:t>16.0 FUTURE DIRECTIONS</w:t>
      </w:r>
    </w:p>
    <w:p w:rsidR="00BD084C" w:rsidRDefault="00BD084C" w:rsidP="0085034D">
      <w:pPr>
        <w:pStyle w:val="NoSpacing"/>
        <w:spacing w:line="276" w:lineRule="auto"/>
        <w:jc w:val="both"/>
        <w:rPr>
          <w:rFonts w:ascii="Arial" w:hAnsi="Arial" w:cs="Arial"/>
          <w:b/>
        </w:rPr>
      </w:pPr>
    </w:p>
    <w:p w:rsidR="00BD084C" w:rsidRDefault="00BD084C" w:rsidP="0085034D">
      <w:pPr>
        <w:pStyle w:val="NoSpacing"/>
        <w:spacing w:line="276" w:lineRule="auto"/>
        <w:jc w:val="both"/>
        <w:rPr>
          <w:rFonts w:ascii="Arial" w:hAnsi="Arial" w:cs="Arial"/>
        </w:rPr>
      </w:pPr>
      <w:r w:rsidRPr="006F274A">
        <w:rPr>
          <w:rFonts w:ascii="Arial" w:hAnsi="Arial" w:cs="Arial"/>
        </w:rPr>
        <w:t>Improving the management of patients with SJS/TEN requires attention to both the processes of care delivery as well as to individual components of the therapeutic regimen. It has been suggested that SJS/TEN patient management should be carried out in a small number of regional centres, each equipped with appropriate intensive care facilities and specialist expertise.</w:t>
      </w:r>
      <w:r w:rsidRPr="00EF73B5">
        <w:rPr>
          <w:rFonts w:ascii="Arial" w:hAnsi="Arial" w:cs="Arial"/>
          <w:noProof/>
          <w:vertAlign w:val="superscript"/>
        </w:rPr>
        <w:t>143</w:t>
      </w:r>
      <w:r w:rsidRPr="006F274A">
        <w:rPr>
          <w:rFonts w:ascii="Arial" w:hAnsi="Arial" w:cs="Arial"/>
        </w:rPr>
        <w:t xml:space="preserve"> In this way, standardi</w:t>
      </w:r>
      <w:r>
        <w:rPr>
          <w:rFonts w:ascii="Arial" w:hAnsi="Arial" w:cs="Arial"/>
        </w:rPr>
        <w:t>z</w:t>
      </w:r>
      <w:r w:rsidRPr="006F274A">
        <w:rPr>
          <w:rFonts w:ascii="Arial" w:hAnsi="Arial" w:cs="Arial"/>
        </w:rPr>
        <w:t xml:space="preserve">ed care could be delivered to provide high quality care with improved clinical outcomes. Establishing a </w:t>
      </w:r>
      <w:r>
        <w:rPr>
          <w:rFonts w:ascii="Arial" w:hAnsi="Arial" w:cs="Arial"/>
        </w:rPr>
        <w:t>n</w:t>
      </w:r>
      <w:r w:rsidRPr="006F274A">
        <w:rPr>
          <w:rFonts w:ascii="Arial" w:hAnsi="Arial" w:cs="Arial"/>
        </w:rPr>
        <w:t xml:space="preserve">ational </w:t>
      </w:r>
      <w:r>
        <w:rPr>
          <w:rFonts w:ascii="Arial" w:hAnsi="Arial" w:cs="Arial"/>
        </w:rPr>
        <w:t xml:space="preserve">network of </w:t>
      </w:r>
      <w:r w:rsidRPr="006F274A">
        <w:rPr>
          <w:rFonts w:ascii="Arial" w:hAnsi="Arial" w:cs="Arial"/>
        </w:rPr>
        <w:t xml:space="preserve">SJS/TEN </w:t>
      </w:r>
      <w:r>
        <w:rPr>
          <w:rFonts w:ascii="Arial" w:hAnsi="Arial" w:cs="Arial"/>
        </w:rPr>
        <w:t>centres</w:t>
      </w:r>
      <w:r w:rsidRPr="006F274A">
        <w:rPr>
          <w:rFonts w:ascii="Arial" w:hAnsi="Arial" w:cs="Arial"/>
        </w:rPr>
        <w:t xml:space="preserve"> would enable the implementation of appropriate governance structures, including: case registration on a national database; supra-regional case conferences for case validation and standardisation of care; regular audits against defined standards of care</w:t>
      </w:r>
      <w:r>
        <w:rPr>
          <w:rFonts w:ascii="Arial" w:hAnsi="Arial" w:cs="Arial"/>
        </w:rPr>
        <w:t>;</w:t>
      </w:r>
      <w:r w:rsidRPr="00FC5DEE">
        <w:rPr>
          <w:rFonts w:ascii="Arial" w:hAnsi="Arial" w:cs="Arial"/>
        </w:rPr>
        <w:t xml:space="preserve"> </w:t>
      </w:r>
      <w:r w:rsidRPr="006F274A">
        <w:rPr>
          <w:rFonts w:ascii="Arial" w:hAnsi="Arial" w:cs="Arial"/>
        </w:rPr>
        <w:t xml:space="preserve">opportunities for training and continuing professional development for </w:t>
      </w:r>
      <w:r>
        <w:rPr>
          <w:rFonts w:ascii="Arial" w:hAnsi="Arial" w:cs="Arial"/>
        </w:rPr>
        <w:t>the n</w:t>
      </w:r>
      <w:r w:rsidRPr="006F274A">
        <w:rPr>
          <w:rFonts w:ascii="Arial" w:hAnsi="Arial" w:cs="Arial"/>
        </w:rPr>
        <w:t>etwork members.</w:t>
      </w:r>
    </w:p>
    <w:p w:rsidR="00BD084C" w:rsidRPr="006F274A" w:rsidRDefault="00BD084C" w:rsidP="0085034D">
      <w:pPr>
        <w:pStyle w:val="NoSpacing"/>
        <w:spacing w:line="276" w:lineRule="auto"/>
        <w:jc w:val="both"/>
        <w:rPr>
          <w:rFonts w:ascii="Arial" w:hAnsi="Arial" w:cs="Arial"/>
        </w:rPr>
      </w:pPr>
    </w:p>
    <w:p w:rsidR="00BD084C" w:rsidRDefault="00BD084C" w:rsidP="0085034D">
      <w:pPr>
        <w:pStyle w:val="NoSpacing"/>
        <w:spacing w:line="276" w:lineRule="auto"/>
        <w:jc w:val="both"/>
        <w:rPr>
          <w:rFonts w:ascii="Arial" w:hAnsi="Arial" w:cs="Arial"/>
        </w:rPr>
      </w:pPr>
      <w:r w:rsidRPr="006F274A">
        <w:rPr>
          <w:rFonts w:ascii="Arial" w:hAnsi="Arial" w:cs="Arial"/>
        </w:rPr>
        <w:t xml:space="preserve">Future research into the </w:t>
      </w:r>
      <w:r>
        <w:rPr>
          <w:rFonts w:ascii="Arial" w:hAnsi="Arial" w:cs="Arial"/>
        </w:rPr>
        <w:t>management of the acute phase of</w:t>
      </w:r>
      <w:r w:rsidRPr="006F274A">
        <w:rPr>
          <w:rFonts w:ascii="Arial" w:hAnsi="Arial" w:cs="Arial"/>
        </w:rPr>
        <w:t xml:space="preserve"> SJS/TEN needs to answer a number of important questions: </w:t>
      </w:r>
    </w:p>
    <w:p w:rsidR="00BD084C" w:rsidRDefault="00BD084C" w:rsidP="0085034D">
      <w:pPr>
        <w:pStyle w:val="NoSpacing"/>
        <w:spacing w:line="276" w:lineRule="auto"/>
        <w:jc w:val="both"/>
        <w:rPr>
          <w:rFonts w:ascii="Arial" w:hAnsi="Arial" w:cs="Arial"/>
        </w:rPr>
      </w:pPr>
    </w:p>
    <w:p w:rsidR="00BD084C" w:rsidRDefault="00BD084C" w:rsidP="00BD084C">
      <w:pPr>
        <w:pStyle w:val="NoSpacing"/>
        <w:numPr>
          <w:ilvl w:val="0"/>
          <w:numId w:val="31"/>
        </w:numPr>
        <w:spacing w:line="276" w:lineRule="auto"/>
        <w:jc w:val="both"/>
        <w:rPr>
          <w:rFonts w:ascii="Arial" w:hAnsi="Arial" w:cs="Arial"/>
        </w:rPr>
      </w:pPr>
      <w:r w:rsidRPr="006F274A">
        <w:rPr>
          <w:rFonts w:ascii="Arial" w:hAnsi="Arial" w:cs="Arial"/>
        </w:rPr>
        <w:t xml:space="preserve">What constitutes optimal supportive care? </w:t>
      </w:r>
    </w:p>
    <w:p w:rsidR="00BD084C" w:rsidRDefault="00BD084C" w:rsidP="00BD084C">
      <w:pPr>
        <w:pStyle w:val="NoSpacing"/>
        <w:numPr>
          <w:ilvl w:val="0"/>
          <w:numId w:val="31"/>
        </w:numPr>
        <w:spacing w:line="276" w:lineRule="auto"/>
        <w:jc w:val="both"/>
        <w:rPr>
          <w:rFonts w:ascii="Arial" w:hAnsi="Arial" w:cs="Arial"/>
        </w:rPr>
      </w:pPr>
      <w:r w:rsidRPr="006F274A">
        <w:rPr>
          <w:rFonts w:ascii="Arial" w:hAnsi="Arial" w:cs="Arial"/>
        </w:rPr>
        <w:t xml:space="preserve">What, if any, </w:t>
      </w:r>
      <w:r>
        <w:rPr>
          <w:rFonts w:ascii="Arial" w:hAnsi="Arial" w:cs="Arial"/>
        </w:rPr>
        <w:t>are</w:t>
      </w:r>
      <w:r w:rsidRPr="006F274A">
        <w:rPr>
          <w:rFonts w:ascii="Arial" w:hAnsi="Arial" w:cs="Arial"/>
        </w:rPr>
        <w:t xml:space="preserve"> the optimum active</w:t>
      </w:r>
      <w:r>
        <w:rPr>
          <w:rFonts w:ascii="Arial" w:hAnsi="Arial" w:cs="Arial"/>
        </w:rPr>
        <w:t>,</w:t>
      </w:r>
      <w:r w:rsidRPr="006F274A">
        <w:rPr>
          <w:rFonts w:ascii="Arial" w:hAnsi="Arial" w:cs="Arial"/>
        </w:rPr>
        <w:t xml:space="preserve"> systemic therap</w:t>
      </w:r>
      <w:r>
        <w:rPr>
          <w:rFonts w:ascii="Arial" w:hAnsi="Arial" w:cs="Arial"/>
        </w:rPr>
        <w:t>ies</w:t>
      </w:r>
      <w:r w:rsidRPr="006F274A">
        <w:rPr>
          <w:rFonts w:ascii="Arial" w:hAnsi="Arial" w:cs="Arial"/>
        </w:rPr>
        <w:t xml:space="preserve">? </w:t>
      </w:r>
    </w:p>
    <w:p w:rsidR="00BD084C" w:rsidRPr="006F274A" w:rsidRDefault="00BD084C" w:rsidP="00BD084C">
      <w:pPr>
        <w:pStyle w:val="NoSpacing"/>
        <w:numPr>
          <w:ilvl w:val="0"/>
          <w:numId w:val="31"/>
        </w:numPr>
        <w:spacing w:line="276" w:lineRule="auto"/>
        <w:jc w:val="both"/>
        <w:rPr>
          <w:rFonts w:ascii="Arial" w:hAnsi="Arial" w:cs="Arial"/>
        </w:rPr>
      </w:pPr>
      <w:r>
        <w:rPr>
          <w:rFonts w:ascii="Arial" w:hAnsi="Arial" w:cs="Arial"/>
        </w:rPr>
        <w:t>What are the optimal investigations to identify the culprit drug in SJS/TEN?</w:t>
      </w:r>
    </w:p>
    <w:p w:rsidR="00BD084C" w:rsidRDefault="00BD084C" w:rsidP="0085034D">
      <w:pPr>
        <w:pStyle w:val="NoSpacing"/>
        <w:spacing w:line="276" w:lineRule="auto"/>
        <w:jc w:val="both"/>
        <w:rPr>
          <w:rFonts w:ascii="Arial" w:hAnsi="Arial" w:cs="Arial"/>
          <w:b/>
        </w:rPr>
      </w:pPr>
    </w:p>
    <w:p w:rsidR="00BD084C" w:rsidRDefault="00BD084C" w:rsidP="0085034D">
      <w:pPr>
        <w:pStyle w:val="NoSpacing"/>
        <w:spacing w:line="276" w:lineRule="auto"/>
        <w:jc w:val="both"/>
        <w:rPr>
          <w:rFonts w:ascii="Arial" w:hAnsi="Arial" w:cs="Arial"/>
          <w:b/>
        </w:rPr>
      </w:pPr>
    </w:p>
    <w:p w:rsidR="00BD084C" w:rsidRPr="006276EE" w:rsidRDefault="00BD084C" w:rsidP="0085034D">
      <w:pPr>
        <w:pStyle w:val="NoSpacing"/>
        <w:spacing w:line="276" w:lineRule="auto"/>
        <w:jc w:val="both"/>
        <w:rPr>
          <w:rFonts w:ascii="Arial" w:hAnsi="Arial" w:cs="Arial"/>
          <w:b/>
          <w:color w:val="00B0F0"/>
        </w:rPr>
      </w:pPr>
      <w:r w:rsidRPr="006276EE">
        <w:rPr>
          <w:rFonts w:ascii="Arial" w:hAnsi="Arial" w:cs="Arial"/>
          <w:b/>
          <w:color w:val="00B0F0"/>
        </w:rPr>
        <w:t>17.0 RECOMMENDED AUDIT POINTS</w:t>
      </w:r>
    </w:p>
    <w:p w:rsidR="00BD084C" w:rsidRDefault="00BD084C" w:rsidP="0085034D">
      <w:pPr>
        <w:pStyle w:val="NoSpacing"/>
        <w:spacing w:line="276" w:lineRule="auto"/>
        <w:jc w:val="both"/>
        <w:rPr>
          <w:rFonts w:ascii="Arial" w:hAnsi="Arial" w:cs="Arial"/>
          <w:b/>
        </w:rPr>
      </w:pPr>
    </w:p>
    <w:p w:rsidR="00BD084C" w:rsidRDefault="00BD084C" w:rsidP="0085034D">
      <w:pPr>
        <w:pStyle w:val="NoSpacing"/>
        <w:spacing w:line="276" w:lineRule="auto"/>
        <w:jc w:val="both"/>
        <w:rPr>
          <w:rFonts w:ascii="Arial" w:hAnsi="Arial" w:cs="Arial"/>
        </w:rPr>
      </w:pPr>
      <w:r w:rsidRPr="006F274A">
        <w:rPr>
          <w:rFonts w:ascii="Arial" w:hAnsi="Arial" w:cs="Arial"/>
        </w:rPr>
        <w:t>For each patient with SJS/TEN in the last 5 years:</w:t>
      </w:r>
    </w:p>
    <w:p w:rsidR="00BD084C" w:rsidRPr="006F274A" w:rsidRDefault="00BD084C" w:rsidP="0085034D">
      <w:pPr>
        <w:pStyle w:val="NoSpacing"/>
        <w:spacing w:line="276" w:lineRule="auto"/>
        <w:jc w:val="both"/>
        <w:rPr>
          <w:rFonts w:ascii="Arial" w:hAnsi="Arial" w:cs="Arial"/>
        </w:rPr>
      </w:pPr>
    </w:p>
    <w:p w:rsidR="00BD084C" w:rsidRPr="006F274A" w:rsidRDefault="00BD084C" w:rsidP="00BD084C">
      <w:pPr>
        <w:pStyle w:val="NoSpacing"/>
        <w:numPr>
          <w:ilvl w:val="0"/>
          <w:numId w:val="33"/>
        </w:numPr>
        <w:spacing w:line="276" w:lineRule="auto"/>
        <w:jc w:val="both"/>
        <w:rPr>
          <w:rFonts w:ascii="Arial" w:hAnsi="Arial" w:cs="Arial"/>
        </w:rPr>
      </w:pPr>
      <w:r w:rsidRPr="006F274A">
        <w:rPr>
          <w:rFonts w:ascii="Arial" w:hAnsi="Arial" w:cs="Arial"/>
        </w:rPr>
        <w:t>Has the patient had a SCORTEN performed on admission?</w:t>
      </w:r>
    </w:p>
    <w:p w:rsidR="00BD084C" w:rsidRPr="006F274A" w:rsidRDefault="00BD084C" w:rsidP="00BD084C">
      <w:pPr>
        <w:pStyle w:val="NoSpacing"/>
        <w:numPr>
          <w:ilvl w:val="0"/>
          <w:numId w:val="33"/>
        </w:numPr>
        <w:spacing w:line="276" w:lineRule="auto"/>
        <w:jc w:val="both"/>
        <w:rPr>
          <w:rFonts w:ascii="Arial" w:hAnsi="Arial" w:cs="Arial"/>
        </w:rPr>
      </w:pPr>
      <w:r w:rsidRPr="006F274A">
        <w:rPr>
          <w:rFonts w:ascii="Arial" w:hAnsi="Arial" w:cs="Arial"/>
        </w:rPr>
        <w:t xml:space="preserve">Has drug causality </w:t>
      </w:r>
      <w:r>
        <w:rPr>
          <w:rFonts w:ascii="Arial" w:hAnsi="Arial" w:cs="Arial"/>
        </w:rPr>
        <w:t xml:space="preserve">assessment </w:t>
      </w:r>
      <w:r w:rsidRPr="006F274A">
        <w:rPr>
          <w:rFonts w:ascii="Arial" w:hAnsi="Arial" w:cs="Arial"/>
        </w:rPr>
        <w:t>been undertaken within the first 24 hours of admission?</w:t>
      </w:r>
    </w:p>
    <w:p w:rsidR="00BD084C" w:rsidRPr="006F274A" w:rsidRDefault="00BD084C" w:rsidP="00BD084C">
      <w:pPr>
        <w:pStyle w:val="NoSpacing"/>
        <w:numPr>
          <w:ilvl w:val="0"/>
          <w:numId w:val="33"/>
        </w:numPr>
        <w:spacing w:line="276" w:lineRule="auto"/>
        <w:jc w:val="both"/>
        <w:rPr>
          <w:rFonts w:ascii="Arial" w:hAnsi="Arial" w:cs="Arial"/>
        </w:rPr>
      </w:pPr>
      <w:r w:rsidRPr="006F274A">
        <w:rPr>
          <w:rFonts w:ascii="Arial" w:hAnsi="Arial" w:cs="Arial"/>
        </w:rPr>
        <w:lastRenderedPageBreak/>
        <w:t>Has the patient been seen by an ophthalmologist within 24 hours of admission?</w:t>
      </w:r>
      <w:r>
        <w:rPr>
          <w:rFonts w:ascii="Arial" w:hAnsi="Arial" w:cs="Arial"/>
        </w:rPr>
        <w:t xml:space="preserve"> Have daily ocular assessments been made throughout the acute phase?</w:t>
      </w:r>
    </w:p>
    <w:p w:rsidR="00BD084C" w:rsidRPr="006F274A" w:rsidRDefault="00BD084C" w:rsidP="00BD084C">
      <w:pPr>
        <w:pStyle w:val="NoSpacing"/>
        <w:numPr>
          <w:ilvl w:val="0"/>
          <w:numId w:val="33"/>
        </w:numPr>
        <w:spacing w:line="276" w:lineRule="auto"/>
        <w:jc w:val="both"/>
        <w:rPr>
          <w:rFonts w:ascii="Arial" w:hAnsi="Arial" w:cs="Arial"/>
        </w:rPr>
      </w:pPr>
      <w:r w:rsidRPr="006F274A">
        <w:rPr>
          <w:rFonts w:ascii="Arial" w:hAnsi="Arial" w:cs="Arial"/>
        </w:rPr>
        <w:t>Has a</w:t>
      </w:r>
      <w:r>
        <w:rPr>
          <w:rFonts w:ascii="Arial" w:hAnsi="Arial" w:cs="Arial"/>
        </w:rPr>
        <w:t>n</w:t>
      </w:r>
      <w:r w:rsidRPr="006F274A">
        <w:rPr>
          <w:rFonts w:ascii="Arial" w:hAnsi="Arial" w:cs="Arial"/>
        </w:rPr>
        <w:t xml:space="preserve"> initial assessment of </w:t>
      </w:r>
      <w:r>
        <w:rPr>
          <w:rFonts w:ascii="Arial" w:hAnsi="Arial" w:cs="Arial"/>
        </w:rPr>
        <w:t xml:space="preserve">mouth and </w:t>
      </w:r>
      <w:r w:rsidRPr="006F274A">
        <w:rPr>
          <w:rFonts w:ascii="Arial" w:hAnsi="Arial" w:cs="Arial"/>
        </w:rPr>
        <w:t>urogenital tract involvement been undertaken within the first 24 hours of admission?</w:t>
      </w:r>
      <w:r>
        <w:rPr>
          <w:rFonts w:ascii="Arial" w:hAnsi="Arial" w:cs="Arial"/>
        </w:rPr>
        <w:t xml:space="preserve"> Have daily oral and urogenital assessments been made throughout the acute phase?</w:t>
      </w:r>
    </w:p>
    <w:p w:rsidR="00BD084C" w:rsidRPr="007B7166" w:rsidRDefault="00BD084C" w:rsidP="00BD084C">
      <w:pPr>
        <w:pStyle w:val="NoSpacing"/>
        <w:numPr>
          <w:ilvl w:val="0"/>
          <w:numId w:val="33"/>
        </w:numPr>
        <w:spacing w:line="276" w:lineRule="auto"/>
        <w:jc w:val="both"/>
        <w:rPr>
          <w:rFonts w:ascii="Arial" w:hAnsi="Arial" w:cs="Arial"/>
        </w:rPr>
      </w:pPr>
      <w:r w:rsidRPr="006F274A">
        <w:rPr>
          <w:rFonts w:ascii="Arial" w:hAnsi="Arial" w:cs="Arial"/>
        </w:rPr>
        <w:t>At discharge, has</w:t>
      </w:r>
      <w:r>
        <w:rPr>
          <w:rFonts w:ascii="Arial" w:hAnsi="Arial" w:cs="Arial"/>
        </w:rPr>
        <w:t>:</w:t>
      </w:r>
    </w:p>
    <w:p w:rsidR="00BD084C" w:rsidRPr="007B7166" w:rsidRDefault="00BD084C" w:rsidP="00BD084C">
      <w:pPr>
        <w:pStyle w:val="NoSpacing"/>
        <w:numPr>
          <w:ilvl w:val="1"/>
          <w:numId w:val="33"/>
        </w:numPr>
        <w:spacing w:line="276" w:lineRule="auto"/>
        <w:jc w:val="both"/>
        <w:rPr>
          <w:rFonts w:ascii="Arial" w:hAnsi="Arial" w:cs="Arial"/>
        </w:rPr>
      </w:pPr>
      <w:r w:rsidRPr="006F274A">
        <w:rPr>
          <w:rFonts w:ascii="Arial" w:hAnsi="Arial" w:cs="Arial"/>
        </w:rPr>
        <w:t xml:space="preserve"> </w:t>
      </w:r>
      <w:proofErr w:type="gramStart"/>
      <w:r>
        <w:rPr>
          <w:rFonts w:ascii="Arial" w:hAnsi="Arial" w:cs="Arial"/>
        </w:rPr>
        <w:t>contact</w:t>
      </w:r>
      <w:proofErr w:type="gramEnd"/>
      <w:r>
        <w:rPr>
          <w:rFonts w:ascii="Arial" w:hAnsi="Arial" w:cs="Arial"/>
        </w:rPr>
        <w:t xml:space="preserve"> been made with the patient’s GP?</w:t>
      </w:r>
    </w:p>
    <w:p w:rsidR="00BD084C" w:rsidRPr="0011138B" w:rsidRDefault="00BD084C" w:rsidP="00BD084C">
      <w:pPr>
        <w:pStyle w:val="NoSpacing"/>
        <w:numPr>
          <w:ilvl w:val="1"/>
          <w:numId w:val="33"/>
        </w:numPr>
        <w:spacing w:line="276" w:lineRule="auto"/>
        <w:jc w:val="both"/>
        <w:rPr>
          <w:rFonts w:ascii="Arial" w:hAnsi="Arial" w:cs="Arial"/>
          <w:b/>
        </w:rPr>
      </w:pPr>
      <w:r>
        <w:rPr>
          <w:rFonts w:ascii="Arial" w:hAnsi="Arial" w:cs="Arial"/>
        </w:rPr>
        <w:t xml:space="preserve"> </w:t>
      </w:r>
      <w:proofErr w:type="gramStart"/>
      <w:r w:rsidRPr="006F274A">
        <w:rPr>
          <w:rFonts w:ascii="Arial" w:hAnsi="Arial" w:cs="Arial"/>
        </w:rPr>
        <w:t>the</w:t>
      </w:r>
      <w:proofErr w:type="gramEnd"/>
      <w:r w:rsidRPr="006F274A">
        <w:rPr>
          <w:rFonts w:ascii="Arial" w:hAnsi="Arial" w:cs="Arial"/>
        </w:rPr>
        <w:t xml:space="preserve"> patient been counselled about future avoidance of the culprit drug(s)? </w:t>
      </w:r>
    </w:p>
    <w:p w:rsidR="00BD084C" w:rsidRDefault="00BD084C" w:rsidP="00BD084C">
      <w:pPr>
        <w:pStyle w:val="NoSpacing"/>
        <w:numPr>
          <w:ilvl w:val="1"/>
          <w:numId w:val="33"/>
        </w:numPr>
        <w:spacing w:line="276" w:lineRule="auto"/>
        <w:jc w:val="both"/>
        <w:rPr>
          <w:rFonts w:ascii="Arial" w:hAnsi="Arial" w:cs="Arial"/>
          <w:b/>
        </w:rPr>
      </w:pPr>
      <w:proofErr w:type="gramStart"/>
      <w:r w:rsidRPr="006F274A">
        <w:rPr>
          <w:rFonts w:ascii="Arial" w:hAnsi="Arial" w:cs="Arial"/>
        </w:rPr>
        <w:t>a</w:t>
      </w:r>
      <w:proofErr w:type="gramEnd"/>
      <w:r w:rsidRPr="006F274A">
        <w:rPr>
          <w:rFonts w:ascii="Arial" w:hAnsi="Arial" w:cs="Arial"/>
        </w:rPr>
        <w:t xml:space="preserve"> </w:t>
      </w:r>
      <w:proofErr w:type="spellStart"/>
      <w:r w:rsidRPr="006F274A">
        <w:rPr>
          <w:rFonts w:ascii="Arial" w:hAnsi="Arial" w:cs="Arial"/>
        </w:rPr>
        <w:t>MedicAlert</w:t>
      </w:r>
      <w:proofErr w:type="spellEnd"/>
      <w:r w:rsidRPr="006F274A">
        <w:rPr>
          <w:rFonts w:ascii="Arial" w:hAnsi="Arial" w:cs="Arial"/>
        </w:rPr>
        <w:t xml:space="preserve"> bracelet/amulet been requested? </w:t>
      </w:r>
    </w:p>
    <w:p w:rsidR="00BD084C" w:rsidRPr="00297A95" w:rsidRDefault="00BD084C" w:rsidP="0085034D">
      <w:pPr>
        <w:pStyle w:val="NoSpacing"/>
        <w:spacing w:line="276" w:lineRule="auto"/>
        <w:jc w:val="both"/>
        <w:rPr>
          <w:rFonts w:ascii="Arial" w:hAnsi="Arial" w:cs="Arial"/>
          <w:b/>
        </w:rPr>
      </w:pPr>
    </w:p>
    <w:p w:rsidR="00BD084C" w:rsidRDefault="00BD084C" w:rsidP="0085034D">
      <w:pPr>
        <w:pStyle w:val="NoSpacing"/>
        <w:spacing w:line="276" w:lineRule="auto"/>
        <w:jc w:val="both"/>
        <w:rPr>
          <w:rFonts w:ascii="Arial" w:hAnsi="Arial" w:cs="Arial"/>
          <w:b/>
          <w:color w:val="00B0F0"/>
        </w:rPr>
      </w:pPr>
      <w:r w:rsidRPr="006276EE">
        <w:rPr>
          <w:rFonts w:ascii="Arial" w:hAnsi="Arial" w:cs="Arial"/>
          <w:b/>
          <w:color w:val="00B0F0"/>
        </w:rPr>
        <w:t>18.0 SUMMARY</w:t>
      </w:r>
    </w:p>
    <w:p w:rsidR="00BD084C" w:rsidRPr="006276EE" w:rsidRDefault="00BD084C" w:rsidP="0085034D">
      <w:pPr>
        <w:pStyle w:val="NoSpacing"/>
        <w:spacing w:line="276" w:lineRule="auto"/>
        <w:jc w:val="both"/>
        <w:rPr>
          <w:rFonts w:ascii="Arial" w:hAnsi="Arial" w:cs="Arial"/>
          <w:b/>
          <w:color w:val="00B0F0"/>
        </w:rPr>
      </w:pPr>
    </w:p>
    <w:p w:rsidR="00BD084C" w:rsidRDefault="00BD084C" w:rsidP="0085034D">
      <w:pPr>
        <w:pStyle w:val="NoSpacing"/>
        <w:spacing w:line="276" w:lineRule="auto"/>
        <w:jc w:val="both"/>
        <w:rPr>
          <w:rFonts w:ascii="Arial" w:hAnsi="Arial" w:cs="Arial"/>
          <w:b/>
        </w:rPr>
      </w:pPr>
      <w:r w:rsidRPr="00297A95">
        <w:rPr>
          <w:rFonts w:ascii="Arial" w:hAnsi="Arial" w:cs="Arial"/>
          <w:b/>
        </w:rPr>
        <w:t>(</w:t>
      </w:r>
      <w:proofErr w:type="gramStart"/>
      <w:r w:rsidRPr="00297A95">
        <w:rPr>
          <w:rFonts w:ascii="Arial" w:hAnsi="Arial" w:cs="Arial"/>
          <w:b/>
        </w:rPr>
        <w:t>see</w:t>
      </w:r>
      <w:proofErr w:type="gramEnd"/>
      <w:r w:rsidRPr="00297A95">
        <w:rPr>
          <w:rFonts w:ascii="Arial" w:hAnsi="Arial" w:cs="Arial"/>
          <w:b/>
        </w:rPr>
        <w:t xml:space="preserve"> full manuscript for details of evidence)</w:t>
      </w:r>
    </w:p>
    <w:p w:rsidR="00BD084C" w:rsidRDefault="00BD084C" w:rsidP="0085034D">
      <w:pPr>
        <w:pStyle w:val="NoSpacing"/>
        <w:spacing w:line="276" w:lineRule="auto"/>
        <w:jc w:val="both"/>
        <w:rPr>
          <w:rFonts w:ascii="Arial" w:hAnsi="Arial" w:cs="Arial"/>
        </w:rPr>
      </w:pPr>
      <w:r>
        <w:rPr>
          <w:rFonts w:ascii="Arial" w:hAnsi="Arial" w:cs="Arial"/>
          <w:b/>
        </w:rPr>
        <w:br w:type="page"/>
      </w:r>
    </w:p>
    <w:tbl>
      <w:tblPr>
        <w:tblW w:w="0" w:type="auto"/>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4A0" w:firstRow="1" w:lastRow="0" w:firstColumn="1" w:lastColumn="0" w:noHBand="0" w:noVBand="1"/>
      </w:tblPr>
      <w:tblGrid>
        <w:gridCol w:w="1951"/>
        <w:gridCol w:w="7291"/>
      </w:tblGrid>
      <w:tr w:rsidR="00BD084C" w:rsidRPr="00396EDD" w:rsidTr="0085034D">
        <w:tc>
          <w:tcPr>
            <w:tcW w:w="1951" w:type="dxa"/>
            <w:tcBorders>
              <w:bottom w:val="single" w:sz="2" w:space="0" w:color="FFFFFF" w:themeColor="background1"/>
            </w:tcBorders>
            <w:shd w:val="clear" w:color="auto" w:fill="00B0F0"/>
            <w:tcMar>
              <w:top w:w="28" w:type="dxa"/>
              <w:bottom w:w="28" w:type="dxa"/>
            </w:tcMar>
          </w:tcPr>
          <w:p w:rsidR="00BD084C" w:rsidRPr="004C6D4C" w:rsidRDefault="00BD084C" w:rsidP="0085034D">
            <w:pPr>
              <w:spacing w:after="0" w:line="240" w:lineRule="auto"/>
              <w:rPr>
                <w:rFonts w:ascii="Arial" w:hAnsi="Arial" w:cs="Arial"/>
                <w:b/>
                <w:color w:val="FFFFFF"/>
                <w:sz w:val="20"/>
                <w:szCs w:val="20"/>
              </w:rPr>
            </w:pPr>
            <w:r w:rsidRPr="004C6D4C">
              <w:rPr>
                <w:rFonts w:ascii="Arial" w:hAnsi="Arial" w:cs="Arial"/>
                <w:b/>
                <w:color w:val="FFFFFF"/>
                <w:sz w:val="20"/>
                <w:szCs w:val="20"/>
              </w:rPr>
              <w:lastRenderedPageBreak/>
              <w:t>Initial assessment on presentation</w:t>
            </w:r>
          </w:p>
        </w:tc>
        <w:tc>
          <w:tcPr>
            <w:tcW w:w="7291" w:type="dxa"/>
            <w:shd w:val="clear" w:color="auto" w:fill="E5F4F7"/>
            <w:tcMar>
              <w:top w:w="28" w:type="dxa"/>
              <w:bottom w:w="28" w:type="dxa"/>
            </w:tcMar>
          </w:tcPr>
          <w:p w:rsidR="00BD084C" w:rsidRPr="00396EDD" w:rsidRDefault="00BD084C" w:rsidP="00BD084C">
            <w:pPr>
              <w:numPr>
                <w:ilvl w:val="0"/>
                <w:numId w:val="18"/>
              </w:numPr>
              <w:spacing w:after="0" w:line="240" w:lineRule="auto"/>
              <w:jc w:val="both"/>
              <w:rPr>
                <w:rFonts w:ascii="Arial" w:hAnsi="Arial" w:cs="Arial"/>
                <w:sz w:val="20"/>
                <w:szCs w:val="20"/>
              </w:rPr>
            </w:pPr>
            <w:r w:rsidRPr="00396EDD">
              <w:rPr>
                <w:rFonts w:ascii="Arial" w:hAnsi="Arial" w:cs="Arial"/>
                <w:sz w:val="20"/>
                <w:szCs w:val="20"/>
              </w:rPr>
              <w:t>Take a detailed history from the patient and/or relatives</w:t>
            </w:r>
          </w:p>
          <w:p w:rsidR="00BD084C" w:rsidRPr="00396EDD" w:rsidRDefault="00BD084C" w:rsidP="00BD084C">
            <w:pPr>
              <w:numPr>
                <w:ilvl w:val="0"/>
                <w:numId w:val="18"/>
              </w:numPr>
              <w:spacing w:after="0" w:line="240" w:lineRule="auto"/>
              <w:jc w:val="both"/>
              <w:rPr>
                <w:rFonts w:ascii="Arial" w:hAnsi="Arial" w:cs="Arial"/>
                <w:sz w:val="20"/>
                <w:szCs w:val="20"/>
              </w:rPr>
            </w:pPr>
            <w:r w:rsidRPr="00396EDD">
              <w:rPr>
                <w:rFonts w:ascii="Arial" w:hAnsi="Arial" w:cs="Arial"/>
                <w:sz w:val="20"/>
                <w:szCs w:val="20"/>
              </w:rPr>
              <w:t>Perform a full physical examination</w:t>
            </w:r>
            <w:r>
              <w:rPr>
                <w:rFonts w:ascii="Arial" w:hAnsi="Arial" w:cs="Arial"/>
                <w:sz w:val="20"/>
                <w:szCs w:val="20"/>
              </w:rPr>
              <w:t>, including baseline body weight</w:t>
            </w:r>
            <w:r w:rsidRPr="00396EDD">
              <w:rPr>
                <w:rFonts w:ascii="Arial" w:hAnsi="Arial" w:cs="Arial"/>
                <w:sz w:val="20"/>
                <w:szCs w:val="20"/>
              </w:rPr>
              <w:t xml:space="preserve"> and record the vital signs</w:t>
            </w:r>
            <w:r>
              <w:rPr>
                <w:rFonts w:ascii="Arial" w:hAnsi="Arial" w:cs="Arial"/>
                <w:sz w:val="20"/>
                <w:szCs w:val="20"/>
              </w:rPr>
              <w:t>, including oxygen saturation</w:t>
            </w:r>
          </w:p>
          <w:p w:rsidR="00BD084C" w:rsidRPr="00396EDD" w:rsidRDefault="00BD084C" w:rsidP="00BD084C">
            <w:pPr>
              <w:numPr>
                <w:ilvl w:val="0"/>
                <w:numId w:val="18"/>
              </w:numPr>
              <w:spacing w:after="0" w:line="240" w:lineRule="auto"/>
              <w:jc w:val="both"/>
              <w:rPr>
                <w:rFonts w:ascii="Arial" w:hAnsi="Arial" w:cs="Arial"/>
                <w:sz w:val="20"/>
                <w:szCs w:val="20"/>
              </w:rPr>
            </w:pPr>
            <w:r w:rsidRPr="00396EDD">
              <w:rPr>
                <w:rFonts w:ascii="Arial" w:hAnsi="Arial" w:cs="Arial"/>
                <w:sz w:val="20"/>
                <w:szCs w:val="20"/>
              </w:rPr>
              <w:t xml:space="preserve">Order a set of investigations: FBC, U&amp;E, LFT, glucose, </w:t>
            </w:r>
            <w:r w:rsidRPr="007B7166">
              <w:rPr>
                <w:rFonts w:ascii="Arial" w:hAnsi="Arial" w:cs="Arial"/>
                <w:sz w:val="20"/>
                <w:szCs w:val="20"/>
              </w:rPr>
              <w:t xml:space="preserve">magnesium, phosphate, </w:t>
            </w:r>
            <w:r w:rsidRPr="00396EDD">
              <w:rPr>
                <w:rFonts w:ascii="Arial" w:hAnsi="Arial" w:cs="Arial"/>
                <w:sz w:val="20"/>
                <w:szCs w:val="20"/>
              </w:rPr>
              <w:t>bicarbonate, mycoplasma  serology, CXR, skin biopsy</w:t>
            </w:r>
            <w:r>
              <w:rPr>
                <w:rFonts w:ascii="Arial" w:hAnsi="Arial" w:cs="Arial"/>
                <w:sz w:val="20"/>
                <w:szCs w:val="20"/>
              </w:rPr>
              <w:t xml:space="preserve"> and baseline body weight</w:t>
            </w:r>
          </w:p>
          <w:p w:rsidR="00BD084C" w:rsidRPr="00396EDD" w:rsidRDefault="00BD084C" w:rsidP="00BD084C">
            <w:pPr>
              <w:numPr>
                <w:ilvl w:val="0"/>
                <w:numId w:val="18"/>
              </w:numPr>
              <w:spacing w:after="0" w:line="240" w:lineRule="auto"/>
              <w:jc w:val="both"/>
              <w:rPr>
                <w:rFonts w:ascii="Arial" w:hAnsi="Arial" w:cs="Arial"/>
                <w:sz w:val="20"/>
                <w:szCs w:val="20"/>
              </w:rPr>
            </w:pPr>
            <w:r w:rsidRPr="00396EDD">
              <w:rPr>
                <w:rFonts w:ascii="Arial" w:hAnsi="Arial" w:cs="Arial"/>
                <w:sz w:val="20"/>
                <w:szCs w:val="20"/>
              </w:rPr>
              <w:t>Initiate a primary management plan:</w:t>
            </w:r>
          </w:p>
          <w:p w:rsidR="00BD084C" w:rsidRPr="00396EDD" w:rsidRDefault="00BD084C" w:rsidP="00BD084C">
            <w:pPr>
              <w:numPr>
                <w:ilvl w:val="0"/>
                <w:numId w:val="35"/>
              </w:numPr>
              <w:spacing w:after="0" w:line="240" w:lineRule="auto"/>
              <w:jc w:val="both"/>
              <w:rPr>
                <w:rFonts w:ascii="Arial" w:hAnsi="Arial" w:cs="Arial"/>
                <w:sz w:val="20"/>
                <w:szCs w:val="20"/>
              </w:rPr>
            </w:pPr>
            <w:r w:rsidRPr="00396EDD">
              <w:rPr>
                <w:rFonts w:ascii="Arial" w:hAnsi="Arial" w:cs="Arial"/>
                <w:sz w:val="20"/>
                <w:szCs w:val="20"/>
              </w:rPr>
              <w:t>establish peripheral venous access</w:t>
            </w:r>
          </w:p>
          <w:p w:rsidR="00BD084C" w:rsidRPr="00396EDD" w:rsidRDefault="00BD084C" w:rsidP="00BD084C">
            <w:pPr>
              <w:numPr>
                <w:ilvl w:val="0"/>
                <w:numId w:val="35"/>
              </w:numPr>
              <w:spacing w:after="0" w:line="240" w:lineRule="auto"/>
              <w:jc w:val="both"/>
              <w:rPr>
                <w:rFonts w:ascii="Arial" w:hAnsi="Arial" w:cs="Arial"/>
                <w:sz w:val="20"/>
                <w:szCs w:val="20"/>
              </w:rPr>
            </w:pPr>
            <w:r w:rsidRPr="00396EDD">
              <w:rPr>
                <w:rFonts w:ascii="Arial" w:hAnsi="Arial" w:cs="Arial"/>
                <w:sz w:val="20"/>
                <w:szCs w:val="20"/>
              </w:rPr>
              <w:t>if patient cannot maintain adequate nutrition orally, insert a nasogastric tube and institute nasogastric feeding</w:t>
            </w:r>
          </w:p>
          <w:p w:rsidR="00BD084C" w:rsidRPr="00396EDD" w:rsidRDefault="00BD084C" w:rsidP="00BD084C">
            <w:pPr>
              <w:numPr>
                <w:ilvl w:val="0"/>
                <w:numId w:val="35"/>
              </w:numPr>
              <w:spacing w:after="0" w:line="240" w:lineRule="auto"/>
              <w:jc w:val="both"/>
              <w:rPr>
                <w:rFonts w:ascii="Arial" w:hAnsi="Arial" w:cs="Arial"/>
                <w:sz w:val="20"/>
                <w:szCs w:val="20"/>
              </w:rPr>
            </w:pPr>
            <w:r w:rsidRPr="00396EDD">
              <w:rPr>
                <w:rFonts w:ascii="Arial" w:hAnsi="Arial" w:cs="Arial"/>
                <w:sz w:val="20"/>
                <w:szCs w:val="20"/>
              </w:rPr>
              <w:t>insert a urinary catheter if urogenital involvement is causing significant dysuria/retention</w:t>
            </w:r>
          </w:p>
          <w:p w:rsidR="00BD084C" w:rsidRPr="00396EDD" w:rsidRDefault="00BD084C" w:rsidP="0085034D">
            <w:pPr>
              <w:spacing w:after="0" w:line="240" w:lineRule="auto"/>
              <w:jc w:val="both"/>
              <w:rPr>
                <w:rFonts w:ascii="Arial" w:hAnsi="Arial" w:cs="Arial"/>
                <w:b/>
                <w:sz w:val="20"/>
                <w:szCs w:val="20"/>
              </w:rPr>
            </w:pPr>
            <w:r w:rsidRPr="00396EDD">
              <w:rPr>
                <w:rFonts w:ascii="Arial" w:hAnsi="Arial" w:cs="Arial"/>
                <w:b/>
                <w:sz w:val="20"/>
                <w:szCs w:val="20"/>
              </w:rPr>
              <w:t>(Strength of recommendation D (GPP))</w:t>
            </w:r>
          </w:p>
        </w:tc>
      </w:tr>
      <w:tr w:rsidR="00BD084C" w:rsidRPr="00396EDD" w:rsidTr="0085034D">
        <w:tc>
          <w:tcPr>
            <w:tcW w:w="1951" w:type="dxa"/>
            <w:tcBorders>
              <w:top w:val="single" w:sz="2" w:space="0" w:color="FFFFFF" w:themeColor="background1"/>
              <w:bottom w:val="single" w:sz="2" w:space="0" w:color="FFFFFF" w:themeColor="background1"/>
            </w:tcBorders>
            <w:shd w:val="clear" w:color="auto" w:fill="00B0F0"/>
            <w:tcMar>
              <w:top w:w="28" w:type="dxa"/>
              <w:bottom w:w="28" w:type="dxa"/>
            </w:tcMar>
          </w:tcPr>
          <w:p w:rsidR="00BD084C" w:rsidRPr="004C6D4C" w:rsidRDefault="00BD084C" w:rsidP="0085034D">
            <w:pPr>
              <w:spacing w:after="0" w:line="240" w:lineRule="auto"/>
              <w:rPr>
                <w:rFonts w:ascii="Arial" w:hAnsi="Arial" w:cs="Arial"/>
                <w:b/>
                <w:color w:val="FFFFFF"/>
                <w:sz w:val="20"/>
                <w:szCs w:val="20"/>
              </w:rPr>
            </w:pPr>
            <w:r w:rsidRPr="004C6D4C">
              <w:rPr>
                <w:rFonts w:ascii="Arial" w:hAnsi="Arial" w:cs="Arial"/>
                <w:b/>
                <w:color w:val="FFFFFF"/>
                <w:sz w:val="20"/>
                <w:szCs w:val="20"/>
              </w:rPr>
              <w:t>Determination of drug causality</w:t>
            </w:r>
          </w:p>
        </w:tc>
        <w:tc>
          <w:tcPr>
            <w:tcW w:w="7291" w:type="dxa"/>
            <w:shd w:val="clear" w:color="auto" w:fill="E5F4F7"/>
            <w:tcMar>
              <w:top w:w="28" w:type="dxa"/>
              <w:bottom w:w="28" w:type="dxa"/>
            </w:tcMar>
          </w:tcPr>
          <w:p w:rsidR="00BD084C" w:rsidRPr="00396EDD" w:rsidRDefault="00BD084C" w:rsidP="00BD084C">
            <w:pPr>
              <w:numPr>
                <w:ilvl w:val="0"/>
                <w:numId w:val="19"/>
              </w:numPr>
              <w:spacing w:after="0" w:line="240" w:lineRule="auto"/>
              <w:jc w:val="both"/>
              <w:rPr>
                <w:rFonts w:ascii="Arial" w:hAnsi="Arial" w:cs="Arial"/>
                <w:sz w:val="20"/>
                <w:szCs w:val="20"/>
              </w:rPr>
            </w:pPr>
            <w:r w:rsidRPr="00396EDD">
              <w:rPr>
                <w:rFonts w:ascii="Arial" w:hAnsi="Arial" w:cs="Arial"/>
                <w:sz w:val="20"/>
                <w:szCs w:val="20"/>
              </w:rPr>
              <w:t>Identify causative agent and withdraw immediately</w:t>
            </w:r>
          </w:p>
          <w:p w:rsidR="00BD084C" w:rsidRPr="00396EDD" w:rsidRDefault="00BD084C" w:rsidP="0085034D">
            <w:pPr>
              <w:spacing w:after="0" w:line="240" w:lineRule="auto"/>
              <w:jc w:val="both"/>
              <w:rPr>
                <w:rFonts w:ascii="Arial" w:hAnsi="Arial" w:cs="Arial"/>
                <w:b/>
                <w:sz w:val="20"/>
                <w:szCs w:val="20"/>
              </w:rPr>
            </w:pPr>
            <w:r w:rsidRPr="00396EDD">
              <w:rPr>
                <w:rFonts w:ascii="Arial" w:hAnsi="Arial" w:cs="Arial"/>
                <w:b/>
                <w:sz w:val="20"/>
                <w:szCs w:val="20"/>
              </w:rPr>
              <w:t>(Strength of recommendation D)</w:t>
            </w:r>
          </w:p>
        </w:tc>
      </w:tr>
      <w:tr w:rsidR="00BD084C" w:rsidRPr="00396EDD" w:rsidTr="0085034D">
        <w:tc>
          <w:tcPr>
            <w:tcW w:w="1951" w:type="dxa"/>
            <w:tcBorders>
              <w:top w:val="single" w:sz="2" w:space="0" w:color="FFFFFF" w:themeColor="background1"/>
              <w:bottom w:val="single" w:sz="2" w:space="0" w:color="FFFFFF" w:themeColor="background1"/>
            </w:tcBorders>
            <w:shd w:val="clear" w:color="auto" w:fill="00B0F0"/>
            <w:tcMar>
              <w:top w:w="28" w:type="dxa"/>
              <w:bottom w:w="28" w:type="dxa"/>
            </w:tcMar>
          </w:tcPr>
          <w:p w:rsidR="00BD084C" w:rsidRPr="004C6D4C" w:rsidRDefault="00BD084C" w:rsidP="0085034D">
            <w:pPr>
              <w:spacing w:after="0" w:line="240" w:lineRule="auto"/>
              <w:jc w:val="both"/>
              <w:rPr>
                <w:rFonts w:ascii="Arial" w:hAnsi="Arial" w:cs="Arial"/>
                <w:b/>
                <w:color w:val="FFFFFF"/>
                <w:sz w:val="20"/>
                <w:szCs w:val="20"/>
              </w:rPr>
            </w:pPr>
            <w:r w:rsidRPr="004C6D4C">
              <w:rPr>
                <w:rFonts w:ascii="Arial" w:hAnsi="Arial" w:cs="Arial"/>
                <w:b/>
                <w:color w:val="FFFFFF"/>
                <w:sz w:val="20"/>
                <w:szCs w:val="20"/>
              </w:rPr>
              <w:t>Prognostic scoring</w:t>
            </w:r>
          </w:p>
        </w:tc>
        <w:tc>
          <w:tcPr>
            <w:tcW w:w="7291" w:type="dxa"/>
            <w:shd w:val="clear" w:color="auto" w:fill="E5F4F7"/>
            <w:tcMar>
              <w:top w:w="28" w:type="dxa"/>
              <w:bottom w:w="28" w:type="dxa"/>
            </w:tcMar>
          </w:tcPr>
          <w:p w:rsidR="00BD084C" w:rsidRPr="00396EDD" w:rsidRDefault="00BD084C" w:rsidP="00BD084C">
            <w:pPr>
              <w:numPr>
                <w:ilvl w:val="0"/>
                <w:numId w:val="20"/>
              </w:numPr>
              <w:spacing w:after="0" w:line="240" w:lineRule="auto"/>
              <w:jc w:val="both"/>
              <w:rPr>
                <w:rFonts w:ascii="Arial" w:hAnsi="Arial" w:cs="Arial"/>
                <w:sz w:val="20"/>
                <w:szCs w:val="20"/>
              </w:rPr>
            </w:pPr>
            <w:r w:rsidRPr="00396EDD">
              <w:rPr>
                <w:rFonts w:ascii="Arial" w:hAnsi="Arial" w:cs="Arial"/>
                <w:sz w:val="20"/>
                <w:szCs w:val="20"/>
              </w:rPr>
              <w:t>Calculate SCORTEN within the first 24 hours</w:t>
            </w:r>
          </w:p>
          <w:p w:rsidR="00BD084C" w:rsidRPr="00396EDD" w:rsidRDefault="00BD084C" w:rsidP="0085034D">
            <w:pPr>
              <w:spacing w:after="0" w:line="240" w:lineRule="auto"/>
              <w:jc w:val="both"/>
              <w:rPr>
                <w:rFonts w:ascii="Arial" w:hAnsi="Arial" w:cs="Arial"/>
                <w:b/>
                <w:sz w:val="20"/>
                <w:szCs w:val="20"/>
              </w:rPr>
            </w:pPr>
            <w:r w:rsidRPr="00396EDD">
              <w:rPr>
                <w:rFonts w:ascii="Arial" w:hAnsi="Arial" w:cs="Arial"/>
                <w:b/>
                <w:sz w:val="20"/>
                <w:szCs w:val="20"/>
              </w:rPr>
              <w:t>(Strength of recommendation C)</w:t>
            </w:r>
          </w:p>
        </w:tc>
      </w:tr>
      <w:tr w:rsidR="00BD084C" w:rsidRPr="00396EDD" w:rsidTr="0085034D">
        <w:tc>
          <w:tcPr>
            <w:tcW w:w="1951" w:type="dxa"/>
            <w:tcBorders>
              <w:top w:val="single" w:sz="2" w:space="0" w:color="FFFFFF" w:themeColor="background1"/>
              <w:bottom w:val="single" w:sz="2" w:space="0" w:color="FFFFFF" w:themeColor="background1"/>
            </w:tcBorders>
            <w:shd w:val="clear" w:color="auto" w:fill="00B0F0"/>
            <w:tcMar>
              <w:top w:w="28" w:type="dxa"/>
              <w:bottom w:w="28" w:type="dxa"/>
            </w:tcMar>
          </w:tcPr>
          <w:p w:rsidR="00BD084C" w:rsidRPr="004C6D4C" w:rsidRDefault="00BD084C" w:rsidP="0085034D">
            <w:pPr>
              <w:spacing w:after="0" w:line="240" w:lineRule="auto"/>
              <w:jc w:val="both"/>
              <w:rPr>
                <w:rFonts w:ascii="Arial" w:hAnsi="Arial" w:cs="Arial"/>
                <w:b/>
                <w:color w:val="FFFFFF"/>
                <w:sz w:val="20"/>
                <w:szCs w:val="20"/>
              </w:rPr>
            </w:pPr>
            <w:r w:rsidRPr="004C6D4C">
              <w:rPr>
                <w:rFonts w:ascii="Arial" w:hAnsi="Arial" w:cs="Arial"/>
                <w:b/>
                <w:color w:val="FFFFFF"/>
                <w:sz w:val="20"/>
                <w:szCs w:val="20"/>
              </w:rPr>
              <w:t>Care setting</w:t>
            </w:r>
          </w:p>
        </w:tc>
        <w:tc>
          <w:tcPr>
            <w:tcW w:w="7291" w:type="dxa"/>
            <w:shd w:val="clear" w:color="auto" w:fill="E5F4F7"/>
            <w:tcMar>
              <w:top w:w="28" w:type="dxa"/>
              <w:bottom w:w="28" w:type="dxa"/>
            </w:tcMar>
          </w:tcPr>
          <w:p w:rsidR="00BD084C" w:rsidRPr="00396EDD" w:rsidRDefault="00BD084C" w:rsidP="00BD084C">
            <w:pPr>
              <w:numPr>
                <w:ilvl w:val="0"/>
                <w:numId w:val="20"/>
              </w:numPr>
              <w:spacing w:after="0" w:line="240" w:lineRule="auto"/>
              <w:jc w:val="both"/>
              <w:rPr>
                <w:rFonts w:ascii="Arial" w:hAnsi="Arial" w:cs="Arial"/>
                <w:sz w:val="20"/>
                <w:szCs w:val="20"/>
              </w:rPr>
            </w:pPr>
            <w:r w:rsidRPr="00396EDD">
              <w:rPr>
                <w:rFonts w:ascii="Arial" w:hAnsi="Arial" w:cs="Arial"/>
                <w:sz w:val="20"/>
                <w:szCs w:val="20"/>
              </w:rPr>
              <w:t xml:space="preserve">A multi-disciplinary team should be convened, co-ordinated by a specialist in </w:t>
            </w:r>
            <w:r>
              <w:rPr>
                <w:rFonts w:ascii="Arial" w:hAnsi="Arial" w:cs="Arial"/>
                <w:sz w:val="20"/>
                <w:szCs w:val="20"/>
              </w:rPr>
              <w:t>skin failure, usually  dermatology and/or plastic surgery,</w:t>
            </w:r>
            <w:r w:rsidRPr="00396EDD">
              <w:rPr>
                <w:rFonts w:ascii="Arial" w:hAnsi="Arial" w:cs="Arial"/>
                <w:sz w:val="20"/>
                <w:szCs w:val="20"/>
              </w:rPr>
              <w:t xml:space="preserve"> and including clinicians from intensive care, ophthalmology and skin-care nursing </w:t>
            </w:r>
          </w:p>
          <w:p w:rsidR="00BD084C" w:rsidRPr="00396EDD" w:rsidRDefault="00BD084C" w:rsidP="00BD084C">
            <w:pPr>
              <w:numPr>
                <w:ilvl w:val="0"/>
                <w:numId w:val="20"/>
              </w:numPr>
              <w:spacing w:after="0" w:line="240" w:lineRule="auto"/>
              <w:jc w:val="both"/>
              <w:rPr>
                <w:rFonts w:ascii="Arial" w:hAnsi="Arial" w:cs="Arial"/>
                <w:sz w:val="20"/>
                <w:szCs w:val="20"/>
              </w:rPr>
            </w:pPr>
            <w:r w:rsidRPr="00396EDD">
              <w:rPr>
                <w:rFonts w:ascii="Arial" w:hAnsi="Arial" w:cs="Arial"/>
                <w:sz w:val="20"/>
                <w:szCs w:val="20"/>
              </w:rPr>
              <w:t>Patients with greater than 10% BSA</w:t>
            </w:r>
            <w:r>
              <w:rPr>
                <w:rFonts w:ascii="Arial" w:hAnsi="Arial" w:cs="Arial"/>
                <w:sz w:val="20"/>
                <w:szCs w:val="20"/>
              </w:rPr>
              <w:t xml:space="preserve"> epidermal loss</w:t>
            </w:r>
            <w:r w:rsidRPr="00396EDD">
              <w:rPr>
                <w:rFonts w:ascii="Arial" w:hAnsi="Arial" w:cs="Arial"/>
                <w:sz w:val="20"/>
                <w:szCs w:val="20"/>
              </w:rPr>
              <w:t xml:space="preserve"> should be admitted without delay to a </w:t>
            </w:r>
            <w:r>
              <w:rPr>
                <w:rFonts w:ascii="Arial" w:hAnsi="Arial" w:cs="Arial"/>
                <w:sz w:val="20"/>
                <w:szCs w:val="20"/>
              </w:rPr>
              <w:t>B</w:t>
            </w:r>
            <w:r w:rsidRPr="00396EDD">
              <w:rPr>
                <w:rFonts w:ascii="Arial" w:hAnsi="Arial" w:cs="Arial"/>
                <w:sz w:val="20"/>
                <w:szCs w:val="20"/>
              </w:rPr>
              <w:t xml:space="preserve">urn </w:t>
            </w:r>
            <w:r>
              <w:rPr>
                <w:rFonts w:ascii="Arial" w:hAnsi="Arial" w:cs="Arial"/>
                <w:sz w:val="20"/>
                <w:szCs w:val="20"/>
              </w:rPr>
              <w:t>Centre or ICU with experience of treating patients with SJS/TEN</w:t>
            </w:r>
            <w:r>
              <w:t xml:space="preserve"> </w:t>
            </w:r>
            <w:r w:rsidRPr="0080672F">
              <w:rPr>
                <w:rFonts w:ascii="Arial" w:hAnsi="Arial" w:cs="Arial"/>
                <w:sz w:val="20"/>
                <w:szCs w:val="20"/>
              </w:rPr>
              <w:t>and facilities to manage the logistics of extensive skin loss wound care</w:t>
            </w:r>
          </w:p>
          <w:p w:rsidR="00BD084C" w:rsidRPr="00396EDD" w:rsidRDefault="00BD084C" w:rsidP="00BD084C">
            <w:pPr>
              <w:numPr>
                <w:ilvl w:val="0"/>
                <w:numId w:val="20"/>
              </w:numPr>
              <w:spacing w:after="0" w:line="240" w:lineRule="auto"/>
              <w:jc w:val="both"/>
              <w:rPr>
                <w:rFonts w:ascii="Arial" w:hAnsi="Arial" w:cs="Arial"/>
                <w:sz w:val="20"/>
                <w:szCs w:val="20"/>
              </w:rPr>
            </w:pPr>
            <w:r w:rsidRPr="00396EDD">
              <w:rPr>
                <w:rFonts w:ascii="Arial" w:hAnsi="Arial" w:cs="Arial"/>
                <w:sz w:val="20"/>
                <w:szCs w:val="20"/>
              </w:rPr>
              <w:t xml:space="preserve">Patients must be </w:t>
            </w:r>
            <w:r>
              <w:rPr>
                <w:rFonts w:ascii="Arial" w:hAnsi="Arial" w:cs="Arial"/>
                <w:sz w:val="20"/>
                <w:szCs w:val="20"/>
              </w:rPr>
              <w:t>barrier-</w:t>
            </w:r>
            <w:r w:rsidRPr="00396EDD">
              <w:rPr>
                <w:rFonts w:ascii="Arial" w:hAnsi="Arial" w:cs="Arial"/>
                <w:sz w:val="20"/>
                <w:szCs w:val="20"/>
              </w:rPr>
              <w:t xml:space="preserve">nursed in a side room </w:t>
            </w:r>
            <w:r w:rsidRPr="000D343E">
              <w:rPr>
                <w:rFonts w:ascii="Arial" w:hAnsi="Arial" w:cs="Arial"/>
                <w:sz w:val="20"/>
                <w:szCs w:val="20"/>
              </w:rPr>
              <w:t xml:space="preserve">controlled for humidity, </w:t>
            </w:r>
            <w:r w:rsidRPr="00396EDD">
              <w:rPr>
                <w:rFonts w:ascii="Arial" w:hAnsi="Arial" w:cs="Arial"/>
                <w:sz w:val="20"/>
                <w:szCs w:val="20"/>
              </w:rPr>
              <w:t xml:space="preserve">on a pressure-relieving mattress with the ambient temperature raised to between 25° and 28°C </w:t>
            </w:r>
          </w:p>
          <w:p w:rsidR="00BD084C" w:rsidRPr="00396EDD" w:rsidRDefault="00BD084C" w:rsidP="0085034D">
            <w:pPr>
              <w:spacing w:after="0" w:line="240" w:lineRule="auto"/>
              <w:jc w:val="both"/>
              <w:rPr>
                <w:rFonts w:ascii="Arial" w:hAnsi="Arial" w:cs="Arial"/>
                <w:b/>
                <w:sz w:val="20"/>
                <w:szCs w:val="20"/>
              </w:rPr>
            </w:pPr>
            <w:r w:rsidRPr="00396EDD">
              <w:rPr>
                <w:rFonts w:ascii="Arial" w:hAnsi="Arial" w:cs="Arial"/>
                <w:b/>
                <w:sz w:val="20"/>
                <w:szCs w:val="20"/>
              </w:rPr>
              <w:t>(Strength of recommendation D (GPP))</w:t>
            </w:r>
          </w:p>
        </w:tc>
      </w:tr>
      <w:tr w:rsidR="00BD084C" w:rsidRPr="00396EDD" w:rsidTr="0085034D">
        <w:tc>
          <w:tcPr>
            <w:tcW w:w="1951" w:type="dxa"/>
            <w:tcBorders>
              <w:top w:val="single" w:sz="2" w:space="0" w:color="FFFFFF" w:themeColor="background1"/>
              <w:bottom w:val="single" w:sz="2" w:space="0" w:color="FFFFFF" w:themeColor="background1"/>
            </w:tcBorders>
            <w:shd w:val="clear" w:color="auto" w:fill="00B0F0"/>
            <w:tcMar>
              <w:top w:w="28" w:type="dxa"/>
              <w:bottom w:w="28" w:type="dxa"/>
            </w:tcMar>
          </w:tcPr>
          <w:p w:rsidR="00BD084C" w:rsidRDefault="00BD084C" w:rsidP="0085034D">
            <w:pPr>
              <w:spacing w:after="0" w:line="240" w:lineRule="auto"/>
              <w:jc w:val="both"/>
            </w:pPr>
            <w:r w:rsidRPr="004C6D4C">
              <w:rPr>
                <w:rFonts w:ascii="Arial" w:hAnsi="Arial" w:cs="Arial"/>
                <w:b/>
                <w:color w:val="FFFFFF"/>
                <w:sz w:val="20"/>
                <w:szCs w:val="20"/>
              </w:rPr>
              <w:t>Skin management regimen</w:t>
            </w:r>
            <w:r>
              <w:rPr>
                <w:rFonts w:ascii="Arial" w:hAnsi="Arial" w:cs="Arial"/>
                <w:b/>
                <w:color w:val="FFFFFF"/>
                <w:sz w:val="20"/>
                <w:szCs w:val="20"/>
              </w:rPr>
              <w:t xml:space="preserve"> 1</w:t>
            </w:r>
            <w:r>
              <w:t xml:space="preserve"> </w:t>
            </w:r>
          </w:p>
          <w:p w:rsidR="00BD084C" w:rsidRPr="00DD469F" w:rsidRDefault="00BD084C" w:rsidP="0085034D">
            <w:pPr>
              <w:spacing w:after="0" w:line="240" w:lineRule="auto"/>
              <w:jc w:val="both"/>
              <w:rPr>
                <w:sz w:val="16"/>
                <w:szCs w:val="16"/>
              </w:rPr>
            </w:pPr>
          </w:p>
          <w:p w:rsidR="00BD084C" w:rsidRPr="00DD469F" w:rsidRDefault="00BD084C" w:rsidP="0085034D">
            <w:pPr>
              <w:spacing w:after="0" w:line="240" w:lineRule="auto"/>
              <w:rPr>
                <w:rFonts w:ascii="Arial" w:hAnsi="Arial" w:cs="Arial"/>
                <w:b/>
                <w:i/>
                <w:color w:val="FFFFFF"/>
                <w:sz w:val="20"/>
                <w:szCs w:val="20"/>
              </w:rPr>
            </w:pPr>
            <w:r w:rsidRPr="00DD469F">
              <w:rPr>
                <w:rFonts w:ascii="Arial" w:hAnsi="Arial" w:cs="Arial"/>
                <w:b/>
                <w:i/>
                <w:color w:val="FFFFFF"/>
                <w:sz w:val="20"/>
                <w:szCs w:val="20"/>
              </w:rPr>
              <w:t>Applicable to all patients in all settings</w:t>
            </w:r>
          </w:p>
        </w:tc>
        <w:tc>
          <w:tcPr>
            <w:tcW w:w="7291" w:type="dxa"/>
            <w:shd w:val="clear" w:color="auto" w:fill="E5F4F7"/>
            <w:tcMar>
              <w:top w:w="28" w:type="dxa"/>
              <w:bottom w:w="28" w:type="dxa"/>
            </w:tcMar>
          </w:tcPr>
          <w:p w:rsidR="00BD084C" w:rsidRDefault="00BD084C" w:rsidP="00BD084C">
            <w:pPr>
              <w:numPr>
                <w:ilvl w:val="0"/>
                <w:numId w:val="22"/>
              </w:numPr>
              <w:spacing w:after="0" w:line="240" w:lineRule="auto"/>
              <w:jc w:val="both"/>
              <w:rPr>
                <w:rFonts w:ascii="Arial" w:hAnsi="Arial" w:cs="Arial"/>
                <w:sz w:val="20"/>
                <w:szCs w:val="20"/>
              </w:rPr>
            </w:pPr>
            <w:r>
              <w:rPr>
                <w:rFonts w:ascii="Arial" w:hAnsi="Arial" w:cs="Arial"/>
                <w:sz w:val="20"/>
                <w:szCs w:val="20"/>
              </w:rPr>
              <w:t>Employ strict barrier nursing to reduce nosocomial infections</w:t>
            </w:r>
          </w:p>
          <w:p w:rsidR="00BD084C" w:rsidRPr="000167A8" w:rsidRDefault="00BD084C" w:rsidP="00BD084C">
            <w:pPr>
              <w:numPr>
                <w:ilvl w:val="0"/>
                <w:numId w:val="22"/>
              </w:numPr>
              <w:spacing w:after="0" w:line="240" w:lineRule="auto"/>
              <w:jc w:val="both"/>
              <w:rPr>
                <w:rFonts w:ascii="Arial" w:hAnsi="Arial" w:cs="Arial"/>
                <w:b/>
                <w:sz w:val="20"/>
                <w:szCs w:val="20"/>
              </w:rPr>
            </w:pPr>
            <w:r>
              <w:rPr>
                <w:rFonts w:ascii="Arial" w:hAnsi="Arial" w:cs="Arial"/>
                <w:sz w:val="20"/>
                <w:szCs w:val="20"/>
              </w:rPr>
              <w:t>Take swabs</w:t>
            </w:r>
            <w:r w:rsidRPr="005E67C6">
              <w:rPr>
                <w:rFonts w:ascii="Arial" w:hAnsi="Arial" w:cs="Arial"/>
                <w:sz w:val="20"/>
                <w:szCs w:val="20"/>
              </w:rPr>
              <w:t xml:space="preserve"> </w:t>
            </w:r>
            <w:r>
              <w:rPr>
                <w:rFonts w:ascii="Arial" w:hAnsi="Arial" w:cs="Arial"/>
                <w:sz w:val="20"/>
                <w:szCs w:val="20"/>
              </w:rPr>
              <w:t xml:space="preserve">for bacterial and </w:t>
            </w:r>
            <w:proofErr w:type="spellStart"/>
            <w:r>
              <w:rPr>
                <w:rFonts w:ascii="Arial" w:hAnsi="Arial" w:cs="Arial"/>
                <w:sz w:val="20"/>
                <w:szCs w:val="20"/>
              </w:rPr>
              <w:t>candidal</w:t>
            </w:r>
            <w:proofErr w:type="spellEnd"/>
            <w:r>
              <w:rPr>
                <w:rFonts w:ascii="Arial" w:hAnsi="Arial" w:cs="Arial"/>
                <w:sz w:val="20"/>
                <w:szCs w:val="20"/>
              </w:rPr>
              <w:t xml:space="preserve"> culture</w:t>
            </w:r>
            <w:r w:rsidRPr="005E67C6">
              <w:rPr>
                <w:rFonts w:ascii="Arial" w:hAnsi="Arial" w:cs="Arial"/>
                <w:sz w:val="20"/>
                <w:szCs w:val="20"/>
              </w:rPr>
              <w:t xml:space="preserve"> from three areas of </w:t>
            </w:r>
            <w:proofErr w:type="spellStart"/>
            <w:r w:rsidRPr="005E67C6">
              <w:rPr>
                <w:rFonts w:ascii="Arial" w:hAnsi="Arial" w:cs="Arial"/>
                <w:sz w:val="20"/>
                <w:szCs w:val="20"/>
              </w:rPr>
              <w:t>lesional</w:t>
            </w:r>
            <w:proofErr w:type="spellEnd"/>
            <w:r w:rsidRPr="005E67C6">
              <w:rPr>
                <w:rFonts w:ascii="Arial" w:hAnsi="Arial" w:cs="Arial"/>
                <w:sz w:val="20"/>
                <w:szCs w:val="20"/>
              </w:rPr>
              <w:t xml:space="preserve"> skin, particularly sloughy or crusted areas, on alternate days throughout the acute phase</w:t>
            </w:r>
          </w:p>
          <w:p w:rsidR="00BD084C" w:rsidRPr="00195C75" w:rsidRDefault="00BD084C" w:rsidP="00BD084C">
            <w:pPr>
              <w:numPr>
                <w:ilvl w:val="0"/>
                <w:numId w:val="22"/>
              </w:numPr>
              <w:spacing w:after="0" w:line="240" w:lineRule="auto"/>
              <w:jc w:val="both"/>
              <w:rPr>
                <w:rFonts w:ascii="Arial" w:hAnsi="Arial" w:cs="Arial"/>
                <w:b/>
                <w:sz w:val="20"/>
                <w:szCs w:val="20"/>
              </w:rPr>
            </w:pPr>
            <w:r w:rsidRPr="00195C75">
              <w:rPr>
                <w:rFonts w:ascii="Arial" w:hAnsi="Arial" w:cs="Arial"/>
                <w:sz w:val="20"/>
                <w:szCs w:val="20"/>
              </w:rPr>
              <w:t>Administer systemic antibiotics only if there are clinical signs of infection</w:t>
            </w:r>
          </w:p>
          <w:p w:rsidR="00BD084C" w:rsidRPr="00396EDD" w:rsidRDefault="00BD084C" w:rsidP="0085034D">
            <w:pPr>
              <w:spacing w:after="0" w:line="240" w:lineRule="auto"/>
              <w:jc w:val="both"/>
              <w:rPr>
                <w:rFonts w:ascii="Arial" w:hAnsi="Arial" w:cs="Arial"/>
                <w:b/>
                <w:sz w:val="20"/>
                <w:szCs w:val="20"/>
              </w:rPr>
            </w:pPr>
            <w:r w:rsidRPr="005E67C6" w:rsidDel="007B7166">
              <w:rPr>
                <w:rFonts w:ascii="Arial" w:hAnsi="Arial" w:cs="Arial"/>
                <w:sz w:val="20"/>
                <w:szCs w:val="20"/>
              </w:rPr>
              <w:t xml:space="preserve"> </w:t>
            </w:r>
            <w:r w:rsidRPr="005E67C6">
              <w:rPr>
                <w:rFonts w:ascii="Arial" w:hAnsi="Arial" w:cs="Arial"/>
                <w:b/>
                <w:sz w:val="20"/>
                <w:szCs w:val="20"/>
              </w:rPr>
              <w:t>(Strength of recommendation D (GPP))</w:t>
            </w:r>
          </w:p>
        </w:tc>
      </w:tr>
      <w:tr w:rsidR="00BD084C" w:rsidRPr="00396EDD" w:rsidTr="0085034D">
        <w:tc>
          <w:tcPr>
            <w:tcW w:w="1951" w:type="dxa"/>
            <w:tcBorders>
              <w:top w:val="single" w:sz="2" w:space="0" w:color="FFFFFF" w:themeColor="background1"/>
            </w:tcBorders>
            <w:shd w:val="clear" w:color="auto" w:fill="00B0F0"/>
            <w:tcMar>
              <w:top w:w="28" w:type="dxa"/>
              <w:bottom w:w="28" w:type="dxa"/>
            </w:tcMar>
          </w:tcPr>
          <w:p w:rsidR="00BD084C" w:rsidRPr="00195C75" w:rsidRDefault="00BD084C" w:rsidP="0085034D">
            <w:pPr>
              <w:spacing w:after="0" w:line="240" w:lineRule="auto"/>
              <w:jc w:val="both"/>
              <w:rPr>
                <w:rFonts w:ascii="Arial" w:hAnsi="Arial" w:cs="Arial"/>
                <w:b/>
                <w:color w:val="FFFFFF"/>
                <w:sz w:val="20"/>
                <w:szCs w:val="20"/>
              </w:rPr>
            </w:pPr>
            <w:r w:rsidRPr="00195C75">
              <w:rPr>
                <w:rFonts w:ascii="Arial" w:hAnsi="Arial" w:cs="Arial"/>
                <w:b/>
                <w:color w:val="FFFFFF"/>
                <w:sz w:val="20"/>
                <w:szCs w:val="20"/>
              </w:rPr>
              <w:t xml:space="preserve">Skin management regimen </w:t>
            </w:r>
            <w:r>
              <w:rPr>
                <w:rFonts w:ascii="Arial" w:hAnsi="Arial" w:cs="Arial"/>
                <w:b/>
                <w:color w:val="FFFFFF"/>
                <w:sz w:val="20"/>
                <w:szCs w:val="20"/>
              </w:rPr>
              <w:t>2</w:t>
            </w:r>
          </w:p>
          <w:p w:rsidR="00BD084C" w:rsidRPr="00DD469F" w:rsidRDefault="00BD084C" w:rsidP="0085034D">
            <w:pPr>
              <w:spacing w:after="0" w:line="240" w:lineRule="auto"/>
              <w:jc w:val="both"/>
              <w:rPr>
                <w:rFonts w:ascii="Arial" w:hAnsi="Arial" w:cs="Arial"/>
                <w:b/>
                <w:color w:val="FFFFFF"/>
                <w:sz w:val="16"/>
                <w:szCs w:val="16"/>
              </w:rPr>
            </w:pPr>
          </w:p>
          <w:p w:rsidR="00BD084C" w:rsidRPr="00DD469F" w:rsidRDefault="00BD084C" w:rsidP="0085034D">
            <w:pPr>
              <w:spacing w:after="0" w:line="240" w:lineRule="auto"/>
              <w:rPr>
                <w:rFonts w:ascii="Arial" w:hAnsi="Arial" w:cs="Arial"/>
                <w:b/>
                <w:i/>
                <w:color w:val="FFFFFF"/>
                <w:sz w:val="20"/>
                <w:szCs w:val="20"/>
              </w:rPr>
            </w:pPr>
            <w:r w:rsidRPr="00DD469F">
              <w:rPr>
                <w:rFonts w:ascii="Arial" w:hAnsi="Arial" w:cs="Arial"/>
                <w:b/>
                <w:i/>
                <w:color w:val="FFFFFF"/>
                <w:sz w:val="20"/>
                <w:szCs w:val="20"/>
              </w:rPr>
              <w:t>This  may involve a conservative and/or surgical approach based on the specialist multi-disciplinary team’s daily review of the individual needs of the patient</w:t>
            </w:r>
          </w:p>
        </w:tc>
        <w:tc>
          <w:tcPr>
            <w:tcW w:w="7291" w:type="dxa"/>
            <w:shd w:val="clear" w:color="auto" w:fill="E5F4F7"/>
            <w:tcMar>
              <w:top w:w="28" w:type="dxa"/>
              <w:bottom w:w="28" w:type="dxa"/>
            </w:tcMar>
          </w:tcPr>
          <w:p w:rsidR="00BD084C" w:rsidRPr="00CC0C44" w:rsidRDefault="00BD084C" w:rsidP="0085034D">
            <w:pPr>
              <w:spacing w:after="0" w:line="240" w:lineRule="auto"/>
              <w:jc w:val="both"/>
              <w:rPr>
                <w:rFonts w:ascii="Arial" w:hAnsi="Arial" w:cs="Arial"/>
                <w:b/>
                <w:sz w:val="20"/>
                <w:szCs w:val="20"/>
              </w:rPr>
            </w:pPr>
            <w:r w:rsidRPr="00CC0C44">
              <w:rPr>
                <w:rFonts w:ascii="Arial" w:hAnsi="Arial" w:cs="Arial"/>
                <w:b/>
                <w:sz w:val="20"/>
                <w:szCs w:val="20"/>
              </w:rPr>
              <w:t>Institute a conservative approach in all patients as follows:</w:t>
            </w:r>
          </w:p>
          <w:p w:rsidR="00BD084C" w:rsidRPr="00AE5BCF" w:rsidRDefault="00BD084C" w:rsidP="00BD084C">
            <w:pPr>
              <w:numPr>
                <w:ilvl w:val="0"/>
                <w:numId w:val="36"/>
              </w:numPr>
              <w:spacing w:after="0" w:line="240" w:lineRule="auto"/>
              <w:ind w:left="360"/>
              <w:jc w:val="both"/>
              <w:rPr>
                <w:rFonts w:ascii="Arial" w:hAnsi="Arial" w:cs="Arial"/>
                <w:sz w:val="20"/>
                <w:szCs w:val="20"/>
              </w:rPr>
            </w:pPr>
            <w:r w:rsidRPr="00AE5BCF">
              <w:rPr>
                <w:rFonts w:ascii="Arial" w:hAnsi="Arial" w:cs="Arial"/>
                <w:sz w:val="20"/>
                <w:szCs w:val="20"/>
              </w:rPr>
              <w:t>Regularly cleanse wounds and intact skin by irrigating gently using warmed sterile water, saline or an antimicrobial such as chlorhexidine (1/5000)</w:t>
            </w:r>
          </w:p>
          <w:p w:rsidR="00BD084C" w:rsidRPr="00AE5BCF" w:rsidRDefault="00BD084C" w:rsidP="00BD084C">
            <w:pPr>
              <w:numPr>
                <w:ilvl w:val="0"/>
                <w:numId w:val="36"/>
              </w:numPr>
              <w:autoSpaceDE w:val="0"/>
              <w:autoSpaceDN w:val="0"/>
              <w:adjustRightInd w:val="0"/>
              <w:spacing w:after="0" w:line="240" w:lineRule="auto"/>
              <w:ind w:left="360"/>
              <w:jc w:val="both"/>
              <w:rPr>
                <w:rFonts w:ascii="Arial" w:hAnsi="Arial" w:cs="Arial"/>
                <w:sz w:val="20"/>
                <w:szCs w:val="20"/>
              </w:rPr>
            </w:pPr>
            <w:r w:rsidRPr="00AE5BCF">
              <w:rPr>
                <w:rFonts w:ascii="Arial" w:hAnsi="Arial" w:cs="Arial"/>
                <w:sz w:val="20"/>
                <w:szCs w:val="20"/>
              </w:rPr>
              <w:t>Apply a greasy emollient, such as 50% white soft paraffin with 50% liquid paraffin (50/50 WSP/LP), over the whole epidermis, including denuded areas</w:t>
            </w:r>
          </w:p>
          <w:p w:rsidR="00BD084C" w:rsidRPr="00AE5BCF" w:rsidRDefault="00BD084C" w:rsidP="00BD084C">
            <w:pPr>
              <w:pStyle w:val="NoSpacing"/>
              <w:numPr>
                <w:ilvl w:val="0"/>
                <w:numId w:val="36"/>
              </w:numPr>
              <w:ind w:left="360"/>
              <w:jc w:val="both"/>
              <w:rPr>
                <w:rFonts w:ascii="Arial" w:hAnsi="Arial" w:cs="Arial"/>
                <w:sz w:val="20"/>
                <w:szCs w:val="20"/>
              </w:rPr>
            </w:pPr>
            <w:r w:rsidRPr="00AE5BCF">
              <w:rPr>
                <w:rFonts w:ascii="Arial" w:hAnsi="Arial" w:cs="Arial"/>
                <w:sz w:val="20"/>
                <w:szCs w:val="20"/>
              </w:rPr>
              <w:t>Apply a topical antimicrobial agent to sloughy areas only (choice should be guided by local microbiological advice). Consider Ag-containing products/dressings.</w:t>
            </w:r>
          </w:p>
          <w:p w:rsidR="00BD084C" w:rsidRPr="00AE5BCF" w:rsidRDefault="00BD084C" w:rsidP="00BD084C">
            <w:pPr>
              <w:pStyle w:val="NoSpacing"/>
              <w:numPr>
                <w:ilvl w:val="0"/>
                <w:numId w:val="36"/>
              </w:numPr>
              <w:autoSpaceDE w:val="0"/>
              <w:autoSpaceDN w:val="0"/>
              <w:adjustRightInd w:val="0"/>
              <w:ind w:left="360"/>
              <w:jc w:val="both"/>
              <w:rPr>
                <w:rFonts w:ascii="Arial" w:hAnsi="Arial" w:cs="Arial"/>
                <w:i/>
                <w:iCs/>
                <w:sz w:val="20"/>
                <w:szCs w:val="20"/>
              </w:rPr>
            </w:pPr>
            <w:r w:rsidRPr="00AE5BCF">
              <w:rPr>
                <w:rFonts w:ascii="Arial" w:hAnsi="Arial" w:cs="Arial"/>
                <w:sz w:val="20"/>
                <w:szCs w:val="20"/>
              </w:rPr>
              <w:t xml:space="preserve">The detached, </w:t>
            </w:r>
            <w:proofErr w:type="spellStart"/>
            <w:r w:rsidRPr="00AE5BCF">
              <w:rPr>
                <w:rFonts w:ascii="Arial" w:hAnsi="Arial" w:cs="Arial"/>
                <w:sz w:val="20"/>
                <w:szCs w:val="20"/>
              </w:rPr>
              <w:t>lesional</w:t>
            </w:r>
            <w:proofErr w:type="spellEnd"/>
            <w:r w:rsidRPr="00AE5BCF">
              <w:rPr>
                <w:rFonts w:ascii="Arial" w:hAnsi="Arial" w:cs="Arial"/>
                <w:sz w:val="20"/>
                <w:szCs w:val="20"/>
              </w:rPr>
              <w:t xml:space="preserve"> epidermis may be left </w:t>
            </w:r>
            <w:r w:rsidRPr="00AE5BCF">
              <w:rPr>
                <w:rFonts w:ascii="Arial" w:hAnsi="Arial" w:cs="Arial"/>
                <w:i/>
                <w:iCs/>
                <w:sz w:val="20"/>
                <w:szCs w:val="20"/>
              </w:rPr>
              <w:t xml:space="preserve">in situ </w:t>
            </w:r>
            <w:r w:rsidRPr="00AE5BCF">
              <w:rPr>
                <w:rFonts w:ascii="Arial" w:hAnsi="Arial" w:cs="Arial"/>
                <w:sz w:val="20"/>
                <w:szCs w:val="20"/>
              </w:rPr>
              <w:t>to act as a biological dressing. Blisters should be</w:t>
            </w:r>
            <w:r w:rsidRPr="00AE5BCF">
              <w:rPr>
                <w:rFonts w:ascii="Arial" w:hAnsi="Arial" w:cs="Arial"/>
                <w:i/>
                <w:iCs/>
                <w:sz w:val="20"/>
                <w:szCs w:val="20"/>
              </w:rPr>
              <w:t xml:space="preserve"> </w:t>
            </w:r>
            <w:r w:rsidRPr="00AE5BCF">
              <w:rPr>
                <w:rFonts w:ascii="Arial" w:hAnsi="Arial" w:cs="Arial"/>
                <w:sz w:val="20"/>
                <w:szCs w:val="20"/>
              </w:rPr>
              <w:t>decompressed by piercing and expression or aspiration of tissue fluid.</w:t>
            </w:r>
          </w:p>
          <w:p w:rsidR="00BD084C" w:rsidRPr="00AE5BCF" w:rsidRDefault="00BD084C" w:rsidP="00BD084C">
            <w:pPr>
              <w:pStyle w:val="PlainText"/>
              <w:numPr>
                <w:ilvl w:val="0"/>
                <w:numId w:val="36"/>
              </w:numPr>
              <w:ind w:left="360"/>
              <w:jc w:val="both"/>
              <w:rPr>
                <w:sz w:val="20"/>
                <w:szCs w:val="20"/>
              </w:rPr>
            </w:pPr>
            <w:r w:rsidRPr="00AE5BCF">
              <w:rPr>
                <w:rFonts w:ascii="Arial" w:hAnsi="Arial" w:cs="Arial"/>
                <w:sz w:val="20"/>
                <w:szCs w:val="20"/>
              </w:rPr>
              <w:t>Apply non</w:t>
            </w:r>
            <w:r>
              <w:rPr>
                <w:rFonts w:ascii="Arial" w:hAnsi="Arial" w:cs="Arial"/>
                <w:sz w:val="20"/>
                <w:szCs w:val="20"/>
              </w:rPr>
              <w:t>-</w:t>
            </w:r>
            <w:r w:rsidRPr="00AE5BCF">
              <w:rPr>
                <w:rFonts w:ascii="Arial" w:hAnsi="Arial" w:cs="Arial"/>
                <w:sz w:val="20"/>
                <w:szCs w:val="20"/>
              </w:rPr>
              <w:t xml:space="preserve">adherent dressings to denuded dermis </w:t>
            </w:r>
            <w:r w:rsidRPr="0012354E">
              <w:rPr>
                <w:rFonts w:ascii="Arial" w:hAnsi="Arial" w:cs="Arial"/>
                <w:sz w:val="20"/>
                <w:szCs w:val="20"/>
              </w:rPr>
              <w:t>(suitable dressings include</w:t>
            </w:r>
            <w:r w:rsidRPr="00AE5BCF">
              <w:rPr>
                <w:rFonts w:ascii="Arial" w:hAnsi="Arial" w:cs="Arial"/>
                <w:sz w:val="20"/>
                <w:szCs w:val="20"/>
              </w:rPr>
              <w:t xml:space="preserve"> </w:t>
            </w:r>
            <w:proofErr w:type="spellStart"/>
            <w:r w:rsidRPr="00AE5BCF">
              <w:rPr>
                <w:rFonts w:ascii="Arial" w:hAnsi="Arial" w:cs="Arial"/>
                <w:sz w:val="20"/>
                <w:szCs w:val="20"/>
              </w:rPr>
              <w:t>Mepitel</w:t>
            </w:r>
            <w:proofErr w:type="spellEnd"/>
            <w:r w:rsidRPr="00AE5BCF">
              <w:rPr>
                <w:rFonts w:ascii="Arial" w:hAnsi="Arial" w:cs="Arial"/>
                <w:sz w:val="20"/>
                <w:szCs w:val="20"/>
              </w:rPr>
              <w:t xml:space="preserve">™ or </w:t>
            </w:r>
            <w:proofErr w:type="spellStart"/>
            <w:r w:rsidRPr="00AE5BCF">
              <w:rPr>
                <w:rFonts w:ascii="Arial" w:hAnsi="Arial" w:cs="Arial"/>
                <w:sz w:val="20"/>
                <w:szCs w:val="20"/>
              </w:rPr>
              <w:t>Telfa</w:t>
            </w:r>
            <w:proofErr w:type="spellEnd"/>
            <w:r w:rsidRPr="00AE5BCF">
              <w:rPr>
                <w:rFonts w:ascii="Arial" w:hAnsi="Arial" w:cs="Arial"/>
                <w:sz w:val="20"/>
                <w:szCs w:val="20"/>
              </w:rPr>
              <w:t>™</w:t>
            </w:r>
            <w:r>
              <w:rPr>
                <w:rFonts w:ascii="Arial" w:hAnsi="Arial" w:cs="Arial"/>
                <w:sz w:val="20"/>
                <w:szCs w:val="20"/>
              </w:rPr>
              <w:t>)</w:t>
            </w:r>
            <w:r w:rsidRPr="00AE5BCF">
              <w:rPr>
                <w:rFonts w:ascii="Arial" w:hAnsi="Arial" w:cs="Arial"/>
                <w:sz w:val="20"/>
                <w:szCs w:val="20"/>
              </w:rPr>
              <w:t>.</w:t>
            </w:r>
            <w:r w:rsidRPr="00AE5BCF">
              <w:rPr>
                <w:sz w:val="20"/>
                <w:szCs w:val="20"/>
              </w:rPr>
              <w:t xml:space="preserve"> </w:t>
            </w:r>
          </w:p>
          <w:p w:rsidR="00BD084C" w:rsidRPr="00AE5BCF" w:rsidRDefault="00BD084C" w:rsidP="00BD084C">
            <w:pPr>
              <w:numPr>
                <w:ilvl w:val="0"/>
                <w:numId w:val="36"/>
              </w:numPr>
              <w:autoSpaceDE w:val="0"/>
              <w:autoSpaceDN w:val="0"/>
              <w:adjustRightInd w:val="0"/>
              <w:spacing w:after="0" w:line="240" w:lineRule="auto"/>
              <w:ind w:left="360"/>
              <w:jc w:val="both"/>
              <w:rPr>
                <w:rFonts w:ascii="Arial" w:hAnsi="Arial" w:cs="Arial"/>
                <w:i/>
                <w:iCs/>
                <w:sz w:val="20"/>
                <w:szCs w:val="20"/>
              </w:rPr>
            </w:pPr>
            <w:r w:rsidRPr="00AE5BCF">
              <w:rPr>
                <w:rFonts w:ascii="Arial" w:hAnsi="Arial" w:cs="Arial"/>
                <w:sz w:val="20"/>
                <w:szCs w:val="20"/>
              </w:rPr>
              <w:t>A secondary foam or burn dressing should be used to collect exudate</w:t>
            </w:r>
            <w:r>
              <w:rPr>
                <w:rFonts w:ascii="Arial" w:hAnsi="Arial" w:cs="Arial"/>
                <w:sz w:val="20"/>
                <w:szCs w:val="20"/>
              </w:rPr>
              <w:t xml:space="preserve"> (suitable dressings include</w:t>
            </w:r>
            <w:r w:rsidRPr="00AE5BCF">
              <w:rPr>
                <w:rFonts w:ascii="Arial" w:hAnsi="Arial" w:cs="Arial"/>
                <w:sz w:val="20"/>
                <w:szCs w:val="20"/>
              </w:rPr>
              <w:t xml:space="preserve"> </w:t>
            </w:r>
            <w:proofErr w:type="spellStart"/>
            <w:r w:rsidRPr="00AE5BCF">
              <w:rPr>
                <w:rFonts w:ascii="Arial" w:hAnsi="Arial" w:cs="Arial"/>
                <w:sz w:val="20"/>
                <w:szCs w:val="20"/>
              </w:rPr>
              <w:t>Exu</w:t>
            </w:r>
            <w:proofErr w:type="spellEnd"/>
            <w:r w:rsidRPr="00AE5BCF">
              <w:rPr>
                <w:rFonts w:ascii="Arial" w:hAnsi="Arial" w:cs="Arial"/>
                <w:sz w:val="20"/>
                <w:szCs w:val="20"/>
              </w:rPr>
              <w:t>-Dry®</w:t>
            </w:r>
            <w:r>
              <w:rPr>
                <w:rFonts w:ascii="Arial" w:hAnsi="Arial" w:cs="Arial"/>
                <w:sz w:val="20"/>
                <w:szCs w:val="20"/>
              </w:rPr>
              <w:t>)</w:t>
            </w:r>
            <w:r w:rsidRPr="00AE5BCF">
              <w:rPr>
                <w:rFonts w:ascii="Arial" w:hAnsi="Arial" w:cs="Arial"/>
                <w:sz w:val="20"/>
                <w:szCs w:val="20"/>
              </w:rPr>
              <w:t>.</w:t>
            </w:r>
          </w:p>
          <w:p w:rsidR="00BD084C" w:rsidRPr="00AE5BCF" w:rsidRDefault="00BD084C" w:rsidP="0085034D">
            <w:pPr>
              <w:autoSpaceDE w:val="0"/>
              <w:autoSpaceDN w:val="0"/>
              <w:adjustRightInd w:val="0"/>
              <w:spacing w:after="0" w:line="240" w:lineRule="auto"/>
              <w:ind w:left="360"/>
              <w:rPr>
                <w:rFonts w:ascii="Arial" w:hAnsi="Arial" w:cs="Arial"/>
                <w:i/>
                <w:iCs/>
                <w:sz w:val="20"/>
                <w:szCs w:val="20"/>
              </w:rPr>
            </w:pPr>
          </w:p>
          <w:p w:rsidR="00BD084C" w:rsidRPr="00AE5BCF" w:rsidRDefault="00BD084C" w:rsidP="0085034D">
            <w:pPr>
              <w:spacing w:after="0" w:line="240" w:lineRule="auto"/>
              <w:jc w:val="both"/>
              <w:rPr>
                <w:rFonts w:ascii="Arial" w:hAnsi="Arial" w:cs="Arial"/>
                <w:b/>
                <w:sz w:val="20"/>
                <w:szCs w:val="20"/>
              </w:rPr>
            </w:pPr>
            <w:r w:rsidRPr="00E26768">
              <w:rPr>
                <w:rFonts w:ascii="Arial" w:hAnsi="Arial" w:cs="Arial"/>
                <w:b/>
                <w:sz w:val="20"/>
                <w:szCs w:val="20"/>
              </w:rPr>
              <w:t>Consider transfer to a Burn Centre in patients with TEN (&gt;30% BSA epidermal loss) and evidence of the following: clinical deterioration, extension of epidermal detachment, sub-epidermal pus, local sepsis, wound conversion and/or delayed healing. In a Burn Centre conservative measures may be supplemented with a surgical approach</w:t>
            </w:r>
            <w:r w:rsidRPr="00AE5BCF">
              <w:rPr>
                <w:rFonts w:ascii="Arial" w:hAnsi="Arial" w:cs="Arial"/>
                <w:b/>
                <w:sz w:val="20"/>
                <w:szCs w:val="20"/>
              </w:rPr>
              <w:t>.</w:t>
            </w:r>
          </w:p>
          <w:p w:rsidR="00BD084C" w:rsidRPr="00AE5BCF" w:rsidRDefault="00BD084C" w:rsidP="00BD084C">
            <w:pPr>
              <w:numPr>
                <w:ilvl w:val="0"/>
                <w:numId w:val="36"/>
              </w:numPr>
              <w:spacing w:after="0" w:line="240" w:lineRule="auto"/>
              <w:ind w:left="360"/>
              <w:jc w:val="both"/>
              <w:rPr>
                <w:rFonts w:ascii="Arial" w:hAnsi="Arial" w:cs="Arial"/>
                <w:sz w:val="20"/>
                <w:szCs w:val="20"/>
              </w:rPr>
            </w:pPr>
            <w:r w:rsidRPr="00AE5BCF">
              <w:rPr>
                <w:rFonts w:ascii="Arial" w:hAnsi="Arial" w:cs="Arial"/>
                <w:sz w:val="20"/>
                <w:szCs w:val="20"/>
              </w:rPr>
              <w:lastRenderedPageBreak/>
              <w:t>Remove necrotic/loose infected epidermis and clean wounds using a topical antimicrobial agent (e.g. betadine or chlorhexidine) under general anaesthetic</w:t>
            </w:r>
          </w:p>
          <w:p w:rsidR="00BD084C" w:rsidRPr="00AE5BCF" w:rsidRDefault="00BD084C" w:rsidP="00BD084C">
            <w:pPr>
              <w:numPr>
                <w:ilvl w:val="0"/>
                <w:numId w:val="36"/>
              </w:numPr>
              <w:spacing w:after="0" w:line="240" w:lineRule="auto"/>
              <w:ind w:left="360"/>
              <w:jc w:val="both"/>
              <w:rPr>
                <w:rFonts w:ascii="Arial" w:hAnsi="Arial" w:cs="Arial"/>
                <w:sz w:val="20"/>
                <w:szCs w:val="20"/>
              </w:rPr>
            </w:pPr>
            <w:r w:rsidRPr="00AE5BCF">
              <w:rPr>
                <w:rFonts w:ascii="Arial" w:hAnsi="Arial" w:cs="Arial"/>
                <w:sz w:val="20"/>
                <w:szCs w:val="20"/>
              </w:rPr>
              <w:t xml:space="preserve">Consider </w:t>
            </w:r>
            <w:proofErr w:type="spellStart"/>
            <w:r w:rsidRPr="00AE5BCF">
              <w:rPr>
                <w:rFonts w:ascii="Arial" w:hAnsi="Arial" w:cs="Arial"/>
                <w:sz w:val="20"/>
                <w:szCs w:val="20"/>
              </w:rPr>
              <w:t>debridment</w:t>
            </w:r>
            <w:proofErr w:type="spellEnd"/>
            <w:r w:rsidRPr="00AE5BCF">
              <w:rPr>
                <w:rFonts w:ascii="Arial" w:hAnsi="Arial" w:cs="Arial"/>
                <w:sz w:val="20"/>
                <w:szCs w:val="20"/>
              </w:rPr>
              <w:t xml:space="preserve"> with </w:t>
            </w:r>
            <w:proofErr w:type="spellStart"/>
            <w:r w:rsidRPr="00AE5BCF">
              <w:rPr>
                <w:rFonts w:ascii="Arial" w:hAnsi="Arial" w:cs="Arial"/>
                <w:sz w:val="20"/>
                <w:szCs w:val="20"/>
              </w:rPr>
              <w:t>Versajet</w:t>
            </w:r>
            <w:r w:rsidRPr="00AE5BCF">
              <w:rPr>
                <w:rFonts w:ascii="Arial" w:hAnsi="Arial" w:cs="Arial"/>
                <w:sz w:val="20"/>
                <w:szCs w:val="20"/>
                <w:vertAlign w:val="superscript"/>
              </w:rPr>
              <w:t>TM</w:t>
            </w:r>
            <w:proofErr w:type="spellEnd"/>
            <w:r w:rsidRPr="00AE5BCF">
              <w:rPr>
                <w:rFonts w:ascii="Arial" w:hAnsi="Arial" w:cs="Arial"/>
                <w:sz w:val="20"/>
                <w:szCs w:val="20"/>
              </w:rPr>
              <w:t xml:space="preserve"> </w:t>
            </w:r>
          </w:p>
          <w:p w:rsidR="00BD084C" w:rsidRPr="00AE5BCF" w:rsidRDefault="00BD084C" w:rsidP="00BD084C">
            <w:pPr>
              <w:pStyle w:val="ListParagraph"/>
              <w:numPr>
                <w:ilvl w:val="0"/>
                <w:numId w:val="36"/>
              </w:numPr>
              <w:autoSpaceDE w:val="0"/>
              <w:autoSpaceDN w:val="0"/>
              <w:adjustRightInd w:val="0"/>
              <w:spacing w:after="0" w:line="240" w:lineRule="auto"/>
              <w:ind w:left="360"/>
              <w:jc w:val="both"/>
              <w:rPr>
                <w:rFonts w:ascii="Arial" w:hAnsi="Arial" w:cs="Arial"/>
                <w:i/>
                <w:iCs/>
                <w:sz w:val="20"/>
                <w:szCs w:val="20"/>
              </w:rPr>
            </w:pPr>
            <w:r w:rsidRPr="00AE5BCF">
              <w:rPr>
                <w:rFonts w:ascii="Arial" w:hAnsi="Arial" w:cs="Arial"/>
                <w:sz w:val="20"/>
                <w:szCs w:val="20"/>
              </w:rPr>
              <w:t xml:space="preserve">Physiological closure with </w:t>
            </w:r>
            <w:proofErr w:type="spellStart"/>
            <w:r w:rsidRPr="00AE5BCF">
              <w:rPr>
                <w:rFonts w:ascii="Arial" w:hAnsi="Arial" w:cs="Arial"/>
                <w:sz w:val="20"/>
                <w:szCs w:val="20"/>
              </w:rPr>
              <w:t>Biobrane</w:t>
            </w:r>
            <w:proofErr w:type="spellEnd"/>
            <w:r w:rsidRPr="00AE5BCF">
              <w:rPr>
                <w:rFonts w:ascii="Arial" w:hAnsi="Arial" w:cs="Arial"/>
                <w:sz w:val="20"/>
                <w:szCs w:val="20"/>
              </w:rPr>
              <w:t xml:space="preserve">/ allograft /xenograft skin in patients with early presentation involving non infected and large confluent areas </w:t>
            </w:r>
          </w:p>
          <w:p w:rsidR="00BD084C" w:rsidDel="00195C75" w:rsidRDefault="00BD084C" w:rsidP="0085034D">
            <w:pPr>
              <w:spacing w:after="0" w:line="240" w:lineRule="auto"/>
              <w:ind w:left="360"/>
              <w:jc w:val="both"/>
              <w:rPr>
                <w:rFonts w:ascii="Arial" w:hAnsi="Arial" w:cs="Arial"/>
                <w:sz w:val="20"/>
                <w:szCs w:val="20"/>
              </w:rPr>
            </w:pPr>
            <w:r w:rsidRPr="00AE5BCF">
              <w:rPr>
                <w:rFonts w:ascii="Arial" w:hAnsi="Arial" w:cs="Arial"/>
                <w:b/>
                <w:sz w:val="20"/>
                <w:szCs w:val="20"/>
              </w:rPr>
              <w:t>(Strength of recommendation D (GPP))</w:t>
            </w:r>
          </w:p>
        </w:tc>
      </w:tr>
      <w:tr w:rsidR="00BD084C" w:rsidRPr="00396EDD" w:rsidTr="0085034D">
        <w:tc>
          <w:tcPr>
            <w:tcW w:w="1951" w:type="dxa"/>
            <w:tcBorders>
              <w:top w:val="single" w:sz="2" w:space="0" w:color="FFFFFF" w:themeColor="background1"/>
              <w:bottom w:val="single" w:sz="2" w:space="0" w:color="FFFFFF" w:themeColor="background1"/>
            </w:tcBorders>
            <w:shd w:val="clear" w:color="auto" w:fill="00B0F0"/>
            <w:tcMar>
              <w:top w:w="28" w:type="dxa"/>
              <w:bottom w:w="28" w:type="dxa"/>
            </w:tcMar>
          </w:tcPr>
          <w:p w:rsidR="00BD084C" w:rsidRPr="004C6D4C" w:rsidRDefault="00BD084C" w:rsidP="0085034D">
            <w:pPr>
              <w:spacing w:after="0" w:line="240" w:lineRule="auto"/>
              <w:jc w:val="both"/>
              <w:rPr>
                <w:rFonts w:ascii="Arial" w:hAnsi="Arial" w:cs="Arial"/>
                <w:b/>
                <w:color w:val="FFFFFF"/>
                <w:sz w:val="20"/>
                <w:szCs w:val="20"/>
              </w:rPr>
            </w:pPr>
            <w:r w:rsidRPr="004C6D4C">
              <w:rPr>
                <w:rFonts w:ascii="Arial" w:hAnsi="Arial" w:cs="Arial"/>
                <w:b/>
                <w:color w:val="FFFFFF"/>
                <w:sz w:val="20"/>
                <w:szCs w:val="20"/>
              </w:rPr>
              <w:lastRenderedPageBreak/>
              <w:t>Fluid replacement regimen</w:t>
            </w:r>
            <w:r>
              <w:rPr>
                <w:rFonts w:ascii="Arial" w:hAnsi="Arial" w:cs="Arial"/>
                <w:b/>
                <w:color w:val="FFFFFF"/>
                <w:sz w:val="20"/>
                <w:szCs w:val="20"/>
              </w:rPr>
              <w:t xml:space="preserve"> </w:t>
            </w:r>
          </w:p>
        </w:tc>
        <w:tc>
          <w:tcPr>
            <w:tcW w:w="7291" w:type="dxa"/>
            <w:shd w:val="clear" w:color="auto" w:fill="E5F4F7"/>
            <w:tcMar>
              <w:top w:w="28" w:type="dxa"/>
              <w:bottom w:w="28" w:type="dxa"/>
            </w:tcMar>
          </w:tcPr>
          <w:p w:rsidR="00BD084C" w:rsidRPr="00396EDD" w:rsidRDefault="00BD084C" w:rsidP="00BD084C">
            <w:pPr>
              <w:numPr>
                <w:ilvl w:val="0"/>
                <w:numId w:val="21"/>
              </w:numPr>
              <w:spacing w:after="0" w:line="240" w:lineRule="auto"/>
              <w:jc w:val="both"/>
              <w:rPr>
                <w:rFonts w:ascii="Arial" w:hAnsi="Arial" w:cs="Arial"/>
                <w:sz w:val="20"/>
                <w:szCs w:val="20"/>
              </w:rPr>
            </w:pPr>
            <w:r w:rsidRPr="00396EDD">
              <w:rPr>
                <w:rFonts w:ascii="Arial" w:hAnsi="Arial" w:cs="Arial"/>
                <w:sz w:val="20"/>
                <w:szCs w:val="20"/>
              </w:rPr>
              <w:t>Site venous lines through non-</w:t>
            </w:r>
            <w:proofErr w:type="spellStart"/>
            <w:r w:rsidRPr="00396EDD">
              <w:rPr>
                <w:rFonts w:ascii="Arial" w:hAnsi="Arial" w:cs="Arial"/>
                <w:sz w:val="20"/>
                <w:szCs w:val="20"/>
              </w:rPr>
              <w:t>lesional</w:t>
            </w:r>
            <w:proofErr w:type="spellEnd"/>
            <w:r w:rsidRPr="00396EDD">
              <w:rPr>
                <w:rFonts w:ascii="Arial" w:hAnsi="Arial" w:cs="Arial"/>
                <w:sz w:val="20"/>
                <w:szCs w:val="20"/>
              </w:rPr>
              <w:t xml:space="preserve"> skin, whenever possible, and change peripheral venous cannulas every 48 hours</w:t>
            </w:r>
          </w:p>
          <w:p w:rsidR="00BD084C" w:rsidRDefault="00BD084C" w:rsidP="00BD084C">
            <w:pPr>
              <w:numPr>
                <w:ilvl w:val="0"/>
                <w:numId w:val="21"/>
              </w:numPr>
              <w:spacing w:after="0" w:line="240" w:lineRule="auto"/>
              <w:jc w:val="both"/>
              <w:rPr>
                <w:rFonts w:ascii="Arial" w:hAnsi="Arial" w:cs="Arial"/>
                <w:sz w:val="20"/>
                <w:szCs w:val="20"/>
              </w:rPr>
            </w:pPr>
            <w:r>
              <w:rPr>
                <w:rFonts w:ascii="Arial" w:hAnsi="Arial" w:cs="Arial"/>
                <w:sz w:val="20"/>
                <w:szCs w:val="20"/>
              </w:rPr>
              <w:t>Monitor fluid balance carefully: catheterize if appropriate/necessary</w:t>
            </w:r>
          </w:p>
          <w:p w:rsidR="00BD084C" w:rsidRDefault="00BD084C" w:rsidP="00BD084C">
            <w:pPr>
              <w:numPr>
                <w:ilvl w:val="0"/>
                <w:numId w:val="21"/>
              </w:numPr>
              <w:spacing w:after="0" w:line="240" w:lineRule="auto"/>
              <w:jc w:val="both"/>
              <w:rPr>
                <w:rFonts w:ascii="Arial" w:hAnsi="Arial" w:cs="Arial"/>
                <w:sz w:val="20"/>
                <w:szCs w:val="20"/>
              </w:rPr>
            </w:pPr>
            <w:r>
              <w:rPr>
                <w:rFonts w:ascii="Arial" w:hAnsi="Arial" w:cs="Arial"/>
                <w:sz w:val="20"/>
                <w:szCs w:val="20"/>
              </w:rPr>
              <w:t xml:space="preserve">Establish adequate intravenous fluid replacement initially. Fluid replacement can be guided by urine output and other endpoint measurements. </w:t>
            </w:r>
            <w:r w:rsidRPr="009A086B">
              <w:rPr>
                <w:rFonts w:ascii="Arial" w:hAnsi="Arial" w:cs="Arial"/>
                <w:sz w:val="20"/>
                <w:szCs w:val="20"/>
              </w:rPr>
              <w:t>Individualized fluid management should be adjusted on a daily basis.</w:t>
            </w:r>
          </w:p>
          <w:p w:rsidR="00BD084C" w:rsidRPr="00396EDD" w:rsidRDefault="00BD084C" w:rsidP="00BD084C">
            <w:pPr>
              <w:numPr>
                <w:ilvl w:val="0"/>
                <w:numId w:val="21"/>
              </w:numPr>
              <w:spacing w:after="0" w:line="240" w:lineRule="auto"/>
              <w:jc w:val="both"/>
              <w:rPr>
                <w:rFonts w:ascii="Arial" w:hAnsi="Arial" w:cs="Arial"/>
                <w:sz w:val="20"/>
                <w:szCs w:val="20"/>
              </w:rPr>
            </w:pPr>
            <w:r>
              <w:rPr>
                <w:rFonts w:ascii="Arial" w:hAnsi="Arial" w:cs="Arial"/>
                <w:sz w:val="20"/>
                <w:szCs w:val="20"/>
              </w:rPr>
              <w:t>With improvement of SJS/TEN mouth involvement, oral administration of fluids should be progressively increased</w:t>
            </w:r>
          </w:p>
          <w:p w:rsidR="00BD084C" w:rsidRPr="00396EDD" w:rsidRDefault="00BD084C" w:rsidP="0085034D">
            <w:pPr>
              <w:spacing w:after="0" w:line="240" w:lineRule="auto"/>
              <w:jc w:val="both"/>
              <w:rPr>
                <w:rFonts w:ascii="Arial" w:hAnsi="Arial" w:cs="Arial"/>
                <w:b/>
                <w:sz w:val="20"/>
                <w:szCs w:val="20"/>
              </w:rPr>
            </w:pPr>
            <w:r w:rsidRPr="00396EDD">
              <w:rPr>
                <w:rFonts w:ascii="Arial" w:hAnsi="Arial" w:cs="Arial"/>
                <w:b/>
                <w:sz w:val="20"/>
                <w:szCs w:val="20"/>
              </w:rPr>
              <w:t>(Strength of recommendation D)</w:t>
            </w:r>
          </w:p>
        </w:tc>
      </w:tr>
      <w:tr w:rsidR="00BD084C" w:rsidRPr="00396EDD" w:rsidTr="0085034D">
        <w:tc>
          <w:tcPr>
            <w:tcW w:w="1951" w:type="dxa"/>
            <w:tcBorders>
              <w:top w:val="single" w:sz="2" w:space="0" w:color="FFFFFF" w:themeColor="background1"/>
              <w:bottom w:val="single" w:sz="2" w:space="0" w:color="FFFFFF" w:themeColor="background1"/>
            </w:tcBorders>
            <w:shd w:val="clear" w:color="auto" w:fill="00B0F0"/>
            <w:tcMar>
              <w:top w:w="28" w:type="dxa"/>
              <w:bottom w:w="28" w:type="dxa"/>
            </w:tcMar>
          </w:tcPr>
          <w:p w:rsidR="00BD084C" w:rsidRPr="004C6D4C" w:rsidRDefault="00BD084C" w:rsidP="0085034D">
            <w:pPr>
              <w:spacing w:after="0" w:line="240" w:lineRule="auto"/>
              <w:jc w:val="both"/>
              <w:rPr>
                <w:rFonts w:ascii="Arial" w:hAnsi="Arial" w:cs="Arial"/>
                <w:b/>
                <w:color w:val="FFFFFF"/>
                <w:sz w:val="20"/>
                <w:szCs w:val="20"/>
              </w:rPr>
            </w:pPr>
            <w:r w:rsidRPr="004C6D4C">
              <w:rPr>
                <w:rFonts w:ascii="Arial" w:hAnsi="Arial" w:cs="Arial"/>
                <w:b/>
                <w:color w:val="FFFFFF"/>
                <w:sz w:val="20"/>
                <w:szCs w:val="20"/>
              </w:rPr>
              <w:t>Nutrition regimen</w:t>
            </w:r>
          </w:p>
        </w:tc>
        <w:tc>
          <w:tcPr>
            <w:tcW w:w="7291" w:type="dxa"/>
            <w:shd w:val="clear" w:color="auto" w:fill="E5F4F7"/>
            <w:tcMar>
              <w:top w:w="28" w:type="dxa"/>
              <w:bottom w:w="28" w:type="dxa"/>
            </w:tcMar>
          </w:tcPr>
          <w:p w:rsidR="00BD084C" w:rsidRPr="00396EDD" w:rsidRDefault="00BD084C" w:rsidP="00BD084C">
            <w:pPr>
              <w:numPr>
                <w:ilvl w:val="0"/>
                <w:numId w:val="23"/>
              </w:numPr>
              <w:spacing w:after="0" w:line="240" w:lineRule="auto"/>
              <w:jc w:val="both"/>
              <w:rPr>
                <w:rFonts w:ascii="Arial" w:hAnsi="Arial" w:cs="Arial"/>
                <w:sz w:val="20"/>
                <w:szCs w:val="20"/>
              </w:rPr>
            </w:pPr>
            <w:r w:rsidRPr="00396EDD">
              <w:rPr>
                <w:rFonts w:ascii="Arial" w:hAnsi="Arial" w:cs="Arial"/>
                <w:sz w:val="20"/>
                <w:szCs w:val="20"/>
              </w:rPr>
              <w:t>Provide continuous enteral nutrition throughout the acute phase</w:t>
            </w:r>
          </w:p>
          <w:p w:rsidR="00BD084C" w:rsidRPr="00396EDD" w:rsidRDefault="00BD084C" w:rsidP="00BD084C">
            <w:pPr>
              <w:numPr>
                <w:ilvl w:val="0"/>
                <w:numId w:val="23"/>
              </w:numPr>
              <w:spacing w:after="0" w:line="240" w:lineRule="auto"/>
              <w:jc w:val="both"/>
              <w:rPr>
                <w:rFonts w:ascii="Arial" w:hAnsi="Arial" w:cs="Arial"/>
                <w:sz w:val="20"/>
                <w:szCs w:val="20"/>
              </w:rPr>
            </w:pPr>
            <w:r w:rsidRPr="00396EDD">
              <w:rPr>
                <w:rFonts w:ascii="Arial" w:hAnsi="Arial" w:cs="Arial"/>
                <w:sz w:val="20"/>
                <w:szCs w:val="20"/>
              </w:rPr>
              <w:t>Deliver up to 20 to 25 kcal/kg/day during the early, catabolic phase and 25 to 30 kcal/kg/day during the anabolic, recovery phase</w:t>
            </w:r>
          </w:p>
          <w:p w:rsidR="00BD084C" w:rsidRPr="00396EDD" w:rsidRDefault="00BD084C" w:rsidP="0085034D">
            <w:pPr>
              <w:spacing w:after="0" w:line="240" w:lineRule="auto"/>
              <w:jc w:val="both"/>
              <w:rPr>
                <w:rFonts w:ascii="Arial" w:hAnsi="Arial" w:cs="Arial"/>
                <w:b/>
                <w:sz w:val="20"/>
                <w:szCs w:val="20"/>
              </w:rPr>
            </w:pPr>
            <w:r w:rsidRPr="00396EDD">
              <w:rPr>
                <w:rFonts w:ascii="Arial" w:hAnsi="Arial" w:cs="Arial"/>
                <w:b/>
                <w:sz w:val="20"/>
                <w:szCs w:val="20"/>
              </w:rPr>
              <w:t>(Strength of recommendation C)</w:t>
            </w:r>
          </w:p>
        </w:tc>
      </w:tr>
      <w:tr w:rsidR="00BD084C" w:rsidRPr="00396EDD" w:rsidTr="0085034D">
        <w:tc>
          <w:tcPr>
            <w:tcW w:w="1951" w:type="dxa"/>
            <w:tcBorders>
              <w:top w:val="single" w:sz="2" w:space="0" w:color="FFFFFF" w:themeColor="background1"/>
              <w:bottom w:val="single" w:sz="2" w:space="0" w:color="FFFFFF" w:themeColor="background1"/>
            </w:tcBorders>
            <w:shd w:val="clear" w:color="auto" w:fill="00B0F0"/>
            <w:tcMar>
              <w:top w:w="28" w:type="dxa"/>
              <w:bottom w:w="28" w:type="dxa"/>
            </w:tcMar>
          </w:tcPr>
          <w:p w:rsidR="00BD084C" w:rsidRPr="004C6D4C" w:rsidRDefault="00BD084C" w:rsidP="0085034D">
            <w:pPr>
              <w:spacing w:after="0" w:line="240" w:lineRule="auto"/>
              <w:jc w:val="both"/>
              <w:rPr>
                <w:rFonts w:ascii="Arial" w:hAnsi="Arial" w:cs="Arial"/>
                <w:b/>
                <w:color w:val="FFFFFF"/>
                <w:sz w:val="20"/>
                <w:szCs w:val="20"/>
              </w:rPr>
            </w:pPr>
            <w:r w:rsidRPr="004C6D4C">
              <w:rPr>
                <w:rFonts w:ascii="Arial" w:hAnsi="Arial" w:cs="Arial"/>
                <w:b/>
                <w:color w:val="FFFFFF"/>
                <w:sz w:val="20"/>
                <w:szCs w:val="20"/>
              </w:rPr>
              <w:t>Analgesia</w:t>
            </w:r>
          </w:p>
        </w:tc>
        <w:tc>
          <w:tcPr>
            <w:tcW w:w="7291" w:type="dxa"/>
            <w:shd w:val="clear" w:color="auto" w:fill="E5F4F7"/>
            <w:tcMar>
              <w:top w:w="28" w:type="dxa"/>
              <w:bottom w:w="28" w:type="dxa"/>
            </w:tcMar>
          </w:tcPr>
          <w:p w:rsidR="00BD084C" w:rsidRPr="00396EDD" w:rsidRDefault="00BD084C" w:rsidP="00BD084C">
            <w:pPr>
              <w:numPr>
                <w:ilvl w:val="0"/>
                <w:numId w:val="24"/>
              </w:numPr>
              <w:spacing w:after="0" w:line="240" w:lineRule="auto"/>
              <w:jc w:val="both"/>
              <w:rPr>
                <w:rFonts w:ascii="Arial" w:hAnsi="Arial" w:cs="Arial"/>
                <w:sz w:val="20"/>
                <w:szCs w:val="20"/>
              </w:rPr>
            </w:pPr>
            <w:r w:rsidRPr="00396EDD">
              <w:rPr>
                <w:rFonts w:ascii="Arial" w:hAnsi="Arial" w:cs="Arial"/>
                <w:sz w:val="20"/>
                <w:szCs w:val="20"/>
              </w:rPr>
              <w:t xml:space="preserve">Use a </w:t>
            </w:r>
            <w:r>
              <w:rPr>
                <w:rFonts w:ascii="Arial" w:hAnsi="Arial" w:cs="Arial"/>
                <w:sz w:val="20"/>
                <w:szCs w:val="20"/>
              </w:rPr>
              <w:t>patient appropriate validated pain tool</w:t>
            </w:r>
            <w:r w:rsidRPr="00396EDD">
              <w:rPr>
                <w:rFonts w:ascii="Arial" w:hAnsi="Arial" w:cs="Arial"/>
                <w:sz w:val="20"/>
                <w:szCs w:val="20"/>
              </w:rPr>
              <w:t xml:space="preserve"> to assess pain in all conscious patients at least once </w:t>
            </w:r>
            <w:r>
              <w:rPr>
                <w:rFonts w:ascii="Arial" w:hAnsi="Arial" w:cs="Arial"/>
                <w:sz w:val="20"/>
                <w:szCs w:val="20"/>
              </w:rPr>
              <w:t>a day</w:t>
            </w:r>
          </w:p>
          <w:p w:rsidR="00BD084C" w:rsidRPr="00396EDD" w:rsidRDefault="00BD084C" w:rsidP="00BD084C">
            <w:pPr>
              <w:numPr>
                <w:ilvl w:val="0"/>
                <w:numId w:val="24"/>
              </w:numPr>
              <w:spacing w:after="0" w:line="240" w:lineRule="auto"/>
              <w:jc w:val="both"/>
              <w:rPr>
                <w:rFonts w:ascii="Arial" w:hAnsi="Arial" w:cs="Arial"/>
                <w:sz w:val="20"/>
                <w:szCs w:val="20"/>
              </w:rPr>
            </w:pPr>
            <w:r w:rsidRPr="00396EDD">
              <w:rPr>
                <w:rFonts w:ascii="Arial" w:hAnsi="Arial" w:cs="Arial"/>
                <w:sz w:val="20"/>
                <w:szCs w:val="20"/>
              </w:rPr>
              <w:t>Patients should receive adequate analgesia to ensure comfort at rest, with the addition of supplementary opiates, as required</w:t>
            </w:r>
          </w:p>
          <w:p w:rsidR="00BD084C" w:rsidRPr="00396EDD" w:rsidRDefault="00BD084C" w:rsidP="00BD084C">
            <w:pPr>
              <w:numPr>
                <w:ilvl w:val="0"/>
                <w:numId w:val="24"/>
              </w:numPr>
              <w:spacing w:after="0" w:line="240" w:lineRule="auto"/>
              <w:jc w:val="both"/>
              <w:rPr>
                <w:rFonts w:ascii="Arial" w:hAnsi="Arial" w:cs="Arial"/>
                <w:sz w:val="20"/>
                <w:szCs w:val="20"/>
              </w:rPr>
            </w:pPr>
            <w:r w:rsidRPr="00396EDD">
              <w:rPr>
                <w:rFonts w:ascii="Arial" w:hAnsi="Arial" w:cs="Arial"/>
                <w:sz w:val="20"/>
                <w:szCs w:val="20"/>
              </w:rPr>
              <w:t>Additional analgesia may be needed to address increased pain associated with patient handling, re-positioning and dressing changes</w:t>
            </w:r>
          </w:p>
          <w:p w:rsidR="00BD084C" w:rsidRPr="00396EDD" w:rsidRDefault="00BD084C" w:rsidP="0085034D">
            <w:pPr>
              <w:spacing w:after="0" w:line="240" w:lineRule="auto"/>
              <w:jc w:val="both"/>
              <w:rPr>
                <w:rFonts w:ascii="Arial" w:hAnsi="Arial" w:cs="Arial"/>
                <w:b/>
                <w:sz w:val="20"/>
                <w:szCs w:val="20"/>
              </w:rPr>
            </w:pPr>
            <w:r w:rsidRPr="00396EDD">
              <w:rPr>
                <w:rFonts w:ascii="Arial" w:hAnsi="Arial" w:cs="Arial"/>
                <w:b/>
                <w:sz w:val="20"/>
                <w:szCs w:val="20"/>
              </w:rPr>
              <w:t>(Strength of recommendation D (GPP))</w:t>
            </w:r>
          </w:p>
        </w:tc>
      </w:tr>
      <w:tr w:rsidR="00BD084C" w:rsidRPr="00396EDD" w:rsidTr="0085034D">
        <w:tc>
          <w:tcPr>
            <w:tcW w:w="1951" w:type="dxa"/>
            <w:tcBorders>
              <w:top w:val="single" w:sz="2" w:space="0" w:color="FFFFFF" w:themeColor="background1"/>
              <w:bottom w:val="single" w:sz="2" w:space="0" w:color="FFFFFF" w:themeColor="background1"/>
            </w:tcBorders>
            <w:shd w:val="clear" w:color="auto" w:fill="00B0F0"/>
            <w:tcMar>
              <w:top w:w="28" w:type="dxa"/>
              <w:bottom w:w="28" w:type="dxa"/>
            </w:tcMar>
          </w:tcPr>
          <w:p w:rsidR="00BD084C" w:rsidRPr="004C6D4C" w:rsidRDefault="00BD084C" w:rsidP="0085034D">
            <w:pPr>
              <w:spacing w:after="0" w:line="240" w:lineRule="auto"/>
              <w:jc w:val="both"/>
              <w:rPr>
                <w:rFonts w:ascii="Arial" w:hAnsi="Arial" w:cs="Arial"/>
                <w:b/>
                <w:color w:val="FFFFFF"/>
                <w:sz w:val="20"/>
                <w:szCs w:val="20"/>
              </w:rPr>
            </w:pPr>
            <w:r w:rsidRPr="004C6D4C">
              <w:rPr>
                <w:rFonts w:ascii="Arial" w:hAnsi="Arial" w:cs="Arial"/>
                <w:b/>
                <w:color w:val="FFFFFF"/>
                <w:sz w:val="20"/>
                <w:szCs w:val="20"/>
              </w:rPr>
              <w:t>Supportive Therapeutic Measures</w:t>
            </w:r>
          </w:p>
        </w:tc>
        <w:tc>
          <w:tcPr>
            <w:tcW w:w="7291" w:type="dxa"/>
            <w:shd w:val="clear" w:color="auto" w:fill="E5F4F7"/>
            <w:tcMar>
              <w:top w:w="28" w:type="dxa"/>
              <w:bottom w:w="28" w:type="dxa"/>
            </w:tcMar>
          </w:tcPr>
          <w:p w:rsidR="00BD084C" w:rsidRPr="00396EDD" w:rsidRDefault="00BD084C" w:rsidP="00BD084C">
            <w:pPr>
              <w:numPr>
                <w:ilvl w:val="0"/>
                <w:numId w:val="25"/>
              </w:numPr>
              <w:spacing w:after="0" w:line="240" w:lineRule="auto"/>
              <w:jc w:val="both"/>
              <w:rPr>
                <w:rFonts w:ascii="Arial" w:hAnsi="Arial" w:cs="Arial"/>
                <w:sz w:val="20"/>
                <w:szCs w:val="20"/>
              </w:rPr>
            </w:pPr>
            <w:r w:rsidRPr="00396EDD">
              <w:rPr>
                <w:rFonts w:ascii="Arial" w:hAnsi="Arial" w:cs="Arial"/>
                <w:sz w:val="20"/>
                <w:szCs w:val="20"/>
              </w:rPr>
              <w:t>Immobile patients should receive low molecular weight heparin</w:t>
            </w:r>
          </w:p>
          <w:p w:rsidR="00BD084C" w:rsidRPr="00396EDD" w:rsidRDefault="00BD084C" w:rsidP="00BD084C">
            <w:pPr>
              <w:numPr>
                <w:ilvl w:val="0"/>
                <w:numId w:val="25"/>
              </w:numPr>
              <w:spacing w:after="0" w:line="240" w:lineRule="auto"/>
              <w:jc w:val="both"/>
              <w:rPr>
                <w:rFonts w:ascii="Arial" w:hAnsi="Arial" w:cs="Arial"/>
                <w:sz w:val="20"/>
                <w:szCs w:val="20"/>
              </w:rPr>
            </w:pPr>
            <w:r w:rsidRPr="00396EDD">
              <w:rPr>
                <w:rFonts w:ascii="Arial" w:hAnsi="Arial" w:cs="Arial"/>
                <w:sz w:val="20"/>
                <w:szCs w:val="20"/>
              </w:rPr>
              <w:t xml:space="preserve">Patients </w:t>
            </w:r>
            <w:r>
              <w:rPr>
                <w:rFonts w:ascii="Arial" w:hAnsi="Arial" w:cs="Arial"/>
                <w:sz w:val="20"/>
                <w:szCs w:val="20"/>
              </w:rPr>
              <w:t>in whom enteral nutrition cannot be established</w:t>
            </w:r>
            <w:r w:rsidRPr="00396EDD">
              <w:rPr>
                <w:rFonts w:ascii="Arial" w:hAnsi="Arial" w:cs="Arial"/>
                <w:sz w:val="20"/>
                <w:szCs w:val="20"/>
              </w:rPr>
              <w:t xml:space="preserve"> </w:t>
            </w:r>
            <w:r>
              <w:rPr>
                <w:rFonts w:ascii="Arial" w:hAnsi="Arial" w:cs="Arial"/>
                <w:sz w:val="20"/>
                <w:szCs w:val="20"/>
              </w:rPr>
              <w:t xml:space="preserve">should receive </w:t>
            </w:r>
            <w:r w:rsidRPr="00396EDD">
              <w:rPr>
                <w:rFonts w:ascii="Arial" w:hAnsi="Arial" w:cs="Arial"/>
                <w:sz w:val="20"/>
                <w:szCs w:val="20"/>
              </w:rPr>
              <w:t>a proton pump inhibitor</w:t>
            </w:r>
            <w:r>
              <w:rPr>
                <w:rFonts w:ascii="Arial" w:hAnsi="Arial" w:cs="Arial"/>
                <w:sz w:val="20"/>
                <w:szCs w:val="20"/>
              </w:rPr>
              <w:t xml:space="preserve"> to reduce the risk of stress-related gastro-intestinal ulceration</w:t>
            </w:r>
          </w:p>
          <w:p w:rsidR="00BD084C" w:rsidRPr="00396EDD" w:rsidRDefault="00BD084C" w:rsidP="00BD084C">
            <w:pPr>
              <w:numPr>
                <w:ilvl w:val="0"/>
                <w:numId w:val="25"/>
              </w:numPr>
              <w:spacing w:after="0" w:line="240" w:lineRule="auto"/>
              <w:jc w:val="both"/>
              <w:rPr>
                <w:rFonts w:ascii="Arial" w:hAnsi="Arial" w:cs="Arial"/>
                <w:sz w:val="20"/>
                <w:szCs w:val="20"/>
              </w:rPr>
            </w:pPr>
            <w:r w:rsidRPr="00396EDD">
              <w:rPr>
                <w:rFonts w:ascii="Arial" w:hAnsi="Arial" w:cs="Arial"/>
                <w:sz w:val="20"/>
                <w:szCs w:val="20"/>
              </w:rPr>
              <w:t>Neutropenic patients may benefit from recombinant human G-CSF</w:t>
            </w:r>
          </w:p>
          <w:p w:rsidR="00BD084C" w:rsidRPr="00396EDD" w:rsidRDefault="00BD084C" w:rsidP="0085034D">
            <w:pPr>
              <w:spacing w:after="0" w:line="240" w:lineRule="auto"/>
              <w:jc w:val="both"/>
              <w:rPr>
                <w:rFonts w:ascii="Arial" w:hAnsi="Arial" w:cs="Arial"/>
                <w:b/>
                <w:sz w:val="20"/>
                <w:szCs w:val="20"/>
              </w:rPr>
            </w:pPr>
            <w:r w:rsidRPr="00396EDD">
              <w:rPr>
                <w:rFonts w:ascii="Arial" w:hAnsi="Arial" w:cs="Arial"/>
                <w:b/>
                <w:sz w:val="20"/>
                <w:szCs w:val="20"/>
              </w:rPr>
              <w:t>(Strength of recommendation C)</w:t>
            </w:r>
          </w:p>
        </w:tc>
      </w:tr>
      <w:tr w:rsidR="00BD084C" w:rsidRPr="00396EDD" w:rsidTr="0085034D">
        <w:tc>
          <w:tcPr>
            <w:tcW w:w="1951" w:type="dxa"/>
            <w:tcBorders>
              <w:top w:val="single" w:sz="2" w:space="0" w:color="FFFFFF" w:themeColor="background1"/>
              <w:bottom w:val="single" w:sz="2" w:space="0" w:color="FFFFFF" w:themeColor="background1"/>
            </w:tcBorders>
            <w:shd w:val="clear" w:color="auto" w:fill="00B0F0"/>
            <w:tcMar>
              <w:top w:w="28" w:type="dxa"/>
              <w:bottom w:w="28" w:type="dxa"/>
            </w:tcMar>
          </w:tcPr>
          <w:p w:rsidR="00BD084C" w:rsidRPr="004C6D4C" w:rsidRDefault="00BD084C" w:rsidP="0085034D">
            <w:pPr>
              <w:spacing w:after="0" w:line="240" w:lineRule="auto"/>
              <w:jc w:val="both"/>
              <w:rPr>
                <w:rFonts w:ascii="Arial" w:hAnsi="Arial" w:cs="Arial"/>
                <w:b/>
                <w:color w:val="FFFFFF"/>
                <w:sz w:val="20"/>
                <w:szCs w:val="20"/>
              </w:rPr>
            </w:pPr>
            <w:r w:rsidRPr="004C6D4C">
              <w:rPr>
                <w:rFonts w:ascii="Arial" w:hAnsi="Arial" w:cs="Arial"/>
                <w:b/>
                <w:color w:val="FFFFFF"/>
                <w:sz w:val="20"/>
                <w:szCs w:val="20"/>
              </w:rPr>
              <w:t>Treatment of eye involvement</w:t>
            </w:r>
          </w:p>
        </w:tc>
        <w:tc>
          <w:tcPr>
            <w:tcW w:w="7291" w:type="dxa"/>
            <w:shd w:val="clear" w:color="auto" w:fill="E5F4F7"/>
            <w:tcMar>
              <w:top w:w="28" w:type="dxa"/>
              <w:bottom w:w="28" w:type="dxa"/>
            </w:tcMar>
          </w:tcPr>
          <w:p w:rsidR="00BD084C" w:rsidRPr="00396EDD" w:rsidRDefault="00BD084C" w:rsidP="00BD084C">
            <w:pPr>
              <w:numPr>
                <w:ilvl w:val="0"/>
                <w:numId w:val="26"/>
              </w:numPr>
              <w:spacing w:after="0" w:line="240" w:lineRule="auto"/>
              <w:jc w:val="both"/>
              <w:rPr>
                <w:rFonts w:ascii="Arial" w:hAnsi="Arial" w:cs="Arial"/>
                <w:sz w:val="20"/>
                <w:szCs w:val="20"/>
              </w:rPr>
            </w:pPr>
            <w:r w:rsidRPr="00396EDD">
              <w:rPr>
                <w:rFonts w:ascii="Arial" w:hAnsi="Arial" w:cs="Arial"/>
                <w:sz w:val="20"/>
                <w:szCs w:val="20"/>
              </w:rPr>
              <w:t>Daily ophthalmological review is necessary during the acute illness</w:t>
            </w:r>
          </w:p>
          <w:p w:rsidR="00BD084C" w:rsidRPr="00396EDD" w:rsidRDefault="00BD084C" w:rsidP="00BD084C">
            <w:pPr>
              <w:numPr>
                <w:ilvl w:val="0"/>
                <w:numId w:val="26"/>
              </w:numPr>
              <w:spacing w:after="0" w:line="240" w:lineRule="auto"/>
              <w:jc w:val="both"/>
              <w:rPr>
                <w:rFonts w:ascii="Arial" w:hAnsi="Arial" w:cs="Arial"/>
                <w:sz w:val="20"/>
                <w:szCs w:val="20"/>
              </w:rPr>
            </w:pPr>
            <w:r>
              <w:rPr>
                <w:rFonts w:ascii="Arial" w:hAnsi="Arial" w:cs="Arial"/>
                <w:sz w:val="20"/>
                <w:szCs w:val="20"/>
              </w:rPr>
              <w:t xml:space="preserve">Apply an ocular lubricant  (e.g. non-preserved </w:t>
            </w:r>
            <w:proofErr w:type="spellStart"/>
            <w:r>
              <w:rPr>
                <w:rFonts w:ascii="Arial" w:hAnsi="Arial" w:cs="Arial"/>
                <w:sz w:val="20"/>
                <w:szCs w:val="20"/>
              </w:rPr>
              <w:t>hyaluronate</w:t>
            </w:r>
            <w:proofErr w:type="spellEnd"/>
            <w:r>
              <w:rPr>
                <w:rFonts w:ascii="Arial" w:hAnsi="Arial" w:cs="Arial"/>
                <w:sz w:val="20"/>
                <w:szCs w:val="20"/>
              </w:rPr>
              <w:t xml:space="preserve"> or </w:t>
            </w:r>
            <w:proofErr w:type="spellStart"/>
            <w:r>
              <w:rPr>
                <w:rFonts w:ascii="Arial" w:hAnsi="Arial" w:cs="Arial"/>
                <w:sz w:val="20"/>
                <w:szCs w:val="20"/>
              </w:rPr>
              <w:t>carmellose</w:t>
            </w:r>
            <w:proofErr w:type="spellEnd"/>
            <w:r>
              <w:rPr>
                <w:rFonts w:ascii="Arial" w:hAnsi="Arial" w:cs="Arial"/>
                <w:sz w:val="20"/>
                <w:szCs w:val="20"/>
              </w:rPr>
              <w:t xml:space="preserve">  eye drops) every t</w:t>
            </w:r>
            <w:r w:rsidRPr="00396EDD">
              <w:rPr>
                <w:rFonts w:ascii="Arial" w:hAnsi="Arial" w:cs="Arial"/>
                <w:sz w:val="20"/>
                <w:szCs w:val="20"/>
              </w:rPr>
              <w:t>wo hour</w:t>
            </w:r>
            <w:r>
              <w:rPr>
                <w:rFonts w:ascii="Arial" w:hAnsi="Arial" w:cs="Arial"/>
                <w:sz w:val="20"/>
                <w:szCs w:val="20"/>
              </w:rPr>
              <w:t xml:space="preserve">s </w:t>
            </w:r>
            <w:r w:rsidRPr="00396EDD">
              <w:rPr>
                <w:rFonts w:ascii="Arial" w:hAnsi="Arial" w:cs="Arial"/>
                <w:sz w:val="20"/>
                <w:szCs w:val="20"/>
              </w:rPr>
              <w:t>through the acute illness</w:t>
            </w:r>
          </w:p>
          <w:p w:rsidR="00BD084C" w:rsidRPr="00396EDD" w:rsidRDefault="00BD084C" w:rsidP="00BD084C">
            <w:pPr>
              <w:numPr>
                <w:ilvl w:val="0"/>
                <w:numId w:val="26"/>
              </w:numPr>
              <w:spacing w:after="0" w:line="240" w:lineRule="auto"/>
              <w:jc w:val="both"/>
              <w:rPr>
                <w:rFonts w:ascii="Arial" w:hAnsi="Arial" w:cs="Arial"/>
                <w:sz w:val="20"/>
                <w:szCs w:val="20"/>
              </w:rPr>
            </w:pPr>
            <w:r w:rsidRPr="00396EDD">
              <w:rPr>
                <w:rFonts w:ascii="Arial" w:hAnsi="Arial" w:cs="Arial"/>
                <w:sz w:val="20"/>
                <w:szCs w:val="20"/>
              </w:rPr>
              <w:t>Ocular hygiene must be carried out each day by an ophthalmologist or ophthalmic-trained nurse</w:t>
            </w:r>
          </w:p>
          <w:p w:rsidR="00BD084C" w:rsidRPr="00396EDD" w:rsidRDefault="00BD084C" w:rsidP="00BD084C">
            <w:pPr>
              <w:numPr>
                <w:ilvl w:val="0"/>
                <w:numId w:val="26"/>
              </w:numPr>
              <w:spacing w:after="0" w:line="240" w:lineRule="auto"/>
              <w:jc w:val="both"/>
              <w:rPr>
                <w:rFonts w:ascii="Arial" w:hAnsi="Arial" w:cs="Arial"/>
                <w:sz w:val="20"/>
                <w:szCs w:val="20"/>
              </w:rPr>
            </w:pPr>
            <w:r>
              <w:rPr>
                <w:rFonts w:ascii="Arial" w:hAnsi="Arial" w:cs="Arial"/>
                <w:sz w:val="20"/>
                <w:szCs w:val="20"/>
              </w:rPr>
              <w:t>Application of t</w:t>
            </w:r>
            <w:r w:rsidRPr="00396EDD">
              <w:rPr>
                <w:rFonts w:ascii="Arial" w:hAnsi="Arial" w:cs="Arial"/>
                <w:sz w:val="20"/>
                <w:szCs w:val="20"/>
              </w:rPr>
              <w:t>opical corticosteroid</w:t>
            </w:r>
            <w:r>
              <w:rPr>
                <w:rFonts w:ascii="Arial" w:hAnsi="Arial" w:cs="Arial"/>
                <w:sz w:val="20"/>
                <w:szCs w:val="20"/>
              </w:rPr>
              <w:t xml:space="preserve"> drops</w:t>
            </w:r>
            <w:r w:rsidRPr="00396EDD">
              <w:rPr>
                <w:rFonts w:ascii="Arial" w:hAnsi="Arial" w:cs="Arial"/>
                <w:sz w:val="20"/>
                <w:szCs w:val="20"/>
              </w:rPr>
              <w:t xml:space="preserve"> </w:t>
            </w:r>
            <w:r>
              <w:rPr>
                <w:rFonts w:ascii="Arial" w:hAnsi="Arial" w:cs="Arial"/>
                <w:sz w:val="20"/>
                <w:szCs w:val="20"/>
              </w:rPr>
              <w:t>(e.g. non-preserved dexamethasone 0.1% twice a day)</w:t>
            </w:r>
            <w:r w:rsidRPr="00396EDD">
              <w:rPr>
                <w:rFonts w:ascii="Arial" w:hAnsi="Arial" w:cs="Arial"/>
                <w:sz w:val="20"/>
                <w:szCs w:val="20"/>
              </w:rPr>
              <w:t xml:space="preserve"> may reduce ocular surface damage</w:t>
            </w:r>
          </w:p>
          <w:p w:rsidR="00BD084C" w:rsidRPr="00396EDD" w:rsidRDefault="00BD084C" w:rsidP="00BD084C">
            <w:pPr>
              <w:numPr>
                <w:ilvl w:val="0"/>
                <w:numId w:val="26"/>
              </w:numPr>
              <w:spacing w:after="0" w:line="240" w:lineRule="auto"/>
              <w:jc w:val="both"/>
              <w:rPr>
                <w:rFonts w:ascii="Arial" w:hAnsi="Arial" w:cs="Arial"/>
                <w:sz w:val="20"/>
                <w:szCs w:val="20"/>
              </w:rPr>
            </w:pPr>
            <w:r>
              <w:rPr>
                <w:rFonts w:ascii="Arial" w:hAnsi="Arial" w:cs="Arial"/>
                <w:sz w:val="20"/>
                <w:szCs w:val="20"/>
              </w:rPr>
              <w:t>Administer a b</w:t>
            </w:r>
            <w:r w:rsidRPr="00396EDD">
              <w:rPr>
                <w:rFonts w:ascii="Arial" w:hAnsi="Arial" w:cs="Arial"/>
                <w:sz w:val="20"/>
                <w:szCs w:val="20"/>
              </w:rPr>
              <w:t>road-spectrum topical antibiotic</w:t>
            </w:r>
            <w:r>
              <w:rPr>
                <w:rFonts w:ascii="Arial" w:hAnsi="Arial" w:cs="Arial"/>
                <w:sz w:val="20"/>
                <w:szCs w:val="20"/>
              </w:rPr>
              <w:t xml:space="preserve"> as prophylaxis (e.g. moxifloxacin drops four times a day)</w:t>
            </w:r>
            <w:r w:rsidRPr="00396EDD">
              <w:rPr>
                <w:rFonts w:ascii="Arial" w:hAnsi="Arial" w:cs="Arial"/>
                <w:sz w:val="20"/>
                <w:szCs w:val="20"/>
              </w:rPr>
              <w:t xml:space="preserve"> in the presence of corneal fluorescein staining or frank ulceration</w:t>
            </w:r>
          </w:p>
          <w:p w:rsidR="00BD084C" w:rsidRPr="00396EDD" w:rsidRDefault="00BD084C" w:rsidP="00BD084C">
            <w:pPr>
              <w:numPr>
                <w:ilvl w:val="0"/>
                <w:numId w:val="26"/>
              </w:numPr>
              <w:spacing w:after="0" w:line="240" w:lineRule="auto"/>
              <w:jc w:val="both"/>
              <w:rPr>
                <w:rFonts w:ascii="Arial" w:hAnsi="Arial" w:cs="Arial"/>
                <w:sz w:val="20"/>
                <w:szCs w:val="20"/>
              </w:rPr>
            </w:pPr>
            <w:r w:rsidRPr="00396EDD">
              <w:rPr>
                <w:rFonts w:ascii="Arial" w:hAnsi="Arial" w:cs="Arial"/>
                <w:sz w:val="20"/>
                <w:szCs w:val="20"/>
              </w:rPr>
              <w:t>In the unconscious patient, prevention of corneal exposure is essential</w:t>
            </w:r>
          </w:p>
          <w:p w:rsidR="00BD084C" w:rsidRPr="00396EDD" w:rsidRDefault="00BD084C" w:rsidP="0085034D">
            <w:pPr>
              <w:spacing w:after="0" w:line="240" w:lineRule="auto"/>
              <w:jc w:val="both"/>
              <w:rPr>
                <w:rFonts w:ascii="Arial" w:hAnsi="Arial" w:cs="Arial"/>
                <w:b/>
                <w:sz w:val="20"/>
                <w:szCs w:val="20"/>
              </w:rPr>
            </w:pPr>
            <w:r w:rsidRPr="00396EDD">
              <w:rPr>
                <w:rFonts w:ascii="Arial" w:hAnsi="Arial" w:cs="Arial"/>
                <w:b/>
                <w:sz w:val="20"/>
                <w:szCs w:val="20"/>
              </w:rPr>
              <w:t>(Strength of recommendation D (GPP))</w:t>
            </w:r>
          </w:p>
        </w:tc>
      </w:tr>
      <w:tr w:rsidR="00BD084C" w:rsidRPr="00396EDD" w:rsidTr="0085034D">
        <w:tc>
          <w:tcPr>
            <w:tcW w:w="1951" w:type="dxa"/>
            <w:tcBorders>
              <w:top w:val="single" w:sz="2" w:space="0" w:color="FFFFFF" w:themeColor="background1"/>
              <w:bottom w:val="single" w:sz="4" w:space="0" w:color="FFFFFF" w:themeColor="background1"/>
            </w:tcBorders>
            <w:shd w:val="clear" w:color="auto" w:fill="00B0F0"/>
            <w:tcMar>
              <w:top w:w="28" w:type="dxa"/>
              <w:bottom w:w="28" w:type="dxa"/>
            </w:tcMar>
          </w:tcPr>
          <w:p w:rsidR="00BD084C" w:rsidRPr="004C6D4C" w:rsidRDefault="00BD084C" w:rsidP="0085034D">
            <w:pPr>
              <w:spacing w:after="0" w:line="240" w:lineRule="auto"/>
              <w:rPr>
                <w:rFonts w:ascii="Arial" w:hAnsi="Arial" w:cs="Arial"/>
                <w:b/>
                <w:color w:val="FFFFFF"/>
                <w:sz w:val="20"/>
                <w:szCs w:val="20"/>
              </w:rPr>
            </w:pPr>
            <w:r w:rsidRPr="004C6D4C">
              <w:rPr>
                <w:rFonts w:ascii="Arial" w:hAnsi="Arial" w:cs="Arial"/>
                <w:b/>
                <w:color w:val="FFFFFF"/>
                <w:sz w:val="20"/>
                <w:szCs w:val="20"/>
              </w:rPr>
              <w:t>Treatment of mouth involvement</w:t>
            </w:r>
          </w:p>
        </w:tc>
        <w:tc>
          <w:tcPr>
            <w:tcW w:w="7291" w:type="dxa"/>
            <w:shd w:val="clear" w:color="auto" w:fill="E5F4F7"/>
            <w:tcMar>
              <w:top w:w="28" w:type="dxa"/>
              <w:bottom w:w="28" w:type="dxa"/>
            </w:tcMar>
          </w:tcPr>
          <w:p w:rsidR="00BD084C" w:rsidRPr="00396EDD" w:rsidRDefault="00BD084C" w:rsidP="00BD084C">
            <w:pPr>
              <w:numPr>
                <w:ilvl w:val="0"/>
                <w:numId w:val="27"/>
              </w:numPr>
              <w:spacing w:after="0" w:line="240" w:lineRule="auto"/>
              <w:jc w:val="both"/>
              <w:rPr>
                <w:rFonts w:ascii="Arial" w:hAnsi="Arial" w:cs="Arial"/>
                <w:sz w:val="20"/>
                <w:szCs w:val="20"/>
              </w:rPr>
            </w:pPr>
            <w:r w:rsidRPr="00396EDD">
              <w:rPr>
                <w:rFonts w:ascii="Arial" w:hAnsi="Arial" w:cs="Arial"/>
                <w:sz w:val="20"/>
                <w:szCs w:val="20"/>
              </w:rPr>
              <w:t>Daily oral review is necessary during the acute illness</w:t>
            </w:r>
          </w:p>
          <w:p w:rsidR="00BD084C" w:rsidRPr="00334B84" w:rsidRDefault="00BD084C" w:rsidP="00BD084C">
            <w:pPr>
              <w:numPr>
                <w:ilvl w:val="0"/>
                <w:numId w:val="27"/>
              </w:numPr>
              <w:spacing w:after="0" w:line="240" w:lineRule="auto"/>
              <w:jc w:val="both"/>
              <w:rPr>
                <w:rFonts w:ascii="Arial" w:hAnsi="Arial" w:cs="Arial"/>
                <w:sz w:val="20"/>
                <w:szCs w:val="20"/>
              </w:rPr>
            </w:pPr>
            <w:r w:rsidRPr="00334B84">
              <w:rPr>
                <w:rFonts w:ascii="Arial" w:hAnsi="Arial" w:cs="Arial"/>
                <w:sz w:val="20"/>
                <w:szCs w:val="20"/>
              </w:rPr>
              <w:t xml:space="preserve">Apply white soft paraffin ointment to the lips every two hours through the acute illness </w:t>
            </w:r>
          </w:p>
          <w:p w:rsidR="00BD084C" w:rsidRPr="00396EDD" w:rsidRDefault="00BD084C" w:rsidP="00BD084C">
            <w:pPr>
              <w:numPr>
                <w:ilvl w:val="0"/>
                <w:numId w:val="27"/>
              </w:numPr>
              <w:spacing w:after="0" w:line="240" w:lineRule="auto"/>
              <w:jc w:val="both"/>
              <w:rPr>
                <w:rFonts w:ascii="Arial" w:hAnsi="Arial" w:cs="Arial"/>
                <w:sz w:val="20"/>
                <w:szCs w:val="20"/>
              </w:rPr>
            </w:pPr>
            <w:r w:rsidRPr="00396EDD">
              <w:rPr>
                <w:rFonts w:ascii="Arial" w:hAnsi="Arial" w:cs="Arial"/>
                <w:sz w:val="20"/>
                <w:szCs w:val="20"/>
              </w:rPr>
              <w:t>Clean the mouth daily with warm saline mouthwashes or an oral sponge</w:t>
            </w:r>
          </w:p>
          <w:p w:rsidR="00BD084C" w:rsidRPr="00396EDD" w:rsidRDefault="00BD084C" w:rsidP="00BD084C">
            <w:pPr>
              <w:numPr>
                <w:ilvl w:val="0"/>
                <w:numId w:val="27"/>
              </w:numPr>
              <w:spacing w:after="0" w:line="240" w:lineRule="auto"/>
              <w:jc w:val="both"/>
              <w:rPr>
                <w:rFonts w:ascii="Arial" w:hAnsi="Arial" w:cs="Arial"/>
                <w:sz w:val="20"/>
                <w:szCs w:val="20"/>
              </w:rPr>
            </w:pPr>
            <w:r w:rsidRPr="00396EDD">
              <w:rPr>
                <w:rFonts w:ascii="Arial" w:hAnsi="Arial" w:cs="Arial"/>
                <w:sz w:val="20"/>
                <w:szCs w:val="20"/>
              </w:rPr>
              <w:t xml:space="preserve">Use an anti-inflammatory oral rinse or spray containing </w:t>
            </w:r>
            <w:proofErr w:type="spellStart"/>
            <w:r w:rsidRPr="00396EDD">
              <w:rPr>
                <w:rFonts w:ascii="Arial" w:hAnsi="Arial" w:cs="Arial"/>
                <w:sz w:val="20"/>
                <w:szCs w:val="20"/>
              </w:rPr>
              <w:t>benzydamine</w:t>
            </w:r>
            <w:proofErr w:type="spellEnd"/>
            <w:r w:rsidRPr="00396EDD">
              <w:rPr>
                <w:rFonts w:ascii="Arial" w:hAnsi="Arial" w:cs="Arial"/>
                <w:sz w:val="20"/>
                <w:szCs w:val="20"/>
              </w:rPr>
              <w:t xml:space="preserve"> hydrochloride every three hours, particularly before eating</w:t>
            </w:r>
          </w:p>
          <w:p w:rsidR="00BD084C" w:rsidRPr="00396EDD" w:rsidRDefault="00BD084C" w:rsidP="00BD084C">
            <w:pPr>
              <w:numPr>
                <w:ilvl w:val="0"/>
                <w:numId w:val="27"/>
              </w:numPr>
              <w:spacing w:after="0" w:line="240" w:lineRule="auto"/>
              <w:jc w:val="both"/>
              <w:rPr>
                <w:rFonts w:ascii="Arial" w:hAnsi="Arial" w:cs="Arial"/>
                <w:sz w:val="20"/>
                <w:szCs w:val="20"/>
              </w:rPr>
            </w:pPr>
            <w:r w:rsidRPr="00396EDD">
              <w:rPr>
                <w:rFonts w:ascii="Arial" w:hAnsi="Arial" w:cs="Arial"/>
                <w:sz w:val="20"/>
                <w:szCs w:val="20"/>
              </w:rPr>
              <w:t>Use an anti-septic oral rinse containing chlorhexidine twice a day</w:t>
            </w:r>
          </w:p>
          <w:p w:rsidR="00BD084C" w:rsidRPr="00396EDD" w:rsidRDefault="00BD084C" w:rsidP="00BD084C">
            <w:pPr>
              <w:numPr>
                <w:ilvl w:val="0"/>
                <w:numId w:val="27"/>
              </w:numPr>
              <w:spacing w:after="0" w:line="240" w:lineRule="auto"/>
              <w:jc w:val="both"/>
              <w:rPr>
                <w:rFonts w:ascii="Arial" w:hAnsi="Arial" w:cs="Arial"/>
                <w:sz w:val="20"/>
                <w:szCs w:val="20"/>
              </w:rPr>
            </w:pPr>
            <w:r w:rsidRPr="00396EDD">
              <w:rPr>
                <w:rFonts w:ascii="Arial" w:hAnsi="Arial" w:cs="Arial"/>
                <w:sz w:val="20"/>
                <w:szCs w:val="20"/>
              </w:rPr>
              <w:t>Use a potent topical corticosteroid mouthwash (e.g. betamethasone sodium phosphate) four times a day</w:t>
            </w:r>
          </w:p>
          <w:p w:rsidR="00BD084C" w:rsidRPr="00396EDD" w:rsidRDefault="00BD084C" w:rsidP="0085034D">
            <w:pPr>
              <w:spacing w:after="0" w:line="240" w:lineRule="auto"/>
              <w:jc w:val="both"/>
              <w:rPr>
                <w:rFonts w:ascii="Arial" w:hAnsi="Arial" w:cs="Arial"/>
                <w:b/>
                <w:sz w:val="20"/>
                <w:szCs w:val="20"/>
              </w:rPr>
            </w:pPr>
            <w:r w:rsidRPr="00396EDD">
              <w:rPr>
                <w:rFonts w:ascii="Arial" w:hAnsi="Arial" w:cs="Arial"/>
                <w:b/>
                <w:sz w:val="20"/>
                <w:szCs w:val="20"/>
              </w:rPr>
              <w:lastRenderedPageBreak/>
              <w:t>(Strength of recommendation D (GPP))</w:t>
            </w:r>
          </w:p>
        </w:tc>
      </w:tr>
      <w:tr w:rsidR="00BD084C" w:rsidRPr="00396EDD" w:rsidTr="0085034D">
        <w:tc>
          <w:tcPr>
            <w:tcW w:w="1951" w:type="dxa"/>
            <w:tcBorders>
              <w:top w:val="single" w:sz="2" w:space="0" w:color="FFFFFF" w:themeColor="background1"/>
              <w:bottom w:val="single" w:sz="2" w:space="0" w:color="FFFFFF" w:themeColor="background1"/>
            </w:tcBorders>
            <w:shd w:val="clear" w:color="auto" w:fill="00B0F0"/>
            <w:tcMar>
              <w:top w:w="28" w:type="dxa"/>
              <w:bottom w:w="28" w:type="dxa"/>
            </w:tcMar>
          </w:tcPr>
          <w:p w:rsidR="00BD084C" w:rsidRPr="004C6D4C" w:rsidRDefault="00BD084C" w:rsidP="0085034D">
            <w:pPr>
              <w:spacing w:after="0" w:line="240" w:lineRule="auto"/>
              <w:rPr>
                <w:rFonts w:ascii="Arial" w:hAnsi="Arial" w:cs="Arial"/>
                <w:b/>
                <w:color w:val="FFFFFF"/>
                <w:sz w:val="20"/>
                <w:szCs w:val="20"/>
              </w:rPr>
            </w:pPr>
            <w:r w:rsidRPr="004C6D4C">
              <w:rPr>
                <w:rFonts w:ascii="Arial" w:hAnsi="Arial" w:cs="Arial"/>
                <w:b/>
                <w:color w:val="FFFFFF"/>
                <w:sz w:val="20"/>
                <w:szCs w:val="20"/>
              </w:rPr>
              <w:lastRenderedPageBreak/>
              <w:t>Treatment of urogenital involvement</w:t>
            </w:r>
          </w:p>
        </w:tc>
        <w:tc>
          <w:tcPr>
            <w:tcW w:w="7291" w:type="dxa"/>
            <w:shd w:val="clear" w:color="auto" w:fill="E5F4F7"/>
            <w:tcMar>
              <w:top w:w="28" w:type="dxa"/>
              <w:bottom w:w="28" w:type="dxa"/>
            </w:tcMar>
          </w:tcPr>
          <w:p w:rsidR="00BD084C" w:rsidRPr="00396EDD" w:rsidRDefault="00BD084C" w:rsidP="00BD084C">
            <w:pPr>
              <w:numPr>
                <w:ilvl w:val="0"/>
                <w:numId w:val="28"/>
              </w:numPr>
              <w:spacing w:after="0" w:line="240" w:lineRule="auto"/>
              <w:jc w:val="both"/>
              <w:rPr>
                <w:rFonts w:ascii="Arial" w:hAnsi="Arial" w:cs="Arial"/>
                <w:sz w:val="20"/>
                <w:szCs w:val="20"/>
              </w:rPr>
            </w:pPr>
            <w:r w:rsidRPr="00396EDD">
              <w:rPr>
                <w:rFonts w:ascii="Arial" w:hAnsi="Arial" w:cs="Arial"/>
                <w:sz w:val="20"/>
                <w:szCs w:val="20"/>
              </w:rPr>
              <w:t>Daily urogenital review is necessary during the acute illness</w:t>
            </w:r>
          </w:p>
          <w:p w:rsidR="00BD084C" w:rsidRPr="00334B84" w:rsidRDefault="00BD084C" w:rsidP="00BD084C">
            <w:pPr>
              <w:numPr>
                <w:ilvl w:val="0"/>
                <w:numId w:val="28"/>
              </w:numPr>
              <w:spacing w:after="0" w:line="240" w:lineRule="auto"/>
              <w:jc w:val="both"/>
              <w:rPr>
                <w:rFonts w:ascii="Arial" w:hAnsi="Arial" w:cs="Arial"/>
                <w:sz w:val="20"/>
                <w:szCs w:val="20"/>
              </w:rPr>
            </w:pPr>
            <w:r w:rsidRPr="00334B84">
              <w:rPr>
                <w:rFonts w:ascii="Arial" w:hAnsi="Arial" w:cs="Arial"/>
                <w:sz w:val="20"/>
                <w:szCs w:val="20"/>
              </w:rPr>
              <w:t xml:space="preserve">Apply white soft paraffin ointment to the urogenital skin and mucosae every four hours through the acute illness </w:t>
            </w:r>
          </w:p>
          <w:p w:rsidR="00BD084C" w:rsidRPr="00396EDD" w:rsidRDefault="00BD084C" w:rsidP="00BD084C">
            <w:pPr>
              <w:numPr>
                <w:ilvl w:val="0"/>
                <w:numId w:val="28"/>
              </w:numPr>
              <w:spacing w:after="0" w:line="240" w:lineRule="auto"/>
              <w:jc w:val="both"/>
              <w:rPr>
                <w:rFonts w:ascii="Arial" w:hAnsi="Arial" w:cs="Arial"/>
                <w:sz w:val="20"/>
                <w:szCs w:val="20"/>
              </w:rPr>
            </w:pPr>
            <w:r w:rsidRPr="00396EDD">
              <w:rPr>
                <w:rFonts w:ascii="Arial" w:hAnsi="Arial" w:cs="Arial"/>
                <w:sz w:val="20"/>
                <w:szCs w:val="20"/>
              </w:rPr>
              <w:t xml:space="preserve">Use a </w:t>
            </w:r>
            <w:r>
              <w:rPr>
                <w:rFonts w:ascii="Arial" w:hAnsi="Arial" w:cs="Arial"/>
                <w:sz w:val="20"/>
                <w:szCs w:val="20"/>
              </w:rPr>
              <w:t xml:space="preserve">potent </w:t>
            </w:r>
            <w:r w:rsidRPr="00396EDD">
              <w:rPr>
                <w:rFonts w:ascii="Arial" w:hAnsi="Arial" w:cs="Arial"/>
                <w:sz w:val="20"/>
                <w:szCs w:val="20"/>
              </w:rPr>
              <w:t xml:space="preserve">topical corticosteroid </w:t>
            </w:r>
            <w:r>
              <w:rPr>
                <w:rFonts w:ascii="Arial" w:hAnsi="Arial" w:cs="Arial"/>
                <w:sz w:val="20"/>
                <w:szCs w:val="20"/>
              </w:rPr>
              <w:t>ointment</w:t>
            </w:r>
            <w:r w:rsidRPr="00396EDD">
              <w:rPr>
                <w:rFonts w:ascii="Arial" w:hAnsi="Arial" w:cs="Arial"/>
                <w:sz w:val="20"/>
                <w:szCs w:val="20"/>
              </w:rPr>
              <w:t xml:space="preserve"> </w:t>
            </w:r>
            <w:r>
              <w:rPr>
                <w:rFonts w:ascii="Arial" w:hAnsi="Arial" w:cs="Arial"/>
                <w:sz w:val="20"/>
                <w:szCs w:val="20"/>
              </w:rPr>
              <w:t>once</w:t>
            </w:r>
            <w:r w:rsidRPr="00396EDD">
              <w:rPr>
                <w:rFonts w:ascii="Arial" w:hAnsi="Arial" w:cs="Arial"/>
                <w:sz w:val="20"/>
                <w:szCs w:val="20"/>
              </w:rPr>
              <w:t xml:space="preserve"> </w:t>
            </w:r>
            <w:r>
              <w:rPr>
                <w:rFonts w:ascii="Arial" w:hAnsi="Arial" w:cs="Arial"/>
                <w:sz w:val="20"/>
                <w:szCs w:val="20"/>
              </w:rPr>
              <w:t>a day</w:t>
            </w:r>
            <w:r w:rsidRPr="00396EDD">
              <w:rPr>
                <w:rFonts w:ascii="Arial" w:hAnsi="Arial" w:cs="Arial"/>
                <w:sz w:val="20"/>
                <w:szCs w:val="20"/>
              </w:rPr>
              <w:t xml:space="preserve"> to the involved, but non-eroded, surfaces</w:t>
            </w:r>
          </w:p>
          <w:p w:rsidR="00BD084C" w:rsidRPr="00396EDD" w:rsidRDefault="00BD084C" w:rsidP="00BD084C">
            <w:pPr>
              <w:numPr>
                <w:ilvl w:val="0"/>
                <w:numId w:val="28"/>
              </w:numPr>
              <w:spacing w:after="0" w:line="240" w:lineRule="auto"/>
              <w:jc w:val="both"/>
              <w:rPr>
                <w:rFonts w:ascii="Arial" w:hAnsi="Arial" w:cs="Arial"/>
                <w:sz w:val="20"/>
                <w:szCs w:val="20"/>
              </w:rPr>
            </w:pPr>
            <w:r w:rsidRPr="00396EDD">
              <w:rPr>
                <w:rFonts w:ascii="Arial" w:hAnsi="Arial" w:cs="Arial"/>
                <w:sz w:val="20"/>
                <w:szCs w:val="20"/>
              </w:rPr>
              <w:t xml:space="preserve">Use a silicone dressing  (e.g. </w:t>
            </w:r>
            <w:proofErr w:type="spellStart"/>
            <w:r w:rsidRPr="00396EDD">
              <w:rPr>
                <w:rFonts w:ascii="Arial" w:hAnsi="Arial" w:cs="Arial"/>
                <w:sz w:val="20"/>
                <w:szCs w:val="20"/>
              </w:rPr>
              <w:t>Mepitel</w:t>
            </w:r>
            <w:r w:rsidRPr="00396EDD">
              <w:rPr>
                <w:rFonts w:ascii="Arial" w:hAnsi="Arial" w:cs="Arial"/>
                <w:sz w:val="20"/>
                <w:szCs w:val="20"/>
                <w:vertAlign w:val="superscript"/>
              </w:rPr>
              <w:t>TM</w:t>
            </w:r>
            <w:proofErr w:type="spellEnd"/>
            <w:r w:rsidRPr="00396EDD">
              <w:rPr>
                <w:rFonts w:ascii="Arial" w:hAnsi="Arial" w:cs="Arial"/>
                <w:sz w:val="20"/>
                <w:szCs w:val="20"/>
              </w:rPr>
              <w:t>)  to eroded areas</w:t>
            </w:r>
          </w:p>
          <w:p w:rsidR="00BD084C" w:rsidRPr="00396EDD" w:rsidRDefault="00BD084C" w:rsidP="0085034D">
            <w:pPr>
              <w:spacing w:after="0" w:line="240" w:lineRule="auto"/>
              <w:jc w:val="both"/>
              <w:rPr>
                <w:rFonts w:ascii="Arial" w:hAnsi="Arial" w:cs="Arial"/>
                <w:b/>
                <w:sz w:val="20"/>
                <w:szCs w:val="20"/>
              </w:rPr>
            </w:pPr>
            <w:r w:rsidRPr="00396EDD">
              <w:rPr>
                <w:rFonts w:ascii="Arial" w:hAnsi="Arial" w:cs="Arial"/>
                <w:b/>
                <w:sz w:val="20"/>
                <w:szCs w:val="20"/>
              </w:rPr>
              <w:t>(Strength of recommendation D (GPP))</w:t>
            </w:r>
          </w:p>
        </w:tc>
      </w:tr>
      <w:tr w:rsidR="00BD084C" w:rsidRPr="00396EDD" w:rsidTr="0085034D">
        <w:tc>
          <w:tcPr>
            <w:tcW w:w="1951" w:type="dxa"/>
            <w:tcBorders>
              <w:top w:val="single" w:sz="2" w:space="0" w:color="FFFFFF" w:themeColor="background1"/>
              <w:bottom w:val="single" w:sz="2" w:space="0" w:color="FFFFFF" w:themeColor="background1"/>
            </w:tcBorders>
            <w:shd w:val="clear" w:color="auto" w:fill="00B0F0"/>
            <w:tcMar>
              <w:top w:w="28" w:type="dxa"/>
              <w:bottom w:w="28" w:type="dxa"/>
            </w:tcMar>
          </w:tcPr>
          <w:p w:rsidR="00BD084C" w:rsidRPr="004C6D4C" w:rsidRDefault="00BD084C" w:rsidP="0085034D">
            <w:pPr>
              <w:spacing w:after="0" w:line="240" w:lineRule="auto"/>
              <w:rPr>
                <w:rFonts w:ascii="Arial" w:hAnsi="Arial" w:cs="Arial"/>
                <w:b/>
                <w:color w:val="FFFFFF"/>
                <w:sz w:val="20"/>
                <w:szCs w:val="20"/>
              </w:rPr>
            </w:pPr>
            <w:r w:rsidRPr="004C6D4C">
              <w:rPr>
                <w:rFonts w:ascii="Arial" w:hAnsi="Arial" w:cs="Arial"/>
                <w:b/>
                <w:color w:val="FFFFFF"/>
                <w:sz w:val="20"/>
                <w:szCs w:val="20"/>
              </w:rPr>
              <w:t>Treatment of airway involvement</w:t>
            </w:r>
          </w:p>
        </w:tc>
        <w:tc>
          <w:tcPr>
            <w:tcW w:w="7291" w:type="dxa"/>
            <w:shd w:val="clear" w:color="auto" w:fill="E5F4F7"/>
            <w:tcMar>
              <w:top w:w="28" w:type="dxa"/>
              <w:bottom w:w="28" w:type="dxa"/>
            </w:tcMar>
          </w:tcPr>
          <w:p w:rsidR="00BD084C" w:rsidRPr="00396EDD" w:rsidRDefault="00BD084C" w:rsidP="00BD084C">
            <w:pPr>
              <w:numPr>
                <w:ilvl w:val="0"/>
                <w:numId w:val="29"/>
              </w:numPr>
              <w:spacing w:after="0" w:line="240" w:lineRule="auto"/>
              <w:jc w:val="both"/>
              <w:rPr>
                <w:rFonts w:ascii="Arial" w:hAnsi="Arial" w:cs="Arial"/>
                <w:sz w:val="20"/>
                <w:szCs w:val="20"/>
              </w:rPr>
            </w:pPr>
            <w:r w:rsidRPr="00396EDD">
              <w:rPr>
                <w:rFonts w:ascii="Arial" w:hAnsi="Arial" w:cs="Arial"/>
                <w:sz w:val="20"/>
                <w:szCs w:val="20"/>
              </w:rPr>
              <w:t>Respiratory symptoms and hypoxaemia on admission should prompt early discussion with an intensivist and rapid transfer to an ICU</w:t>
            </w:r>
            <w:r>
              <w:rPr>
                <w:rFonts w:ascii="Arial" w:hAnsi="Arial" w:cs="Arial"/>
                <w:sz w:val="20"/>
                <w:szCs w:val="20"/>
              </w:rPr>
              <w:t xml:space="preserve"> or Burn Centre</w:t>
            </w:r>
            <w:r w:rsidRPr="00396EDD">
              <w:rPr>
                <w:rFonts w:ascii="Arial" w:hAnsi="Arial" w:cs="Arial"/>
                <w:sz w:val="20"/>
                <w:szCs w:val="20"/>
              </w:rPr>
              <w:t>, where fibre-optic bronchoscopy should be undertaken</w:t>
            </w:r>
          </w:p>
          <w:p w:rsidR="00BD084C" w:rsidRPr="00396EDD" w:rsidRDefault="00BD084C" w:rsidP="0085034D">
            <w:pPr>
              <w:spacing w:after="0" w:line="240" w:lineRule="auto"/>
              <w:jc w:val="both"/>
              <w:rPr>
                <w:rFonts w:ascii="Arial" w:hAnsi="Arial" w:cs="Arial"/>
                <w:b/>
                <w:sz w:val="20"/>
                <w:szCs w:val="20"/>
              </w:rPr>
            </w:pPr>
            <w:r w:rsidRPr="00396EDD">
              <w:rPr>
                <w:rFonts w:ascii="Arial" w:hAnsi="Arial" w:cs="Arial"/>
                <w:b/>
                <w:sz w:val="20"/>
                <w:szCs w:val="20"/>
              </w:rPr>
              <w:t xml:space="preserve"> (Strength of recommendation D (GPP))</w:t>
            </w:r>
          </w:p>
        </w:tc>
      </w:tr>
      <w:tr w:rsidR="00BD084C" w:rsidRPr="00396EDD" w:rsidTr="0085034D">
        <w:tc>
          <w:tcPr>
            <w:tcW w:w="1951" w:type="dxa"/>
            <w:tcBorders>
              <w:top w:val="single" w:sz="2" w:space="0" w:color="FFFFFF" w:themeColor="background1"/>
              <w:bottom w:val="single" w:sz="2" w:space="0" w:color="FFFFFF" w:themeColor="background1"/>
            </w:tcBorders>
            <w:shd w:val="clear" w:color="auto" w:fill="00B0F0"/>
            <w:tcMar>
              <w:top w:w="28" w:type="dxa"/>
              <w:bottom w:w="28" w:type="dxa"/>
            </w:tcMar>
          </w:tcPr>
          <w:p w:rsidR="00BD084C" w:rsidRPr="004C6D4C" w:rsidRDefault="00BD084C" w:rsidP="0085034D">
            <w:pPr>
              <w:spacing w:after="0" w:line="240" w:lineRule="auto"/>
              <w:jc w:val="both"/>
              <w:rPr>
                <w:rFonts w:ascii="Arial" w:hAnsi="Arial" w:cs="Arial"/>
                <w:b/>
                <w:color w:val="FFFFFF"/>
                <w:sz w:val="20"/>
                <w:szCs w:val="20"/>
              </w:rPr>
            </w:pPr>
            <w:r w:rsidRPr="004C6D4C">
              <w:rPr>
                <w:rFonts w:ascii="Arial" w:hAnsi="Arial" w:cs="Arial"/>
                <w:b/>
                <w:color w:val="FFFFFF"/>
                <w:sz w:val="20"/>
                <w:szCs w:val="20"/>
              </w:rPr>
              <w:t>Active therapy</w:t>
            </w:r>
          </w:p>
        </w:tc>
        <w:tc>
          <w:tcPr>
            <w:tcW w:w="7291" w:type="dxa"/>
            <w:shd w:val="clear" w:color="auto" w:fill="E5F4F7"/>
            <w:tcMar>
              <w:top w:w="28" w:type="dxa"/>
              <w:bottom w:w="28" w:type="dxa"/>
            </w:tcMar>
          </w:tcPr>
          <w:p w:rsidR="00BD084C" w:rsidRDefault="00BD084C" w:rsidP="00BD084C">
            <w:pPr>
              <w:numPr>
                <w:ilvl w:val="0"/>
                <w:numId w:val="30"/>
              </w:numPr>
              <w:spacing w:after="0" w:line="240" w:lineRule="auto"/>
              <w:jc w:val="both"/>
              <w:rPr>
                <w:rFonts w:ascii="Arial" w:hAnsi="Arial" w:cs="Arial"/>
                <w:sz w:val="20"/>
                <w:szCs w:val="20"/>
              </w:rPr>
            </w:pPr>
            <w:r>
              <w:t xml:space="preserve"> </w:t>
            </w:r>
            <w:r w:rsidRPr="00F10A73">
              <w:rPr>
                <w:rFonts w:ascii="Arial" w:hAnsi="Arial" w:cs="Arial"/>
                <w:sz w:val="20"/>
                <w:szCs w:val="20"/>
              </w:rPr>
              <w:t>If active therapy is instituted it should be given</w:t>
            </w:r>
            <w:r>
              <w:rPr>
                <w:rFonts w:ascii="Arial" w:hAnsi="Arial" w:cs="Arial"/>
                <w:sz w:val="20"/>
                <w:szCs w:val="20"/>
              </w:rPr>
              <w:t>, ideally,</w:t>
            </w:r>
            <w:r w:rsidRPr="00F10A73">
              <w:rPr>
                <w:rFonts w:ascii="Arial" w:hAnsi="Arial" w:cs="Arial"/>
                <w:sz w:val="20"/>
                <w:szCs w:val="20"/>
              </w:rPr>
              <w:t xml:space="preserve"> under the supervision of a specialist skin failure MDT in the context of clinical research </w:t>
            </w:r>
            <w:r>
              <w:rPr>
                <w:rFonts w:ascii="Arial" w:hAnsi="Arial" w:cs="Arial"/>
                <w:sz w:val="20"/>
                <w:szCs w:val="20"/>
              </w:rPr>
              <w:t>and/</w:t>
            </w:r>
            <w:r w:rsidRPr="00F10A73">
              <w:rPr>
                <w:rFonts w:ascii="Arial" w:hAnsi="Arial" w:cs="Arial"/>
                <w:sz w:val="20"/>
                <w:szCs w:val="20"/>
              </w:rPr>
              <w:t>or case registry</w:t>
            </w:r>
          </w:p>
          <w:p w:rsidR="00BD084C" w:rsidRPr="00396EDD" w:rsidRDefault="00BD084C" w:rsidP="0085034D">
            <w:pPr>
              <w:spacing w:after="0" w:line="240" w:lineRule="auto"/>
              <w:jc w:val="both"/>
              <w:rPr>
                <w:rFonts w:ascii="Arial" w:hAnsi="Arial" w:cs="Arial"/>
                <w:sz w:val="20"/>
                <w:szCs w:val="20"/>
              </w:rPr>
            </w:pPr>
            <w:r w:rsidRPr="00396EDD">
              <w:rPr>
                <w:rFonts w:ascii="Arial" w:hAnsi="Arial" w:cs="Arial"/>
                <w:b/>
                <w:sz w:val="20"/>
                <w:szCs w:val="20"/>
              </w:rPr>
              <w:t>(Strength of recommendation D)</w:t>
            </w:r>
          </w:p>
        </w:tc>
      </w:tr>
      <w:tr w:rsidR="00BD084C" w:rsidRPr="00396EDD" w:rsidTr="0085034D">
        <w:tc>
          <w:tcPr>
            <w:tcW w:w="1951" w:type="dxa"/>
            <w:tcBorders>
              <w:top w:val="single" w:sz="2" w:space="0" w:color="FFFFFF" w:themeColor="background1"/>
              <w:bottom w:val="single" w:sz="2" w:space="0" w:color="FFFFFF" w:themeColor="background1"/>
            </w:tcBorders>
            <w:shd w:val="clear" w:color="auto" w:fill="00B0F0"/>
            <w:tcMar>
              <w:top w:w="28" w:type="dxa"/>
              <w:bottom w:w="28" w:type="dxa"/>
            </w:tcMar>
          </w:tcPr>
          <w:p w:rsidR="00BD084C" w:rsidRPr="004C6D4C" w:rsidRDefault="00BD084C" w:rsidP="0085034D">
            <w:pPr>
              <w:spacing w:after="0" w:line="240" w:lineRule="auto"/>
              <w:rPr>
                <w:rFonts w:ascii="Arial" w:hAnsi="Arial" w:cs="Arial"/>
                <w:b/>
                <w:color w:val="FFFFFF"/>
                <w:sz w:val="20"/>
                <w:szCs w:val="20"/>
              </w:rPr>
            </w:pPr>
            <w:r w:rsidRPr="004C6D4C">
              <w:rPr>
                <w:rFonts w:ascii="Arial" w:hAnsi="Arial" w:cs="Arial"/>
                <w:b/>
                <w:color w:val="FFFFFF"/>
                <w:sz w:val="20"/>
                <w:szCs w:val="20"/>
              </w:rPr>
              <w:t>Discharge and follow-up</w:t>
            </w:r>
          </w:p>
        </w:tc>
        <w:tc>
          <w:tcPr>
            <w:tcW w:w="7291" w:type="dxa"/>
            <w:shd w:val="clear" w:color="auto" w:fill="E5F4F7"/>
            <w:tcMar>
              <w:top w:w="28" w:type="dxa"/>
              <w:bottom w:w="28" w:type="dxa"/>
            </w:tcMar>
          </w:tcPr>
          <w:p w:rsidR="00BD084C" w:rsidRPr="00396EDD" w:rsidRDefault="00BD084C" w:rsidP="00BD084C">
            <w:pPr>
              <w:numPr>
                <w:ilvl w:val="0"/>
                <w:numId w:val="30"/>
              </w:numPr>
              <w:spacing w:after="0" w:line="240" w:lineRule="auto"/>
              <w:ind w:left="357" w:hanging="357"/>
              <w:jc w:val="both"/>
              <w:rPr>
                <w:rFonts w:ascii="Arial" w:hAnsi="Arial" w:cs="Arial"/>
                <w:sz w:val="20"/>
                <w:szCs w:val="20"/>
              </w:rPr>
            </w:pPr>
            <w:r w:rsidRPr="00396EDD">
              <w:rPr>
                <w:rFonts w:ascii="Arial" w:hAnsi="Arial" w:cs="Arial"/>
                <w:sz w:val="20"/>
                <w:szCs w:val="20"/>
              </w:rPr>
              <w:t>Give the patient written information about drug(s) to avoid</w:t>
            </w:r>
          </w:p>
          <w:p w:rsidR="00BD084C" w:rsidRPr="00396EDD" w:rsidRDefault="00BD084C" w:rsidP="00BD084C">
            <w:pPr>
              <w:numPr>
                <w:ilvl w:val="0"/>
                <w:numId w:val="30"/>
              </w:numPr>
              <w:spacing w:after="0" w:line="240" w:lineRule="auto"/>
              <w:ind w:left="357" w:hanging="357"/>
              <w:jc w:val="both"/>
              <w:rPr>
                <w:rFonts w:ascii="Arial" w:hAnsi="Arial" w:cs="Arial"/>
                <w:sz w:val="20"/>
                <w:szCs w:val="20"/>
              </w:rPr>
            </w:pPr>
            <w:r w:rsidRPr="00396EDD">
              <w:rPr>
                <w:rFonts w:ascii="Arial" w:hAnsi="Arial" w:cs="Arial"/>
                <w:sz w:val="20"/>
                <w:szCs w:val="20"/>
              </w:rPr>
              <w:t xml:space="preserve">Encourage the patient to wear a </w:t>
            </w:r>
            <w:proofErr w:type="spellStart"/>
            <w:r w:rsidRPr="00396EDD">
              <w:rPr>
                <w:rFonts w:ascii="Arial" w:hAnsi="Arial" w:cs="Arial"/>
                <w:sz w:val="20"/>
                <w:szCs w:val="20"/>
              </w:rPr>
              <w:t>MedicAlert</w:t>
            </w:r>
            <w:proofErr w:type="spellEnd"/>
            <w:r w:rsidRPr="00396EDD">
              <w:rPr>
                <w:rFonts w:ascii="Arial" w:hAnsi="Arial" w:cs="Arial"/>
                <w:sz w:val="20"/>
                <w:szCs w:val="20"/>
              </w:rPr>
              <w:t xml:space="preserve"> bracelet</w:t>
            </w:r>
          </w:p>
          <w:p w:rsidR="00BD084C" w:rsidRPr="00396EDD" w:rsidRDefault="00BD084C" w:rsidP="00BD084C">
            <w:pPr>
              <w:numPr>
                <w:ilvl w:val="0"/>
                <w:numId w:val="30"/>
              </w:numPr>
              <w:spacing w:after="0" w:line="240" w:lineRule="auto"/>
              <w:ind w:left="357" w:hanging="357"/>
              <w:jc w:val="both"/>
              <w:rPr>
                <w:rFonts w:ascii="Arial" w:hAnsi="Arial" w:cs="Arial"/>
                <w:sz w:val="20"/>
                <w:szCs w:val="20"/>
              </w:rPr>
            </w:pPr>
            <w:r w:rsidRPr="00396EDD">
              <w:rPr>
                <w:rFonts w:ascii="Arial" w:hAnsi="Arial" w:cs="Arial"/>
                <w:sz w:val="20"/>
                <w:szCs w:val="20"/>
              </w:rPr>
              <w:t>Drug allergy should be documented in the patient’s notes</w:t>
            </w:r>
            <w:r>
              <w:rPr>
                <w:rFonts w:ascii="Arial" w:hAnsi="Arial" w:cs="Arial"/>
                <w:sz w:val="20"/>
                <w:szCs w:val="20"/>
              </w:rPr>
              <w:t>;</w:t>
            </w:r>
            <w:r w:rsidRPr="00396EDD">
              <w:rPr>
                <w:rFonts w:ascii="Arial" w:hAnsi="Arial" w:cs="Arial"/>
                <w:sz w:val="20"/>
                <w:szCs w:val="20"/>
              </w:rPr>
              <w:t xml:space="preserve"> all doctors involved in the patient’s care should be informed</w:t>
            </w:r>
          </w:p>
          <w:p w:rsidR="00BD084C" w:rsidRPr="00396EDD" w:rsidRDefault="00BD084C" w:rsidP="00BD084C">
            <w:pPr>
              <w:numPr>
                <w:ilvl w:val="0"/>
                <w:numId w:val="30"/>
              </w:numPr>
              <w:spacing w:after="0" w:line="240" w:lineRule="auto"/>
              <w:ind w:left="357" w:hanging="357"/>
              <w:jc w:val="both"/>
              <w:rPr>
                <w:rFonts w:ascii="Arial" w:hAnsi="Arial" w:cs="Arial"/>
                <w:sz w:val="20"/>
                <w:szCs w:val="20"/>
              </w:rPr>
            </w:pPr>
            <w:r w:rsidRPr="00396EDD">
              <w:rPr>
                <w:rFonts w:ascii="Arial" w:hAnsi="Arial" w:cs="Arial"/>
                <w:sz w:val="20"/>
                <w:szCs w:val="20"/>
              </w:rPr>
              <w:t>Report the episode to the national pharmacovigilance authorities</w:t>
            </w:r>
          </w:p>
          <w:p w:rsidR="00BD084C" w:rsidRDefault="00BD084C" w:rsidP="00BD084C">
            <w:pPr>
              <w:numPr>
                <w:ilvl w:val="0"/>
                <w:numId w:val="30"/>
              </w:numPr>
              <w:spacing w:after="0" w:line="240" w:lineRule="auto"/>
              <w:ind w:left="357" w:hanging="357"/>
              <w:jc w:val="both"/>
              <w:rPr>
                <w:rFonts w:ascii="Arial" w:hAnsi="Arial" w:cs="Arial"/>
                <w:sz w:val="20"/>
                <w:szCs w:val="20"/>
              </w:rPr>
            </w:pPr>
            <w:r w:rsidRPr="00396EDD">
              <w:rPr>
                <w:rFonts w:ascii="Arial" w:hAnsi="Arial" w:cs="Arial"/>
                <w:sz w:val="20"/>
                <w:szCs w:val="20"/>
              </w:rPr>
              <w:t xml:space="preserve">Organize </w:t>
            </w:r>
            <w:r>
              <w:rPr>
                <w:rFonts w:ascii="Arial" w:hAnsi="Arial" w:cs="Arial"/>
                <w:sz w:val="20"/>
                <w:szCs w:val="20"/>
              </w:rPr>
              <w:t xml:space="preserve">an </w:t>
            </w:r>
            <w:r w:rsidRPr="00396EDD">
              <w:rPr>
                <w:rFonts w:ascii="Arial" w:hAnsi="Arial" w:cs="Arial"/>
                <w:sz w:val="20"/>
                <w:szCs w:val="20"/>
              </w:rPr>
              <w:t>out-patient clinic appointment</w:t>
            </w:r>
            <w:r>
              <w:rPr>
                <w:rFonts w:ascii="Arial" w:hAnsi="Arial" w:cs="Arial"/>
                <w:sz w:val="20"/>
                <w:szCs w:val="20"/>
              </w:rPr>
              <w:t>,</w:t>
            </w:r>
            <w:r w:rsidRPr="00396EDD">
              <w:rPr>
                <w:rFonts w:ascii="Arial" w:hAnsi="Arial" w:cs="Arial"/>
                <w:sz w:val="20"/>
                <w:szCs w:val="20"/>
              </w:rPr>
              <w:t xml:space="preserve"> and if required  an ophthalmology out-patient appointment</w:t>
            </w:r>
            <w:r>
              <w:rPr>
                <w:rFonts w:ascii="Arial" w:hAnsi="Arial" w:cs="Arial"/>
                <w:sz w:val="20"/>
                <w:szCs w:val="20"/>
              </w:rPr>
              <w:t>,</w:t>
            </w:r>
            <w:r w:rsidRPr="00396EDD">
              <w:rPr>
                <w:rFonts w:ascii="Arial" w:hAnsi="Arial" w:cs="Arial"/>
                <w:sz w:val="20"/>
                <w:szCs w:val="20"/>
              </w:rPr>
              <w:t xml:space="preserve"> within a few weeks of discharge</w:t>
            </w:r>
          </w:p>
          <w:p w:rsidR="00BD084C" w:rsidRPr="00396EDD" w:rsidRDefault="00BD084C" w:rsidP="00BD084C">
            <w:pPr>
              <w:numPr>
                <w:ilvl w:val="0"/>
                <w:numId w:val="30"/>
              </w:numPr>
              <w:spacing w:after="0" w:line="240" w:lineRule="auto"/>
              <w:ind w:left="357" w:hanging="357"/>
              <w:jc w:val="both"/>
              <w:rPr>
                <w:rFonts w:ascii="Arial" w:hAnsi="Arial" w:cs="Arial"/>
                <w:sz w:val="20"/>
                <w:szCs w:val="20"/>
              </w:rPr>
            </w:pPr>
            <w:r>
              <w:rPr>
                <w:rFonts w:ascii="Arial" w:hAnsi="Arial" w:cs="Arial"/>
                <w:sz w:val="20"/>
                <w:szCs w:val="20"/>
              </w:rPr>
              <w:t>Refer for review to unit with appropriate sub-speciality interest</w:t>
            </w:r>
          </w:p>
          <w:p w:rsidR="00BD084C" w:rsidRDefault="00BD084C" w:rsidP="0085034D">
            <w:pPr>
              <w:spacing w:after="0" w:line="240" w:lineRule="auto"/>
              <w:jc w:val="both"/>
            </w:pPr>
            <w:r w:rsidRPr="00396EDD">
              <w:rPr>
                <w:rFonts w:ascii="Arial" w:hAnsi="Arial" w:cs="Arial"/>
                <w:b/>
                <w:sz w:val="20"/>
                <w:szCs w:val="20"/>
              </w:rPr>
              <w:t>(Strength of recommendation D (GPP))</w:t>
            </w:r>
          </w:p>
        </w:tc>
      </w:tr>
      <w:tr w:rsidR="00BD084C" w:rsidRPr="00396EDD" w:rsidTr="0085034D">
        <w:tc>
          <w:tcPr>
            <w:tcW w:w="1951" w:type="dxa"/>
            <w:tcBorders>
              <w:top w:val="single" w:sz="2" w:space="0" w:color="FFFFFF" w:themeColor="background1"/>
            </w:tcBorders>
            <w:shd w:val="clear" w:color="auto" w:fill="00B0F0"/>
            <w:tcMar>
              <w:top w:w="28" w:type="dxa"/>
              <w:bottom w:w="28" w:type="dxa"/>
            </w:tcMar>
          </w:tcPr>
          <w:p w:rsidR="00BD084C" w:rsidRPr="004C6D4C" w:rsidRDefault="00BD084C" w:rsidP="0085034D">
            <w:pPr>
              <w:spacing w:after="0" w:line="240" w:lineRule="auto"/>
              <w:rPr>
                <w:rFonts w:ascii="Arial" w:hAnsi="Arial" w:cs="Arial"/>
                <w:b/>
                <w:color w:val="FFFFFF"/>
                <w:sz w:val="20"/>
                <w:szCs w:val="20"/>
              </w:rPr>
            </w:pPr>
            <w:r>
              <w:rPr>
                <w:rFonts w:ascii="Arial" w:hAnsi="Arial" w:cs="Arial"/>
                <w:b/>
                <w:color w:val="FFFFFF"/>
                <w:sz w:val="20"/>
                <w:szCs w:val="20"/>
              </w:rPr>
              <w:t>Diagnostic testing</w:t>
            </w:r>
          </w:p>
        </w:tc>
        <w:tc>
          <w:tcPr>
            <w:tcW w:w="7291" w:type="dxa"/>
            <w:shd w:val="clear" w:color="auto" w:fill="E5F4F7"/>
            <w:tcMar>
              <w:top w:w="28" w:type="dxa"/>
              <w:bottom w:w="28" w:type="dxa"/>
            </w:tcMar>
          </w:tcPr>
          <w:p w:rsidR="00BD084C" w:rsidRPr="00DD469F" w:rsidRDefault="00BD084C" w:rsidP="00BD084C">
            <w:pPr>
              <w:pStyle w:val="ListParagraph"/>
              <w:numPr>
                <w:ilvl w:val="0"/>
                <w:numId w:val="41"/>
              </w:numPr>
              <w:spacing w:after="0" w:line="240" w:lineRule="auto"/>
              <w:jc w:val="both"/>
              <w:rPr>
                <w:rFonts w:ascii="Arial" w:hAnsi="Arial" w:cs="Arial"/>
                <w:sz w:val="20"/>
                <w:szCs w:val="20"/>
              </w:rPr>
            </w:pPr>
            <w:r w:rsidRPr="00DD469F">
              <w:rPr>
                <w:rFonts w:ascii="Arial" w:hAnsi="Arial" w:cs="Arial"/>
                <w:sz w:val="20"/>
                <w:szCs w:val="20"/>
              </w:rPr>
              <w:t>Routine drug hypersensitivity testing is not recommended following an episode of SJS/TEN.</w:t>
            </w:r>
          </w:p>
          <w:p w:rsidR="00BD084C" w:rsidRDefault="00BD084C" w:rsidP="00BD084C">
            <w:pPr>
              <w:pStyle w:val="ListParagraph"/>
              <w:numPr>
                <w:ilvl w:val="0"/>
                <w:numId w:val="41"/>
              </w:numPr>
              <w:spacing w:after="0" w:line="240" w:lineRule="auto"/>
              <w:jc w:val="both"/>
              <w:rPr>
                <w:rFonts w:ascii="Arial" w:hAnsi="Arial" w:cs="Arial"/>
                <w:sz w:val="20"/>
                <w:szCs w:val="20"/>
              </w:rPr>
            </w:pPr>
            <w:r w:rsidRPr="00DD469F">
              <w:rPr>
                <w:rFonts w:ascii="Arial" w:hAnsi="Arial" w:cs="Arial"/>
                <w:sz w:val="20"/>
                <w:szCs w:val="20"/>
              </w:rPr>
              <w:t>Seek specialist advice on hypersensitivity testing where</w:t>
            </w:r>
            <w:r>
              <w:rPr>
                <w:rFonts w:ascii="Arial" w:hAnsi="Arial" w:cs="Arial"/>
                <w:sz w:val="20"/>
                <w:szCs w:val="20"/>
              </w:rPr>
              <w:t>:</w:t>
            </w:r>
          </w:p>
          <w:p w:rsidR="00BD084C" w:rsidRPr="00D70DE1" w:rsidRDefault="00BD084C" w:rsidP="00BD084C">
            <w:pPr>
              <w:pStyle w:val="ListParagraph"/>
              <w:numPr>
                <w:ilvl w:val="0"/>
                <w:numId w:val="42"/>
              </w:numPr>
              <w:spacing w:after="0" w:line="240" w:lineRule="auto"/>
              <w:jc w:val="both"/>
              <w:rPr>
                <w:rFonts w:ascii="Arial" w:hAnsi="Arial" w:cs="Arial"/>
                <w:sz w:val="20"/>
                <w:szCs w:val="20"/>
              </w:rPr>
            </w:pPr>
            <w:r w:rsidRPr="00D70DE1">
              <w:rPr>
                <w:rFonts w:ascii="Arial" w:hAnsi="Arial" w:cs="Arial"/>
                <w:sz w:val="20"/>
                <w:szCs w:val="20"/>
              </w:rPr>
              <w:t xml:space="preserve">the culprit drug is not known </w:t>
            </w:r>
            <w:r w:rsidRPr="00D70DE1">
              <w:rPr>
                <w:rFonts w:ascii="Arial" w:hAnsi="Arial" w:cs="Arial"/>
                <w:b/>
                <w:sz w:val="20"/>
                <w:szCs w:val="20"/>
              </w:rPr>
              <w:t>or</w:t>
            </w:r>
          </w:p>
          <w:p w:rsidR="00BD084C" w:rsidRPr="00D70DE1" w:rsidRDefault="00BD084C" w:rsidP="00BD084C">
            <w:pPr>
              <w:pStyle w:val="ListParagraph"/>
              <w:numPr>
                <w:ilvl w:val="0"/>
                <w:numId w:val="42"/>
              </w:numPr>
              <w:spacing w:after="0" w:line="240" w:lineRule="auto"/>
              <w:jc w:val="both"/>
              <w:rPr>
                <w:rFonts w:ascii="Arial" w:hAnsi="Arial" w:cs="Arial"/>
                <w:sz w:val="20"/>
                <w:szCs w:val="20"/>
              </w:rPr>
            </w:pPr>
            <w:r>
              <w:rPr>
                <w:rFonts w:ascii="Arial" w:hAnsi="Arial" w:cs="Arial"/>
                <w:sz w:val="20"/>
                <w:szCs w:val="20"/>
              </w:rPr>
              <w:t xml:space="preserve">medication </w:t>
            </w:r>
            <w:r w:rsidRPr="00D70DE1">
              <w:rPr>
                <w:rFonts w:ascii="Arial" w:hAnsi="Arial" w:cs="Arial"/>
                <w:sz w:val="20"/>
                <w:szCs w:val="20"/>
              </w:rPr>
              <w:t>avoidance is detrimental to the individual</w:t>
            </w:r>
            <w:r>
              <w:rPr>
                <w:rFonts w:ascii="Arial" w:hAnsi="Arial" w:cs="Arial"/>
                <w:sz w:val="20"/>
                <w:szCs w:val="20"/>
              </w:rPr>
              <w:t xml:space="preserve"> </w:t>
            </w:r>
            <w:r w:rsidRPr="00D70DE1">
              <w:rPr>
                <w:rFonts w:ascii="Arial" w:hAnsi="Arial" w:cs="Arial"/>
                <w:b/>
                <w:sz w:val="20"/>
                <w:szCs w:val="20"/>
              </w:rPr>
              <w:t xml:space="preserve">or </w:t>
            </w:r>
          </w:p>
          <w:p w:rsidR="00BD084C" w:rsidRPr="00D70DE1" w:rsidRDefault="00BD084C" w:rsidP="00BD084C">
            <w:pPr>
              <w:pStyle w:val="ListParagraph"/>
              <w:numPr>
                <w:ilvl w:val="0"/>
                <w:numId w:val="42"/>
              </w:numPr>
              <w:spacing w:after="0" w:line="240" w:lineRule="auto"/>
              <w:jc w:val="both"/>
              <w:rPr>
                <w:rFonts w:ascii="Arial" w:hAnsi="Arial" w:cs="Arial"/>
                <w:sz w:val="20"/>
                <w:szCs w:val="20"/>
              </w:rPr>
            </w:pPr>
            <w:r w:rsidRPr="00D70DE1">
              <w:rPr>
                <w:rFonts w:ascii="Arial" w:hAnsi="Arial" w:cs="Arial"/>
                <w:sz w:val="20"/>
                <w:szCs w:val="20"/>
              </w:rPr>
              <w:t>accidental exposure is possible</w:t>
            </w:r>
          </w:p>
          <w:p w:rsidR="00BD084C" w:rsidRPr="00396EDD" w:rsidRDefault="00BD084C" w:rsidP="0085034D">
            <w:pPr>
              <w:spacing w:after="0" w:line="240" w:lineRule="auto"/>
              <w:jc w:val="both"/>
              <w:rPr>
                <w:rFonts w:ascii="Arial" w:hAnsi="Arial" w:cs="Arial"/>
                <w:b/>
                <w:sz w:val="20"/>
                <w:szCs w:val="20"/>
              </w:rPr>
            </w:pPr>
            <w:r w:rsidRPr="00396EDD">
              <w:rPr>
                <w:rFonts w:ascii="Arial" w:hAnsi="Arial" w:cs="Arial"/>
                <w:b/>
                <w:sz w:val="20"/>
                <w:szCs w:val="20"/>
              </w:rPr>
              <w:t>(Strength of recommendation D (GPP))</w:t>
            </w:r>
          </w:p>
        </w:tc>
      </w:tr>
    </w:tbl>
    <w:p w:rsidR="00BD084C" w:rsidRDefault="00BD084C" w:rsidP="0085034D">
      <w:pPr>
        <w:pStyle w:val="NoSpacing"/>
        <w:spacing w:line="276" w:lineRule="auto"/>
        <w:jc w:val="both"/>
        <w:rPr>
          <w:rFonts w:ascii="Arial" w:hAnsi="Arial" w:cs="Arial"/>
          <w:b/>
        </w:rPr>
      </w:pPr>
    </w:p>
    <w:p w:rsidR="00BD084C" w:rsidRPr="00297A95" w:rsidRDefault="00BD084C" w:rsidP="0085034D">
      <w:pPr>
        <w:pStyle w:val="NoSpacing"/>
        <w:spacing w:line="276" w:lineRule="auto"/>
        <w:jc w:val="both"/>
        <w:rPr>
          <w:rFonts w:ascii="Arial" w:hAnsi="Arial" w:cs="Arial"/>
          <w:b/>
        </w:rPr>
      </w:pPr>
    </w:p>
    <w:p w:rsidR="00BD084C" w:rsidRPr="006276EE" w:rsidRDefault="00BD084C" w:rsidP="0085034D">
      <w:pPr>
        <w:pStyle w:val="NoSpacing"/>
        <w:spacing w:line="276" w:lineRule="auto"/>
        <w:jc w:val="both"/>
        <w:rPr>
          <w:rFonts w:ascii="Arial" w:hAnsi="Arial" w:cs="Arial"/>
          <w:b/>
          <w:color w:val="00B0F0"/>
        </w:rPr>
      </w:pPr>
      <w:r w:rsidRPr="006276EE">
        <w:rPr>
          <w:rFonts w:ascii="Arial" w:hAnsi="Arial" w:cs="Arial"/>
          <w:b/>
          <w:color w:val="00B0F0"/>
        </w:rPr>
        <w:t>SUPPORTING INFORMATION</w:t>
      </w:r>
    </w:p>
    <w:p w:rsidR="00BD084C" w:rsidRPr="00297A95" w:rsidRDefault="00BD084C" w:rsidP="0085034D">
      <w:pPr>
        <w:pStyle w:val="NoSpacing"/>
        <w:spacing w:line="276" w:lineRule="auto"/>
        <w:jc w:val="both"/>
        <w:rPr>
          <w:rFonts w:ascii="Arial" w:hAnsi="Arial" w:cs="Arial"/>
        </w:rPr>
      </w:pPr>
      <w:r w:rsidRPr="00297A95">
        <w:rPr>
          <w:rFonts w:ascii="Arial" w:hAnsi="Arial" w:cs="Arial"/>
        </w:rPr>
        <w:t>Additional supporting information including the search strategy may be found in the online version of this article.</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p>
    <w:p w:rsidR="00BD084C" w:rsidRPr="006276EE" w:rsidRDefault="00BD084C" w:rsidP="0085034D">
      <w:pPr>
        <w:pStyle w:val="NoSpacing"/>
        <w:spacing w:line="276" w:lineRule="auto"/>
        <w:jc w:val="both"/>
        <w:rPr>
          <w:rFonts w:ascii="Arial" w:hAnsi="Arial" w:cs="Arial"/>
          <w:b/>
          <w:color w:val="00B0F0"/>
        </w:rPr>
      </w:pPr>
      <w:r w:rsidRPr="006276EE">
        <w:rPr>
          <w:rFonts w:ascii="Arial" w:hAnsi="Arial" w:cs="Arial"/>
          <w:b/>
          <w:color w:val="00B0F0"/>
        </w:rPr>
        <w:t>ACKNOWLEDGEMENTS</w:t>
      </w:r>
    </w:p>
    <w:p w:rsidR="00BD084C" w:rsidRDefault="00BD084C" w:rsidP="0085034D">
      <w:pPr>
        <w:pStyle w:val="NoSpacing"/>
        <w:spacing w:line="276" w:lineRule="auto"/>
        <w:jc w:val="both"/>
        <w:rPr>
          <w:rFonts w:ascii="Arial" w:hAnsi="Arial" w:cs="Arial"/>
          <w:b/>
          <w:color w:val="0070C0"/>
        </w:rPr>
      </w:pPr>
      <w:r w:rsidRPr="00685D78">
        <w:rPr>
          <w:rFonts w:ascii="Arial" w:hAnsi="Arial" w:cs="Arial"/>
        </w:rPr>
        <w:t xml:space="preserve">We are very grateful to Miss Sara </w:t>
      </w:r>
      <w:proofErr w:type="spellStart"/>
      <w:r w:rsidRPr="00685D78">
        <w:rPr>
          <w:rFonts w:ascii="Arial" w:hAnsi="Arial" w:cs="Arial"/>
        </w:rPr>
        <w:t>Haveron</w:t>
      </w:r>
      <w:proofErr w:type="spellEnd"/>
      <w:r w:rsidRPr="00685D78">
        <w:rPr>
          <w:rFonts w:ascii="Arial" w:hAnsi="Arial" w:cs="Arial"/>
        </w:rPr>
        <w:t xml:space="preserve"> (BAD Scientific Administrator)</w:t>
      </w:r>
      <w:r>
        <w:rPr>
          <w:rFonts w:ascii="Arial" w:hAnsi="Arial" w:cs="Arial"/>
        </w:rPr>
        <w:t xml:space="preserve">. </w:t>
      </w:r>
      <w:r w:rsidRPr="00947C26">
        <w:rPr>
          <w:rFonts w:ascii="Arial" w:hAnsi="Arial" w:cs="Arial"/>
        </w:rPr>
        <w:t xml:space="preserve">Dr Zainab </w:t>
      </w:r>
      <w:proofErr w:type="spellStart"/>
      <w:r w:rsidRPr="00947C26">
        <w:rPr>
          <w:rFonts w:ascii="Arial" w:hAnsi="Arial" w:cs="Arial"/>
        </w:rPr>
        <w:t>Laftah</w:t>
      </w:r>
      <w:proofErr w:type="spellEnd"/>
      <w:r w:rsidRPr="00947C26">
        <w:rPr>
          <w:rFonts w:ascii="Arial" w:hAnsi="Arial" w:cs="Arial"/>
        </w:rPr>
        <w:t xml:space="preserve"> (King’s College Hospital) </w:t>
      </w:r>
      <w:r>
        <w:rPr>
          <w:rFonts w:ascii="Arial" w:hAnsi="Arial" w:cs="Arial"/>
        </w:rPr>
        <w:t xml:space="preserve">kindly provided </w:t>
      </w:r>
      <w:r w:rsidRPr="00947C26">
        <w:rPr>
          <w:rFonts w:ascii="Arial" w:hAnsi="Arial" w:cs="Arial"/>
        </w:rPr>
        <w:t>the photograph in figure 8</w:t>
      </w:r>
      <w:r>
        <w:rPr>
          <w:rFonts w:ascii="Arial" w:hAnsi="Arial" w:cs="Arial"/>
        </w:rPr>
        <w:t>. We would like to thank</w:t>
      </w:r>
      <w:r w:rsidRPr="00685D78">
        <w:rPr>
          <w:rFonts w:ascii="Arial" w:hAnsi="Arial" w:cs="Arial"/>
        </w:rPr>
        <w:t xml:space="preserve"> </w:t>
      </w:r>
      <w:r w:rsidRPr="00FE703D">
        <w:rPr>
          <w:rFonts w:ascii="Arial" w:eastAsia="Times New Roman" w:hAnsi="Arial" w:cs="Arial"/>
          <w:lang w:eastAsia="en-GB"/>
        </w:rPr>
        <w:t xml:space="preserve">everyone who commented on the draft during the consultation period. </w:t>
      </w:r>
    </w:p>
    <w:p w:rsidR="00BD084C" w:rsidRDefault="00BD084C" w:rsidP="0085034D">
      <w:pPr>
        <w:pStyle w:val="NoSpacing"/>
        <w:spacing w:line="276" w:lineRule="auto"/>
        <w:jc w:val="both"/>
        <w:rPr>
          <w:rFonts w:ascii="Arial" w:hAnsi="Arial" w:cs="Arial"/>
          <w:b/>
          <w:color w:val="00B0F0"/>
        </w:rPr>
      </w:pPr>
    </w:p>
    <w:p w:rsidR="00BD084C" w:rsidRDefault="00BD084C" w:rsidP="0085034D">
      <w:pPr>
        <w:pStyle w:val="NoSpacing"/>
        <w:spacing w:line="276" w:lineRule="auto"/>
        <w:jc w:val="both"/>
        <w:rPr>
          <w:rFonts w:ascii="Arial" w:hAnsi="Arial" w:cs="Arial"/>
          <w:b/>
          <w:color w:val="00B0F0"/>
        </w:rPr>
      </w:pPr>
    </w:p>
    <w:p w:rsidR="00BD084C" w:rsidRPr="006276EE" w:rsidRDefault="00BD084C" w:rsidP="0085034D">
      <w:pPr>
        <w:pStyle w:val="NoSpacing"/>
        <w:spacing w:line="276" w:lineRule="auto"/>
        <w:jc w:val="both"/>
        <w:rPr>
          <w:rFonts w:ascii="Arial" w:hAnsi="Arial" w:cs="Arial"/>
          <w:b/>
          <w:color w:val="00B0F0"/>
        </w:rPr>
      </w:pPr>
      <w:r w:rsidRPr="006276EE">
        <w:rPr>
          <w:rFonts w:ascii="Arial" w:hAnsi="Arial" w:cs="Arial"/>
          <w:b/>
          <w:color w:val="00B0F0"/>
        </w:rPr>
        <w:t>APPENDIX 1</w:t>
      </w:r>
    </w:p>
    <w:p w:rsidR="00BD084C" w:rsidRPr="006276EE" w:rsidRDefault="00BD084C" w:rsidP="0085034D">
      <w:pPr>
        <w:pStyle w:val="NoSpacing"/>
        <w:spacing w:line="276" w:lineRule="auto"/>
        <w:jc w:val="both"/>
        <w:rPr>
          <w:rFonts w:ascii="Arial" w:hAnsi="Arial" w:cs="Arial"/>
          <w:b/>
          <w:caps/>
          <w:color w:val="00B0F0"/>
        </w:rPr>
      </w:pPr>
      <w:r w:rsidRPr="006276EE">
        <w:rPr>
          <w:rFonts w:ascii="Arial" w:hAnsi="Arial" w:cs="Arial"/>
          <w:b/>
          <w:caps/>
          <w:color w:val="00B0F0"/>
        </w:rPr>
        <w:t>Levels of evidence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27"/>
        <w:gridCol w:w="7153"/>
      </w:tblGrid>
      <w:tr w:rsidR="00BD084C" w:rsidRPr="00537E90" w:rsidTr="0085034D">
        <w:tc>
          <w:tcPr>
            <w:tcW w:w="1927"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Level of evidence</w:t>
            </w:r>
          </w:p>
        </w:tc>
        <w:tc>
          <w:tcPr>
            <w:tcW w:w="7153"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Type of evidence</w:t>
            </w:r>
          </w:p>
        </w:tc>
      </w:tr>
      <w:tr w:rsidR="00BD084C" w:rsidRPr="00537E90" w:rsidTr="0085034D">
        <w:tc>
          <w:tcPr>
            <w:tcW w:w="1927"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1++</w:t>
            </w:r>
          </w:p>
        </w:tc>
        <w:tc>
          <w:tcPr>
            <w:tcW w:w="7153"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High-quality meta-analyses, systematic reviews of RCTs, or RCTs with a very low risk of bias</w:t>
            </w:r>
          </w:p>
        </w:tc>
      </w:tr>
      <w:tr w:rsidR="00BD084C" w:rsidRPr="00537E90" w:rsidTr="0085034D">
        <w:tc>
          <w:tcPr>
            <w:tcW w:w="1927"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1+</w:t>
            </w:r>
          </w:p>
        </w:tc>
        <w:tc>
          <w:tcPr>
            <w:tcW w:w="7153"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 xml:space="preserve">Well-conducted meta-analyses, systematic reviews of RCTs, or RCTs with a </w:t>
            </w:r>
            <w:r w:rsidRPr="00537E90">
              <w:rPr>
                <w:rFonts w:ascii="Arial" w:hAnsi="Arial" w:cs="Arial"/>
                <w:sz w:val="20"/>
                <w:szCs w:val="20"/>
              </w:rPr>
              <w:lastRenderedPageBreak/>
              <w:t>low risk of bias</w:t>
            </w:r>
          </w:p>
        </w:tc>
      </w:tr>
      <w:tr w:rsidR="00BD084C" w:rsidRPr="00537E90" w:rsidTr="0085034D">
        <w:tc>
          <w:tcPr>
            <w:tcW w:w="1927"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lastRenderedPageBreak/>
              <w:t>1-</w:t>
            </w:r>
          </w:p>
        </w:tc>
        <w:tc>
          <w:tcPr>
            <w:tcW w:w="7153"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Meta-analyses, systematic reviews of RCTs, or RCTs with a high risk of bias</w:t>
            </w:r>
            <w:r w:rsidRPr="00537E90">
              <w:rPr>
                <w:rFonts w:ascii="Arial" w:hAnsi="Arial" w:cs="Arial"/>
                <w:sz w:val="20"/>
                <w:szCs w:val="20"/>
                <w:vertAlign w:val="superscript"/>
              </w:rPr>
              <w:t>*</w:t>
            </w:r>
          </w:p>
        </w:tc>
      </w:tr>
      <w:tr w:rsidR="00BD084C" w:rsidRPr="00537E90" w:rsidTr="0085034D">
        <w:tc>
          <w:tcPr>
            <w:tcW w:w="1927"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2++</w:t>
            </w:r>
          </w:p>
        </w:tc>
        <w:tc>
          <w:tcPr>
            <w:tcW w:w="7153"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High-quality systematic reviews of case-control or cohort studies</w:t>
            </w:r>
          </w:p>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High-quality case-control or cohort studies with a very low risk of confounding, bias or chance and a high probability that the relationship is causal</w:t>
            </w:r>
          </w:p>
        </w:tc>
      </w:tr>
      <w:tr w:rsidR="00BD084C" w:rsidRPr="00537E90" w:rsidTr="0085034D">
        <w:tc>
          <w:tcPr>
            <w:tcW w:w="1927"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2+</w:t>
            </w:r>
          </w:p>
        </w:tc>
        <w:tc>
          <w:tcPr>
            <w:tcW w:w="7153"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Well-conducted case-control or cohort studies with a low risk of confounding, bias or chance and a moderate probability that the relationship is causal</w:t>
            </w:r>
          </w:p>
        </w:tc>
      </w:tr>
      <w:tr w:rsidR="00BD084C" w:rsidRPr="00537E90" w:rsidTr="0085034D">
        <w:tc>
          <w:tcPr>
            <w:tcW w:w="1927"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2-</w:t>
            </w:r>
          </w:p>
        </w:tc>
        <w:tc>
          <w:tcPr>
            <w:tcW w:w="7153"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Case-control or cohort studies with a high risk of confounding, bias or chance and a significant risk that the relationship is not causal</w:t>
            </w:r>
            <w:r w:rsidRPr="00537E90">
              <w:rPr>
                <w:rFonts w:ascii="Arial" w:hAnsi="Arial" w:cs="Arial"/>
                <w:sz w:val="20"/>
                <w:szCs w:val="20"/>
                <w:vertAlign w:val="superscript"/>
              </w:rPr>
              <w:t>*</w:t>
            </w:r>
          </w:p>
        </w:tc>
      </w:tr>
      <w:tr w:rsidR="00BD084C" w:rsidRPr="00537E90" w:rsidTr="0085034D">
        <w:tc>
          <w:tcPr>
            <w:tcW w:w="1927"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3</w:t>
            </w:r>
          </w:p>
        </w:tc>
        <w:tc>
          <w:tcPr>
            <w:tcW w:w="7153"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Non-analytical studies (for example, case reports, case series)</w:t>
            </w:r>
          </w:p>
        </w:tc>
      </w:tr>
      <w:tr w:rsidR="00BD084C" w:rsidRPr="00537E90" w:rsidTr="0085034D">
        <w:tc>
          <w:tcPr>
            <w:tcW w:w="1927"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4</w:t>
            </w:r>
          </w:p>
        </w:tc>
        <w:tc>
          <w:tcPr>
            <w:tcW w:w="7153"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Expert opinion, formal consensus</w:t>
            </w:r>
          </w:p>
        </w:tc>
      </w:tr>
    </w:tbl>
    <w:p w:rsidR="00BD084C" w:rsidRPr="00297A95" w:rsidRDefault="00BD084C" w:rsidP="0085034D">
      <w:pPr>
        <w:pStyle w:val="NoSpacing"/>
        <w:spacing w:line="276" w:lineRule="auto"/>
        <w:jc w:val="both"/>
        <w:rPr>
          <w:rFonts w:ascii="Arial" w:hAnsi="Arial" w:cs="Arial"/>
        </w:rPr>
      </w:pPr>
      <w:r w:rsidRPr="00297A95">
        <w:rPr>
          <w:rFonts w:ascii="Arial" w:hAnsi="Arial" w:cs="Arial"/>
          <w:vertAlign w:val="superscript"/>
        </w:rPr>
        <w:t>*</w:t>
      </w:r>
      <w:r w:rsidRPr="00297A95">
        <w:rPr>
          <w:rFonts w:ascii="Arial" w:hAnsi="Arial" w:cs="Arial"/>
        </w:rPr>
        <w:t>Studies with a level of evidence ‘-’ should not be used as a basis for making a recommendation.</w:t>
      </w:r>
    </w:p>
    <w:p w:rsidR="00BD084C" w:rsidRPr="00297A95" w:rsidRDefault="00BD084C" w:rsidP="0085034D">
      <w:pPr>
        <w:pStyle w:val="NoSpacing"/>
        <w:spacing w:line="276" w:lineRule="auto"/>
        <w:jc w:val="both"/>
        <w:rPr>
          <w:rFonts w:ascii="Arial" w:hAnsi="Arial" w:cs="Arial"/>
        </w:rPr>
      </w:pPr>
    </w:p>
    <w:p w:rsidR="00BD084C" w:rsidRPr="006276EE" w:rsidRDefault="00BD084C" w:rsidP="0085034D">
      <w:pPr>
        <w:pStyle w:val="NoSpacing"/>
        <w:spacing w:line="276" w:lineRule="auto"/>
        <w:jc w:val="both"/>
        <w:rPr>
          <w:rFonts w:ascii="Arial" w:hAnsi="Arial" w:cs="Arial"/>
          <w:b/>
          <w:caps/>
          <w:color w:val="00B0F0"/>
        </w:rPr>
      </w:pPr>
      <w:r w:rsidRPr="006276EE">
        <w:rPr>
          <w:rFonts w:ascii="Arial" w:hAnsi="Arial" w:cs="Arial"/>
          <w:b/>
          <w:caps/>
          <w:color w:val="00B0F0"/>
        </w:rPr>
        <w:t>Strength of recommendation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28"/>
        <w:gridCol w:w="7854"/>
      </w:tblGrid>
      <w:tr w:rsidR="00BD084C" w:rsidRPr="00537E90" w:rsidTr="0085034D">
        <w:tc>
          <w:tcPr>
            <w:tcW w:w="1233"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Class</w:t>
            </w:r>
          </w:p>
        </w:tc>
        <w:tc>
          <w:tcPr>
            <w:tcW w:w="7907"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Evidence</w:t>
            </w:r>
          </w:p>
        </w:tc>
      </w:tr>
      <w:tr w:rsidR="00BD084C" w:rsidRPr="00537E90" w:rsidTr="0085034D">
        <w:tc>
          <w:tcPr>
            <w:tcW w:w="1233"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A</w:t>
            </w:r>
          </w:p>
        </w:tc>
        <w:tc>
          <w:tcPr>
            <w:tcW w:w="7907"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At least one meta-analysis, systematic review, or RCT rated as 1++, and directly applicable to the target population, or</w:t>
            </w:r>
          </w:p>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A systematic review of RCTs or a body of evidence consisting principally of studies rated as 1+, directly applicable to the target population and demonstrating overall consistency of results</w:t>
            </w:r>
          </w:p>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Evidence drawn from a NICE technology appraisal</w:t>
            </w:r>
          </w:p>
        </w:tc>
      </w:tr>
      <w:tr w:rsidR="00BD084C" w:rsidRPr="00537E90" w:rsidTr="0085034D">
        <w:tc>
          <w:tcPr>
            <w:tcW w:w="1233"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B</w:t>
            </w:r>
          </w:p>
        </w:tc>
        <w:tc>
          <w:tcPr>
            <w:tcW w:w="7907"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A body of evidence including studies rated as 2++, directly applicable to the target population and demonstrating overall consistency of results, or</w:t>
            </w:r>
          </w:p>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Extrapolated evidence from studies rated as 1++ or 1+</w:t>
            </w:r>
          </w:p>
        </w:tc>
      </w:tr>
      <w:tr w:rsidR="00BD084C" w:rsidRPr="00537E90" w:rsidTr="0085034D">
        <w:tc>
          <w:tcPr>
            <w:tcW w:w="1233"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C</w:t>
            </w:r>
          </w:p>
        </w:tc>
        <w:tc>
          <w:tcPr>
            <w:tcW w:w="7907"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A body of evidence including studies rated as 2+, directly applicable to the target population and demonstrating overall consistency of results, or</w:t>
            </w:r>
          </w:p>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 xml:space="preserve">Extrapolated evidence from studies rated as 2++ </w:t>
            </w:r>
          </w:p>
        </w:tc>
      </w:tr>
      <w:tr w:rsidR="00BD084C" w:rsidRPr="00537E90" w:rsidTr="0085034D">
        <w:tc>
          <w:tcPr>
            <w:tcW w:w="1233"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D</w:t>
            </w:r>
          </w:p>
        </w:tc>
        <w:tc>
          <w:tcPr>
            <w:tcW w:w="7907"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Evidence level 3 or 4, or</w:t>
            </w:r>
          </w:p>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Extrapolated evidence from studies rated as 2+, or</w:t>
            </w:r>
          </w:p>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Formal consensus</w:t>
            </w:r>
          </w:p>
        </w:tc>
      </w:tr>
      <w:tr w:rsidR="00BD084C" w:rsidRPr="00537E90" w:rsidTr="0085034D">
        <w:tc>
          <w:tcPr>
            <w:tcW w:w="1233"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D (GPP)</w:t>
            </w:r>
          </w:p>
        </w:tc>
        <w:tc>
          <w:tcPr>
            <w:tcW w:w="7907" w:type="dxa"/>
            <w:tcMar>
              <w:top w:w="28" w:type="dxa"/>
              <w:left w:w="28" w:type="dxa"/>
              <w:bottom w:w="28" w:type="dxa"/>
              <w:right w:w="28" w:type="dxa"/>
            </w:tcMar>
          </w:tcPr>
          <w:p w:rsidR="00BD084C" w:rsidRPr="00537E90" w:rsidRDefault="00BD084C" w:rsidP="0085034D">
            <w:pPr>
              <w:pStyle w:val="NoSpacing"/>
              <w:spacing w:line="276" w:lineRule="auto"/>
              <w:jc w:val="both"/>
              <w:rPr>
                <w:rFonts w:ascii="Arial" w:hAnsi="Arial" w:cs="Arial"/>
                <w:sz w:val="20"/>
                <w:szCs w:val="20"/>
              </w:rPr>
            </w:pPr>
            <w:r w:rsidRPr="00537E90">
              <w:rPr>
                <w:rFonts w:ascii="Arial" w:hAnsi="Arial" w:cs="Arial"/>
                <w:sz w:val="20"/>
                <w:szCs w:val="20"/>
              </w:rPr>
              <w:t>A good practice point (GPP) is a recommendation for best practice based on the experience of the guideline development group</w:t>
            </w:r>
          </w:p>
        </w:tc>
      </w:tr>
    </w:tbl>
    <w:p w:rsidR="00BD084C" w:rsidRPr="00297A95" w:rsidRDefault="00BD084C" w:rsidP="0085034D">
      <w:pPr>
        <w:pStyle w:val="NoSpacing"/>
        <w:spacing w:line="276" w:lineRule="auto"/>
        <w:jc w:val="both"/>
        <w:rPr>
          <w:rFonts w:ascii="Arial" w:hAnsi="Arial" w:cs="Arial"/>
        </w:rPr>
      </w:pPr>
      <w:r w:rsidRPr="00297A95">
        <w:rPr>
          <w:rFonts w:ascii="Arial" w:hAnsi="Arial" w:cs="Arial"/>
        </w:rPr>
        <w:t>RCT: randomized controlled trial; NICE: National Institute for Health and Clinical Excellence.</w:t>
      </w:r>
    </w:p>
    <w:p w:rsidR="00BD084C" w:rsidRDefault="00BD084C" w:rsidP="0085034D">
      <w:pPr>
        <w:pStyle w:val="NoSpacing"/>
        <w:spacing w:line="276" w:lineRule="auto"/>
        <w:jc w:val="both"/>
        <w:rPr>
          <w:rFonts w:ascii="Arial" w:hAnsi="Arial" w:cs="Arial"/>
          <w:b/>
          <w:color w:val="00B0F0"/>
        </w:rPr>
      </w:pPr>
    </w:p>
    <w:p w:rsidR="00BD084C" w:rsidRDefault="00BD084C" w:rsidP="0085034D">
      <w:pPr>
        <w:pStyle w:val="NoSpacing"/>
        <w:spacing w:line="276" w:lineRule="auto"/>
        <w:jc w:val="both"/>
        <w:rPr>
          <w:rFonts w:ascii="Arial" w:hAnsi="Arial" w:cs="Arial"/>
          <w:b/>
          <w:color w:val="00B0F0"/>
        </w:rPr>
      </w:pPr>
    </w:p>
    <w:p w:rsidR="00BD084C" w:rsidRDefault="00BD084C">
      <w:pPr>
        <w:spacing w:after="0" w:line="240" w:lineRule="auto"/>
        <w:rPr>
          <w:rFonts w:ascii="Arial" w:hAnsi="Arial" w:cs="Arial"/>
          <w:b/>
          <w:color w:val="00B0F0"/>
        </w:rPr>
      </w:pPr>
      <w:r>
        <w:rPr>
          <w:rFonts w:ascii="Arial" w:hAnsi="Arial" w:cs="Arial"/>
          <w:b/>
          <w:color w:val="00B0F0"/>
        </w:rPr>
        <w:br w:type="page"/>
      </w:r>
    </w:p>
    <w:p w:rsidR="00BD084C" w:rsidRPr="00297A95" w:rsidRDefault="00BD084C" w:rsidP="0085034D">
      <w:pPr>
        <w:pStyle w:val="NoSpacing"/>
        <w:spacing w:line="276" w:lineRule="auto"/>
        <w:jc w:val="both"/>
        <w:rPr>
          <w:rFonts w:ascii="Arial" w:hAnsi="Arial" w:cs="Arial"/>
        </w:rPr>
      </w:pPr>
      <w:proofErr w:type="gramStart"/>
      <w:r w:rsidRPr="006276EE">
        <w:rPr>
          <w:rFonts w:ascii="Arial" w:hAnsi="Arial" w:cs="Arial"/>
          <w:b/>
          <w:color w:val="00B0F0"/>
        </w:rPr>
        <w:lastRenderedPageBreak/>
        <w:t>APPENDIX 2.</w:t>
      </w:r>
      <w:proofErr w:type="gramEnd"/>
      <w:r w:rsidRPr="00297A95">
        <w:rPr>
          <w:rFonts w:ascii="Arial" w:hAnsi="Arial" w:cs="Arial"/>
        </w:rPr>
        <w:t xml:space="preserve"> </w:t>
      </w:r>
      <w:r w:rsidRPr="006276EE">
        <w:rPr>
          <w:rFonts w:ascii="Arial" w:hAnsi="Arial" w:cs="Arial"/>
          <w:b/>
          <w:color w:val="00B0F0"/>
        </w:rPr>
        <w:t>Discharge letter</w:t>
      </w:r>
      <w:r w:rsidRPr="00297A95">
        <w:rPr>
          <w:rFonts w:ascii="Arial" w:hAnsi="Arial" w:cs="Arial"/>
        </w:rPr>
        <w:t xml:space="preserve"> </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Dear Colleague</w:t>
      </w:r>
      <w:r>
        <w:rPr>
          <w:rFonts w:ascii="Arial" w:hAnsi="Arial" w:cs="Arial"/>
        </w:rPr>
        <w:t>,</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Re:</w:t>
      </w:r>
      <w:r>
        <w:rPr>
          <w:rFonts w:ascii="Arial" w:hAnsi="Arial" w:cs="Arial"/>
        </w:rPr>
        <w:t xml:space="preserve"> </w:t>
      </w:r>
      <w:r w:rsidRPr="00297A95">
        <w:rPr>
          <w:rFonts w:ascii="Arial" w:hAnsi="Arial" w:cs="Arial"/>
        </w:rPr>
        <w:t>PATIENT’S NAME</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 xml:space="preserve">Your patient was recently admitted to hospital following an episode of Stevens-Johnson syndrome/toxic epidermal necrolysis (SJS/TEN). SJS/TEN is a rare, severe </w:t>
      </w:r>
      <w:proofErr w:type="spellStart"/>
      <w:r w:rsidRPr="00297A95">
        <w:rPr>
          <w:rFonts w:ascii="Arial" w:hAnsi="Arial" w:cs="Arial"/>
        </w:rPr>
        <w:t>muco</w:t>
      </w:r>
      <w:proofErr w:type="spellEnd"/>
      <w:r w:rsidRPr="00297A95">
        <w:rPr>
          <w:rFonts w:ascii="Arial" w:hAnsi="Arial" w:cs="Arial"/>
        </w:rPr>
        <w:t xml:space="preserve">-cutaneous reaction, usually to drugs, characterised by blistering and epithelial sloughing of skin and mucous membranes. During the acute phase, patients are extremely ill, often requiring admission to an ICU or to a </w:t>
      </w:r>
      <w:r>
        <w:rPr>
          <w:rFonts w:ascii="Arial" w:hAnsi="Arial" w:cs="Arial"/>
        </w:rPr>
        <w:t>B</w:t>
      </w:r>
      <w:r w:rsidRPr="00297A95">
        <w:rPr>
          <w:rFonts w:ascii="Arial" w:hAnsi="Arial" w:cs="Arial"/>
        </w:rPr>
        <w:t xml:space="preserve">urn </w:t>
      </w:r>
      <w:r>
        <w:rPr>
          <w:rFonts w:ascii="Arial" w:hAnsi="Arial" w:cs="Arial"/>
        </w:rPr>
        <w:t>Centre</w:t>
      </w:r>
      <w:r w:rsidRPr="00297A95">
        <w:rPr>
          <w:rFonts w:ascii="Arial" w:hAnsi="Arial" w:cs="Arial"/>
        </w:rPr>
        <w:t>. The chronic phase of SJS/TEN is characterised by symptoms which develop insidiously over the weeks and months following presentation and usually persist after discharge from hospital. The most common sequelae are:</w:t>
      </w:r>
    </w:p>
    <w:p w:rsidR="00BD084C" w:rsidRPr="00297A95" w:rsidRDefault="00BD084C" w:rsidP="0085034D">
      <w:pPr>
        <w:pStyle w:val="NoSpacing"/>
        <w:spacing w:line="276" w:lineRule="auto"/>
        <w:jc w:val="both"/>
        <w:rPr>
          <w:rFonts w:ascii="Arial" w:hAnsi="Arial" w:cs="Arial"/>
        </w:rPr>
      </w:pPr>
    </w:p>
    <w:p w:rsidR="00BD084C" w:rsidRPr="00297A95" w:rsidRDefault="00BD084C" w:rsidP="00BD084C">
      <w:pPr>
        <w:pStyle w:val="NoSpacing"/>
        <w:numPr>
          <w:ilvl w:val="0"/>
          <w:numId w:val="17"/>
        </w:numPr>
        <w:spacing w:line="276" w:lineRule="auto"/>
        <w:jc w:val="both"/>
        <w:rPr>
          <w:rFonts w:ascii="Arial" w:hAnsi="Arial" w:cs="Arial"/>
        </w:rPr>
      </w:pPr>
      <w:r w:rsidRPr="00297A95">
        <w:rPr>
          <w:rFonts w:ascii="Arial" w:hAnsi="Arial" w:cs="Arial"/>
        </w:rPr>
        <w:t>Fatigue, especially in the initial weeks and months after discharge</w:t>
      </w:r>
    </w:p>
    <w:p w:rsidR="00BD084C" w:rsidRPr="00297A95" w:rsidRDefault="00BD084C" w:rsidP="00BD084C">
      <w:pPr>
        <w:pStyle w:val="NoSpacing"/>
        <w:numPr>
          <w:ilvl w:val="0"/>
          <w:numId w:val="17"/>
        </w:numPr>
        <w:spacing w:line="276" w:lineRule="auto"/>
        <w:jc w:val="both"/>
        <w:rPr>
          <w:rFonts w:ascii="Arial" w:hAnsi="Arial" w:cs="Arial"/>
        </w:rPr>
      </w:pPr>
      <w:r w:rsidRPr="00297A95">
        <w:rPr>
          <w:rFonts w:ascii="Arial" w:hAnsi="Arial" w:cs="Arial"/>
        </w:rPr>
        <w:t>Eye complications</w:t>
      </w:r>
      <w:r>
        <w:rPr>
          <w:rFonts w:ascii="Arial" w:hAnsi="Arial" w:cs="Arial"/>
        </w:rPr>
        <w:t>, including</w:t>
      </w:r>
      <w:r w:rsidRPr="00297A95">
        <w:rPr>
          <w:rFonts w:ascii="Arial" w:hAnsi="Arial" w:cs="Arial"/>
        </w:rPr>
        <w:t xml:space="preserve"> </w:t>
      </w:r>
      <w:r>
        <w:rPr>
          <w:rFonts w:ascii="Arial" w:hAnsi="Arial" w:cs="Arial"/>
        </w:rPr>
        <w:t xml:space="preserve">dryness, pain, </w:t>
      </w:r>
      <w:r w:rsidRPr="00297A95">
        <w:rPr>
          <w:rFonts w:ascii="Arial" w:hAnsi="Arial" w:cs="Arial"/>
        </w:rPr>
        <w:t>photophobia, corneal scarring</w:t>
      </w:r>
      <w:r>
        <w:rPr>
          <w:rFonts w:ascii="Arial" w:hAnsi="Arial" w:cs="Arial"/>
        </w:rPr>
        <w:t xml:space="preserve"> and</w:t>
      </w:r>
      <w:r w:rsidRPr="00297A95">
        <w:rPr>
          <w:rFonts w:ascii="Arial" w:hAnsi="Arial" w:cs="Arial"/>
        </w:rPr>
        <w:t xml:space="preserve"> visual impairment</w:t>
      </w:r>
    </w:p>
    <w:p w:rsidR="00BD084C" w:rsidRPr="00297A95" w:rsidRDefault="00BD084C" w:rsidP="00BD084C">
      <w:pPr>
        <w:pStyle w:val="NoSpacing"/>
        <w:numPr>
          <w:ilvl w:val="0"/>
          <w:numId w:val="17"/>
        </w:numPr>
        <w:spacing w:line="276" w:lineRule="auto"/>
        <w:jc w:val="both"/>
        <w:rPr>
          <w:rFonts w:ascii="Arial" w:hAnsi="Arial" w:cs="Arial"/>
        </w:rPr>
      </w:pPr>
      <w:r w:rsidRPr="00297A95">
        <w:rPr>
          <w:rFonts w:ascii="Arial" w:hAnsi="Arial" w:cs="Arial"/>
        </w:rPr>
        <w:t xml:space="preserve">Skin </w:t>
      </w:r>
      <w:proofErr w:type="spellStart"/>
      <w:r w:rsidRPr="00297A95">
        <w:rPr>
          <w:rFonts w:ascii="Arial" w:hAnsi="Arial" w:cs="Arial"/>
        </w:rPr>
        <w:t>dyspigmentation</w:t>
      </w:r>
      <w:proofErr w:type="spellEnd"/>
      <w:r w:rsidRPr="00297A95">
        <w:rPr>
          <w:rFonts w:ascii="Arial" w:hAnsi="Arial" w:cs="Arial"/>
        </w:rPr>
        <w:t xml:space="preserve"> (both hyper- and hypopigmentation)</w:t>
      </w:r>
    </w:p>
    <w:p w:rsidR="00BD084C" w:rsidRPr="00297A95" w:rsidRDefault="00BD084C" w:rsidP="00BD084C">
      <w:pPr>
        <w:pStyle w:val="NoSpacing"/>
        <w:numPr>
          <w:ilvl w:val="0"/>
          <w:numId w:val="17"/>
        </w:numPr>
        <w:spacing w:line="276" w:lineRule="auto"/>
        <w:jc w:val="both"/>
        <w:rPr>
          <w:rFonts w:ascii="Arial" w:hAnsi="Arial" w:cs="Arial"/>
        </w:rPr>
      </w:pPr>
      <w:r w:rsidRPr="00297A95">
        <w:rPr>
          <w:rFonts w:ascii="Arial" w:hAnsi="Arial" w:cs="Arial"/>
        </w:rPr>
        <w:t>Loss of nails (sometimes with dystrophic regrowth)</w:t>
      </w:r>
    </w:p>
    <w:p w:rsidR="00BD084C" w:rsidRPr="00297A95" w:rsidRDefault="00BD084C" w:rsidP="00BD084C">
      <w:pPr>
        <w:pStyle w:val="NoSpacing"/>
        <w:numPr>
          <w:ilvl w:val="0"/>
          <w:numId w:val="17"/>
        </w:numPr>
        <w:spacing w:line="276" w:lineRule="auto"/>
        <w:jc w:val="both"/>
        <w:rPr>
          <w:rFonts w:ascii="Arial" w:hAnsi="Arial" w:cs="Arial"/>
        </w:rPr>
      </w:pPr>
      <w:r w:rsidRPr="00297A95">
        <w:rPr>
          <w:rFonts w:ascii="Arial" w:hAnsi="Arial" w:cs="Arial"/>
        </w:rPr>
        <w:t>Urogenital problems, including dryness and complications from scarring</w:t>
      </w:r>
    </w:p>
    <w:p w:rsidR="00BD084C" w:rsidRPr="00297A95" w:rsidRDefault="00BD084C" w:rsidP="00BD084C">
      <w:pPr>
        <w:pStyle w:val="NoSpacing"/>
        <w:numPr>
          <w:ilvl w:val="0"/>
          <w:numId w:val="17"/>
        </w:numPr>
        <w:spacing w:line="276" w:lineRule="auto"/>
        <w:jc w:val="both"/>
        <w:rPr>
          <w:rFonts w:ascii="Arial" w:hAnsi="Arial" w:cs="Arial"/>
        </w:rPr>
      </w:pPr>
      <w:r w:rsidRPr="00297A95">
        <w:rPr>
          <w:rFonts w:ascii="Arial" w:hAnsi="Arial" w:cs="Arial"/>
        </w:rPr>
        <w:t>Mouth problems, including dryness, dental caries and complications from scarring</w:t>
      </w:r>
    </w:p>
    <w:p w:rsidR="00BD084C" w:rsidRPr="00297A95" w:rsidRDefault="00BD084C" w:rsidP="00BD084C">
      <w:pPr>
        <w:pStyle w:val="NoSpacing"/>
        <w:numPr>
          <w:ilvl w:val="0"/>
          <w:numId w:val="17"/>
        </w:numPr>
        <w:spacing w:line="276" w:lineRule="auto"/>
        <w:jc w:val="both"/>
        <w:rPr>
          <w:rFonts w:ascii="Arial" w:hAnsi="Arial" w:cs="Arial"/>
        </w:rPr>
      </w:pPr>
      <w:r w:rsidRPr="00297A95">
        <w:rPr>
          <w:rFonts w:ascii="Arial" w:hAnsi="Arial" w:cs="Arial"/>
        </w:rPr>
        <w:t>Post-traumatic stress disorder, including nightmares, anxiety</w:t>
      </w:r>
      <w:r>
        <w:rPr>
          <w:rFonts w:ascii="Arial" w:hAnsi="Arial" w:cs="Arial"/>
        </w:rPr>
        <w:t xml:space="preserve"> and</w:t>
      </w:r>
      <w:r w:rsidRPr="00297A95">
        <w:rPr>
          <w:rFonts w:ascii="Arial" w:hAnsi="Arial" w:cs="Arial"/>
        </w:rPr>
        <w:t xml:space="preserve"> depression</w:t>
      </w:r>
    </w:p>
    <w:p w:rsidR="00BD084C" w:rsidRPr="00297A95" w:rsidRDefault="00BD084C" w:rsidP="00BD084C">
      <w:pPr>
        <w:pStyle w:val="NoSpacing"/>
        <w:numPr>
          <w:ilvl w:val="0"/>
          <w:numId w:val="17"/>
        </w:numPr>
        <w:spacing w:line="276" w:lineRule="auto"/>
        <w:jc w:val="both"/>
        <w:rPr>
          <w:rFonts w:ascii="Arial" w:hAnsi="Arial" w:cs="Arial"/>
        </w:rPr>
      </w:pPr>
      <w:r w:rsidRPr="00297A95">
        <w:rPr>
          <w:rFonts w:ascii="Arial" w:hAnsi="Arial" w:cs="Arial"/>
        </w:rPr>
        <w:t>Other complications</w:t>
      </w:r>
      <w:r>
        <w:rPr>
          <w:rFonts w:ascii="Arial" w:hAnsi="Arial" w:cs="Arial"/>
        </w:rPr>
        <w:t xml:space="preserve"> include</w:t>
      </w:r>
      <w:r w:rsidRPr="00297A95">
        <w:rPr>
          <w:rFonts w:ascii="Arial" w:hAnsi="Arial" w:cs="Arial"/>
        </w:rPr>
        <w:t xml:space="preserve"> bronchiectasis and other sequelae of lung involvement; stenosis of the gastrointestinal tract; loss of muscle mass</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Your vigilance in monitoring for these complications is vital; many of the long-term outcomes, particularly ocular disorders, can be improved by early recognition and prompt intervention. In the event of any of the above sequelae please contact our department and we will refer the patient to the appropriate specialist.</w:t>
      </w:r>
    </w:p>
    <w:p w:rsidR="00BD084C" w:rsidRPr="00297A95"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SJS/TEN is most often caused by a medication. In the case of your patient the cause of SJS/TEN has been identified as</w:t>
      </w:r>
      <w:r>
        <w:rPr>
          <w:rFonts w:ascii="Arial" w:hAnsi="Arial" w:cs="Arial"/>
        </w:rPr>
        <w:t xml:space="preserve"> ……………</w:t>
      </w:r>
      <w:proofErr w:type="gramStart"/>
      <w:r>
        <w:rPr>
          <w:rFonts w:ascii="Arial" w:hAnsi="Arial" w:cs="Arial"/>
        </w:rPr>
        <w:t>... .</w:t>
      </w:r>
      <w:proofErr w:type="gramEnd"/>
      <w:r>
        <w:rPr>
          <w:rFonts w:ascii="Arial" w:hAnsi="Arial" w:cs="Arial"/>
        </w:rPr>
        <w:t xml:space="preserve"> </w:t>
      </w:r>
      <w:hyperlink w:anchor="_ENREF_125" w:tooltip=", !!! INVALID CITATION !!!" w:history="1"/>
      <w:r w:rsidRPr="00297A95">
        <w:rPr>
          <w:rFonts w:ascii="Arial" w:hAnsi="Arial" w:cs="Arial"/>
        </w:rPr>
        <w:t xml:space="preserve"> It is essential that your patient is not prescribed </w:t>
      </w:r>
      <w:r>
        <w:rPr>
          <w:rFonts w:ascii="Arial" w:hAnsi="Arial" w:cs="Arial"/>
        </w:rPr>
        <w:t>……………</w:t>
      </w:r>
      <w:proofErr w:type="gramStart"/>
      <w:r>
        <w:rPr>
          <w:rFonts w:ascii="Arial" w:hAnsi="Arial" w:cs="Arial"/>
        </w:rPr>
        <w:t>... ,</w:t>
      </w:r>
      <w:proofErr w:type="gramEnd"/>
      <w:r>
        <w:rPr>
          <w:rFonts w:ascii="Arial" w:hAnsi="Arial" w:cs="Arial"/>
        </w:rPr>
        <w:t xml:space="preserve"> or drugs of the same class.</w:t>
      </w:r>
      <w:r w:rsidRPr="00297A95">
        <w:rPr>
          <w:rFonts w:ascii="Arial" w:hAnsi="Arial" w:cs="Arial"/>
        </w:rPr>
        <w:t xml:space="preserve"> We have informed him/her about which medication(s) to avoid. We would appreciate if you could order a </w:t>
      </w:r>
      <w:proofErr w:type="spellStart"/>
      <w:r w:rsidRPr="00297A95">
        <w:rPr>
          <w:rFonts w:ascii="Arial" w:hAnsi="Arial" w:cs="Arial"/>
        </w:rPr>
        <w:t>MedicAlert</w:t>
      </w:r>
      <w:proofErr w:type="spellEnd"/>
      <w:r w:rsidRPr="00297A95">
        <w:rPr>
          <w:rFonts w:ascii="Arial" w:hAnsi="Arial" w:cs="Arial"/>
        </w:rPr>
        <w:t xml:space="preserve"> bracelet or amulet identifying the culprit medication(s) </w:t>
      </w:r>
      <w:r>
        <w:rPr>
          <w:rFonts w:ascii="Arial" w:hAnsi="Arial" w:cs="Arial"/>
        </w:rPr>
        <w:t xml:space="preserve">above </w:t>
      </w:r>
      <w:r w:rsidRPr="00297A95">
        <w:rPr>
          <w:rFonts w:ascii="Arial" w:hAnsi="Arial" w:cs="Arial"/>
        </w:rPr>
        <w:t xml:space="preserve">and indicating the reaction he/she suffered (SJS/TEN). Some patients develop a reluctance to take new </w:t>
      </w:r>
      <w:proofErr w:type="gramStart"/>
      <w:r w:rsidRPr="00297A95">
        <w:rPr>
          <w:rFonts w:ascii="Arial" w:hAnsi="Arial" w:cs="Arial"/>
        </w:rPr>
        <w:t>medicines,</w:t>
      </w:r>
      <w:proofErr w:type="gramEnd"/>
      <w:r w:rsidRPr="00297A95">
        <w:rPr>
          <w:rFonts w:ascii="Arial" w:hAnsi="Arial" w:cs="Arial"/>
        </w:rPr>
        <w:t xml:space="preserve"> however, recurrences are extremely rare and are almost always due to a repeat exposure to the offending drug or another in the same class. </w:t>
      </w:r>
    </w:p>
    <w:p w:rsidR="00BD084C" w:rsidRPr="00297A95" w:rsidRDefault="00BD084C" w:rsidP="0085034D">
      <w:pPr>
        <w:pStyle w:val="NoSpacing"/>
        <w:spacing w:line="276" w:lineRule="auto"/>
        <w:jc w:val="both"/>
        <w:rPr>
          <w:rFonts w:ascii="Arial" w:hAnsi="Arial" w:cs="Arial"/>
          <w:i/>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i/>
        </w:rPr>
        <w:t>If appropriate:</w:t>
      </w:r>
      <w:r w:rsidRPr="00297A95">
        <w:rPr>
          <w:rFonts w:ascii="Arial" w:hAnsi="Arial" w:cs="Arial"/>
        </w:rPr>
        <w:t xml:space="preserve"> In approximately 15% of SJS/TEN cases no drug can be implicated.</w:t>
      </w:r>
    </w:p>
    <w:p w:rsidR="00BD084C" w:rsidRPr="00297A95" w:rsidRDefault="00BD084C" w:rsidP="0085034D">
      <w:pPr>
        <w:pStyle w:val="NoSpacing"/>
        <w:spacing w:line="276" w:lineRule="auto"/>
        <w:jc w:val="both"/>
        <w:rPr>
          <w:rFonts w:ascii="Arial" w:hAnsi="Arial" w:cs="Arial"/>
        </w:rPr>
      </w:pPr>
    </w:p>
    <w:p w:rsidR="00BD084C" w:rsidRDefault="00BD084C" w:rsidP="0085034D">
      <w:pPr>
        <w:pStyle w:val="NoSpacing"/>
        <w:spacing w:line="276" w:lineRule="auto"/>
        <w:jc w:val="both"/>
        <w:rPr>
          <w:rFonts w:ascii="Arial" w:hAnsi="Arial" w:cs="Arial"/>
        </w:rPr>
      </w:pPr>
      <w:r w:rsidRPr="00297A95">
        <w:rPr>
          <w:rFonts w:ascii="Arial" w:hAnsi="Arial" w:cs="Arial"/>
        </w:rPr>
        <w:t>Please contact the department if you wish to discuss your patient’s illness, or for further information about SJS/TEN.</w:t>
      </w:r>
    </w:p>
    <w:p w:rsidR="00BD084C" w:rsidRDefault="00BD084C" w:rsidP="0085034D">
      <w:pPr>
        <w:pStyle w:val="NoSpacing"/>
        <w:spacing w:line="276" w:lineRule="auto"/>
        <w:jc w:val="both"/>
        <w:rPr>
          <w:rFonts w:ascii="Arial" w:hAnsi="Arial" w:cs="Arial"/>
        </w:rPr>
      </w:pPr>
    </w:p>
    <w:p w:rsidR="00BD084C" w:rsidRPr="00297A95" w:rsidRDefault="00BD084C" w:rsidP="0085034D">
      <w:pPr>
        <w:pStyle w:val="NoSpacing"/>
        <w:spacing w:line="276" w:lineRule="auto"/>
        <w:jc w:val="both"/>
        <w:rPr>
          <w:rFonts w:ascii="Arial" w:hAnsi="Arial" w:cs="Arial"/>
        </w:rPr>
      </w:pPr>
      <w:r w:rsidRPr="00297A95">
        <w:rPr>
          <w:rFonts w:ascii="Arial" w:hAnsi="Arial" w:cs="Arial"/>
        </w:rPr>
        <w:t>Yours sincerely,</w:t>
      </w:r>
    </w:p>
    <w:p w:rsidR="00BD084C" w:rsidRDefault="00BD084C" w:rsidP="0085034D">
      <w:pPr>
        <w:pStyle w:val="NoSpacing"/>
        <w:spacing w:line="276" w:lineRule="auto"/>
        <w:jc w:val="both"/>
        <w:rPr>
          <w:rFonts w:ascii="Arial" w:hAnsi="Arial" w:cs="Arial"/>
        </w:rPr>
      </w:pPr>
    </w:p>
    <w:p w:rsidR="00BD084C" w:rsidRDefault="00BD084C" w:rsidP="0085034D">
      <w:pPr>
        <w:pStyle w:val="NoSpacing"/>
        <w:spacing w:line="276" w:lineRule="auto"/>
        <w:jc w:val="both"/>
        <w:rPr>
          <w:rFonts w:ascii="Arial" w:hAnsi="Arial" w:cs="Arial"/>
          <w:b/>
          <w:color w:val="00B0F0"/>
        </w:rPr>
      </w:pPr>
      <w:r>
        <w:rPr>
          <w:rFonts w:ascii="Arial" w:hAnsi="Arial" w:cs="Arial"/>
        </w:rPr>
        <w:br w:type="page"/>
      </w:r>
      <w:r>
        <w:rPr>
          <w:noProof/>
          <w:lang w:eastAsia="zh-CN"/>
        </w:rPr>
        <w:lastRenderedPageBreak/>
        <mc:AlternateContent>
          <mc:Choice Requires="wps">
            <w:drawing>
              <wp:anchor distT="0" distB="0" distL="114300" distR="114300" simplePos="0" relativeHeight="251660288" behindDoc="0" locked="0" layoutInCell="1" allowOverlap="1" wp14:anchorId="6BA26B0F" wp14:editId="50F21788">
                <wp:simplePos x="0" y="0"/>
                <wp:positionH relativeFrom="column">
                  <wp:posOffset>3943985</wp:posOffset>
                </wp:positionH>
                <wp:positionV relativeFrom="paragraph">
                  <wp:posOffset>20320</wp:posOffset>
                </wp:positionV>
                <wp:extent cx="1723390" cy="51752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390" cy="517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34D" w:rsidRPr="00D17005" w:rsidRDefault="0085034D">
                            <w:pPr>
                              <w:rPr>
                                <w:rFonts w:ascii="Arial" w:hAnsi="Arial" w:cs="Arial"/>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27" type="#_x0000_t202" style="position:absolute;left:0;text-align:left;margin-left:310.55pt;margin-top:1.6pt;width:135.7pt;height: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JDAgwIAABc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" stroked="f">
                <v:textbox>
                  <w:txbxContent>
                    <w:p w:rsidR="0085034D" w:rsidRPr="00D17005" w:rsidRDefault="0085034D">
                      <w:pPr>
                        <w:rPr>
                          <w:rFonts w:ascii="Arial" w:hAnsi="Arial" w:cs="Arial"/>
                          <w:sz w:val="12"/>
                          <w:szCs w:val="12"/>
                        </w:rPr>
                      </w:pPr>
                    </w:p>
                  </w:txbxContent>
                </v:textbox>
              </v:shape>
            </w:pict>
          </mc:Fallback>
        </mc:AlternateContent>
      </w:r>
      <w:r w:rsidRPr="006276EE">
        <w:rPr>
          <w:rFonts w:ascii="Arial" w:hAnsi="Arial" w:cs="Arial"/>
          <w:b/>
          <w:color w:val="00B0F0"/>
        </w:rPr>
        <w:t>REFERENCES</w:t>
      </w:r>
    </w:p>
    <w:p w:rsidR="00BD084C" w:rsidRPr="00E942AA" w:rsidRDefault="00BD084C" w:rsidP="0085034D">
      <w:pPr>
        <w:pStyle w:val="NoSpacing"/>
        <w:spacing w:line="276" w:lineRule="auto"/>
        <w:jc w:val="both"/>
        <w:rPr>
          <w:rFonts w:ascii="Arial" w:hAnsi="Arial" w:cs="Arial"/>
        </w:rPr>
      </w:pPr>
    </w:p>
    <w:p w:rsidR="00BD084C" w:rsidRDefault="00BD084C" w:rsidP="0085034D">
      <w:pPr>
        <w:pStyle w:val="NoSpacing"/>
        <w:ind w:left="720" w:hanging="720"/>
        <w:jc w:val="both"/>
        <w:rPr>
          <w:rFonts w:ascii="Arial" w:hAnsi="Arial" w:cs="Arial"/>
          <w:noProof/>
        </w:rPr>
      </w:pPr>
      <w:bookmarkStart w:id="1" w:name="_ENREF_1"/>
      <w:r>
        <w:rPr>
          <w:rFonts w:ascii="Arial" w:hAnsi="Arial" w:cs="Arial"/>
          <w:noProof/>
        </w:rPr>
        <w:t>1</w:t>
      </w:r>
      <w:r>
        <w:rPr>
          <w:rFonts w:ascii="Arial" w:hAnsi="Arial" w:cs="Arial"/>
          <w:noProof/>
        </w:rPr>
        <w:tab/>
        <w:t xml:space="preserve">Bell HK, Ormerod AD. Writing a British Association of Dermatologists clinical guideline: an update on the process and guidance for authors. </w:t>
      </w:r>
      <w:r w:rsidRPr="00DD469F">
        <w:rPr>
          <w:rFonts w:ascii="Arial" w:hAnsi="Arial" w:cs="Arial"/>
          <w:i/>
          <w:noProof/>
        </w:rPr>
        <w:t>Br J Dermatol</w:t>
      </w:r>
      <w:r>
        <w:rPr>
          <w:rFonts w:ascii="Arial" w:hAnsi="Arial" w:cs="Arial"/>
          <w:noProof/>
        </w:rPr>
        <w:t xml:space="preserve"> 2009; </w:t>
      </w:r>
      <w:r w:rsidRPr="00DD469F">
        <w:rPr>
          <w:rFonts w:ascii="Arial" w:hAnsi="Arial" w:cs="Arial"/>
          <w:b/>
          <w:noProof/>
        </w:rPr>
        <w:t>160</w:t>
      </w:r>
      <w:r>
        <w:rPr>
          <w:rFonts w:ascii="Arial" w:hAnsi="Arial" w:cs="Arial"/>
          <w:noProof/>
        </w:rPr>
        <w:t>:725-8.</w:t>
      </w:r>
      <w:bookmarkEnd w:id="1"/>
    </w:p>
    <w:p w:rsidR="00BD084C" w:rsidRDefault="00BD084C" w:rsidP="0085034D">
      <w:pPr>
        <w:pStyle w:val="NoSpacing"/>
        <w:ind w:left="720" w:hanging="720"/>
        <w:jc w:val="both"/>
        <w:rPr>
          <w:rFonts w:ascii="Arial" w:hAnsi="Arial" w:cs="Arial"/>
          <w:noProof/>
        </w:rPr>
      </w:pPr>
      <w:bookmarkStart w:id="2" w:name="_ENREF_2"/>
      <w:r>
        <w:rPr>
          <w:rFonts w:ascii="Arial" w:hAnsi="Arial" w:cs="Arial"/>
          <w:noProof/>
        </w:rPr>
        <w:t>2</w:t>
      </w:r>
      <w:r>
        <w:rPr>
          <w:rFonts w:ascii="Arial" w:hAnsi="Arial" w:cs="Arial"/>
          <w:noProof/>
        </w:rPr>
        <w:tab/>
        <w:t>Brouwers MC, Kho ME, Browman GP</w:t>
      </w:r>
      <w:r w:rsidRPr="00DD469F">
        <w:rPr>
          <w:rFonts w:ascii="Arial" w:hAnsi="Arial" w:cs="Arial"/>
          <w:i/>
          <w:noProof/>
        </w:rPr>
        <w:t xml:space="preserve"> et al.</w:t>
      </w:r>
      <w:r>
        <w:rPr>
          <w:rFonts w:ascii="Arial" w:hAnsi="Arial" w:cs="Arial"/>
          <w:noProof/>
        </w:rPr>
        <w:t xml:space="preserve"> AGREE II: advancing guideline development, reporting and evaluation in health care. </w:t>
      </w:r>
      <w:r w:rsidRPr="00DD469F">
        <w:rPr>
          <w:rFonts w:ascii="Arial" w:hAnsi="Arial" w:cs="Arial"/>
          <w:i/>
          <w:noProof/>
        </w:rPr>
        <w:t>Can Med Assoc J</w:t>
      </w:r>
      <w:r>
        <w:rPr>
          <w:rFonts w:ascii="Arial" w:hAnsi="Arial" w:cs="Arial"/>
          <w:noProof/>
        </w:rPr>
        <w:t xml:space="preserve"> 2010; </w:t>
      </w:r>
      <w:r w:rsidRPr="00DD469F">
        <w:rPr>
          <w:rFonts w:ascii="Arial" w:hAnsi="Arial" w:cs="Arial"/>
          <w:b/>
          <w:noProof/>
        </w:rPr>
        <w:t>182</w:t>
      </w:r>
      <w:r>
        <w:rPr>
          <w:rFonts w:ascii="Arial" w:hAnsi="Arial" w:cs="Arial"/>
          <w:noProof/>
        </w:rPr>
        <w:t>:E839-42.</w:t>
      </w:r>
      <w:bookmarkEnd w:id="2"/>
    </w:p>
    <w:p w:rsidR="00BD084C" w:rsidRDefault="00BD084C" w:rsidP="0085034D">
      <w:pPr>
        <w:pStyle w:val="NoSpacing"/>
        <w:ind w:left="720" w:hanging="720"/>
        <w:jc w:val="both"/>
        <w:rPr>
          <w:rFonts w:ascii="Arial" w:hAnsi="Arial" w:cs="Arial"/>
          <w:noProof/>
        </w:rPr>
      </w:pPr>
      <w:bookmarkStart w:id="3" w:name="_ENREF_3"/>
      <w:r>
        <w:rPr>
          <w:rFonts w:ascii="Arial" w:hAnsi="Arial" w:cs="Arial"/>
          <w:noProof/>
        </w:rPr>
        <w:t>3</w:t>
      </w:r>
      <w:r>
        <w:rPr>
          <w:rFonts w:ascii="Arial" w:hAnsi="Arial" w:cs="Arial"/>
          <w:noProof/>
        </w:rPr>
        <w:tab/>
        <w:t xml:space="preserve">Roujeau JC, Stern RS. Severe adverse cutaneous reactions to drugs. </w:t>
      </w:r>
      <w:r w:rsidRPr="00DD469F">
        <w:rPr>
          <w:rFonts w:ascii="Arial" w:hAnsi="Arial" w:cs="Arial"/>
          <w:i/>
          <w:noProof/>
        </w:rPr>
        <w:t>N Engl J Med</w:t>
      </w:r>
      <w:r>
        <w:rPr>
          <w:rFonts w:ascii="Arial" w:hAnsi="Arial" w:cs="Arial"/>
          <w:noProof/>
        </w:rPr>
        <w:t xml:space="preserve"> 1994; </w:t>
      </w:r>
      <w:r w:rsidRPr="00DD469F">
        <w:rPr>
          <w:rFonts w:ascii="Arial" w:hAnsi="Arial" w:cs="Arial"/>
          <w:b/>
          <w:noProof/>
        </w:rPr>
        <w:t>331</w:t>
      </w:r>
      <w:r>
        <w:rPr>
          <w:rFonts w:ascii="Arial" w:hAnsi="Arial" w:cs="Arial"/>
          <w:noProof/>
        </w:rPr>
        <w:t>:1272-85.</w:t>
      </w:r>
      <w:bookmarkEnd w:id="3"/>
    </w:p>
    <w:p w:rsidR="00BD084C" w:rsidRDefault="00BD084C" w:rsidP="0085034D">
      <w:pPr>
        <w:pStyle w:val="NoSpacing"/>
        <w:ind w:left="720" w:hanging="720"/>
        <w:jc w:val="both"/>
        <w:rPr>
          <w:rFonts w:ascii="Arial" w:hAnsi="Arial" w:cs="Arial"/>
          <w:noProof/>
        </w:rPr>
      </w:pPr>
      <w:bookmarkStart w:id="4" w:name="_ENREF_4"/>
      <w:r>
        <w:rPr>
          <w:rFonts w:ascii="Arial" w:hAnsi="Arial" w:cs="Arial"/>
          <w:noProof/>
        </w:rPr>
        <w:t>4</w:t>
      </w:r>
      <w:r>
        <w:rPr>
          <w:rFonts w:ascii="Arial" w:hAnsi="Arial" w:cs="Arial"/>
          <w:noProof/>
        </w:rPr>
        <w:tab/>
        <w:t>Roujeau JC, Guillaume JC, Fabre JP</w:t>
      </w:r>
      <w:r w:rsidRPr="00DD469F">
        <w:rPr>
          <w:rFonts w:ascii="Arial" w:hAnsi="Arial" w:cs="Arial"/>
          <w:i/>
          <w:noProof/>
        </w:rPr>
        <w:t xml:space="preserve"> et al.</w:t>
      </w:r>
      <w:r>
        <w:rPr>
          <w:rFonts w:ascii="Arial" w:hAnsi="Arial" w:cs="Arial"/>
          <w:noProof/>
        </w:rPr>
        <w:t xml:space="preserve"> Toxic epidermal necrolysis (Lyell syndrome). Incidence and drug etiology in France, 1981-1985. </w:t>
      </w:r>
      <w:r w:rsidRPr="00DD469F">
        <w:rPr>
          <w:rFonts w:ascii="Arial" w:hAnsi="Arial" w:cs="Arial"/>
          <w:i/>
          <w:noProof/>
        </w:rPr>
        <w:t>Arch Dermatol</w:t>
      </w:r>
      <w:r>
        <w:rPr>
          <w:rFonts w:ascii="Arial" w:hAnsi="Arial" w:cs="Arial"/>
          <w:noProof/>
        </w:rPr>
        <w:t xml:space="preserve"> 1990; </w:t>
      </w:r>
      <w:r w:rsidRPr="00DD469F">
        <w:rPr>
          <w:rFonts w:ascii="Arial" w:hAnsi="Arial" w:cs="Arial"/>
          <w:b/>
          <w:noProof/>
        </w:rPr>
        <w:t>126</w:t>
      </w:r>
      <w:r>
        <w:rPr>
          <w:rFonts w:ascii="Arial" w:hAnsi="Arial" w:cs="Arial"/>
          <w:noProof/>
        </w:rPr>
        <w:t>:37-42.</w:t>
      </w:r>
      <w:bookmarkEnd w:id="4"/>
    </w:p>
    <w:p w:rsidR="00BD084C" w:rsidRDefault="00BD084C" w:rsidP="0085034D">
      <w:pPr>
        <w:pStyle w:val="NoSpacing"/>
        <w:ind w:left="720" w:hanging="720"/>
        <w:jc w:val="both"/>
        <w:rPr>
          <w:rFonts w:ascii="Arial" w:hAnsi="Arial" w:cs="Arial"/>
          <w:noProof/>
        </w:rPr>
      </w:pPr>
      <w:bookmarkStart w:id="5" w:name="_ENREF_5"/>
      <w:r>
        <w:rPr>
          <w:rFonts w:ascii="Arial" w:hAnsi="Arial" w:cs="Arial"/>
          <w:noProof/>
        </w:rPr>
        <w:t>5</w:t>
      </w:r>
      <w:r>
        <w:rPr>
          <w:rFonts w:ascii="Arial" w:hAnsi="Arial" w:cs="Arial"/>
          <w:noProof/>
        </w:rPr>
        <w:tab/>
        <w:t>Rzany B, Mockenhaupt M, Baur S</w:t>
      </w:r>
      <w:r w:rsidRPr="00DD469F">
        <w:rPr>
          <w:rFonts w:ascii="Arial" w:hAnsi="Arial" w:cs="Arial"/>
          <w:i/>
          <w:noProof/>
        </w:rPr>
        <w:t xml:space="preserve"> et al.</w:t>
      </w:r>
      <w:r>
        <w:rPr>
          <w:rFonts w:ascii="Arial" w:hAnsi="Arial" w:cs="Arial"/>
          <w:noProof/>
        </w:rPr>
        <w:t xml:space="preserve"> Epidemiology of erythema exsudativum multiforme majus, Stevens-Johnson syndrome, and toxic epidermal necrolysis in Germany (1990-1992): structure and results of a population-based registry. </w:t>
      </w:r>
      <w:r w:rsidRPr="00DD469F">
        <w:rPr>
          <w:rFonts w:ascii="Arial" w:hAnsi="Arial" w:cs="Arial"/>
          <w:i/>
          <w:noProof/>
        </w:rPr>
        <w:t>J Clin Epidemiol</w:t>
      </w:r>
      <w:r>
        <w:rPr>
          <w:rFonts w:ascii="Arial" w:hAnsi="Arial" w:cs="Arial"/>
          <w:noProof/>
        </w:rPr>
        <w:t xml:space="preserve"> 1996; </w:t>
      </w:r>
      <w:r w:rsidRPr="00DD469F">
        <w:rPr>
          <w:rFonts w:ascii="Arial" w:hAnsi="Arial" w:cs="Arial"/>
          <w:b/>
          <w:noProof/>
        </w:rPr>
        <w:t>49</w:t>
      </w:r>
      <w:r>
        <w:rPr>
          <w:rFonts w:ascii="Arial" w:hAnsi="Arial" w:cs="Arial"/>
          <w:noProof/>
        </w:rPr>
        <w:t>:769-73.</w:t>
      </w:r>
      <w:bookmarkEnd w:id="5"/>
    </w:p>
    <w:p w:rsidR="00BD084C" w:rsidRDefault="00BD084C" w:rsidP="0085034D">
      <w:pPr>
        <w:pStyle w:val="NoSpacing"/>
        <w:ind w:left="720" w:hanging="720"/>
        <w:jc w:val="both"/>
        <w:rPr>
          <w:rFonts w:ascii="Arial" w:hAnsi="Arial" w:cs="Arial"/>
          <w:noProof/>
        </w:rPr>
      </w:pPr>
      <w:bookmarkStart w:id="6" w:name="_ENREF_6"/>
      <w:r>
        <w:rPr>
          <w:rFonts w:ascii="Arial" w:hAnsi="Arial" w:cs="Arial"/>
          <w:noProof/>
        </w:rPr>
        <w:t>6</w:t>
      </w:r>
      <w:r>
        <w:rPr>
          <w:rFonts w:ascii="Arial" w:hAnsi="Arial" w:cs="Arial"/>
          <w:noProof/>
        </w:rPr>
        <w:tab/>
        <w:t>Mockenhaupt M, Viboud C, Dunant A</w:t>
      </w:r>
      <w:r w:rsidRPr="00DD469F">
        <w:rPr>
          <w:rFonts w:ascii="Arial" w:hAnsi="Arial" w:cs="Arial"/>
          <w:i/>
          <w:noProof/>
        </w:rPr>
        <w:t xml:space="preserve"> et al.</w:t>
      </w:r>
      <w:r>
        <w:rPr>
          <w:rFonts w:ascii="Arial" w:hAnsi="Arial" w:cs="Arial"/>
          <w:noProof/>
        </w:rPr>
        <w:t xml:space="preserve"> Stevens-Johnson syndrome and toxic epidermal necrolysis: assessment of medication risks with emphasis on recently marketed drugs. The EuroSCAR-study. </w:t>
      </w:r>
      <w:r w:rsidRPr="00DD469F">
        <w:rPr>
          <w:rFonts w:ascii="Arial" w:hAnsi="Arial" w:cs="Arial"/>
          <w:i/>
          <w:noProof/>
        </w:rPr>
        <w:t>J Invest Dermatol</w:t>
      </w:r>
      <w:r>
        <w:rPr>
          <w:rFonts w:ascii="Arial" w:hAnsi="Arial" w:cs="Arial"/>
          <w:noProof/>
        </w:rPr>
        <w:t xml:space="preserve"> 2008; </w:t>
      </w:r>
      <w:r w:rsidRPr="00DD469F">
        <w:rPr>
          <w:rFonts w:ascii="Arial" w:hAnsi="Arial" w:cs="Arial"/>
          <w:b/>
          <w:noProof/>
        </w:rPr>
        <w:t>128</w:t>
      </w:r>
      <w:r>
        <w:rPr>
          <w:rFonts w:ascii="Arial" w:hAnsi="Arial" w:cs="Arial"/>
          <w:noProof/>
        </w:rPr>
        <w:t>:35-44.</w:t>
      </w:r>
      <w:bookmarkEnd w:id="6"/>
    </w:p>
    <w:p w:rsidR="00BD084C" w:rsidRDefault="00BD084C" w:rsidP="0085034D">
      <w:pPr>
        <w:pStyle w:val="NoSpacing"/>
        <w:ind w:left="720" w:hanging="720"/>
        <w:jc w:val="both"/>
        <w:rPr>
          <w:rFonts w:ascii="Arial" w:hAnsi="Arial" w:cs="Arial"/>
          <w:noProof/>
        </w:rPr>
      </w:pPr>
      <w:bookmarkStart w:id="7" w:name="_ENREF_7"/>
      <w:r>
        <w:rPr>
          <w:rFonts w:ascii="Arial" w:hAnsi="Arial" w:cs="Arial"/>
          <w:noProof/>
        </w:rPr>
        <w:t>7</w:t>
      </w:r>
      <w:r>
        <w:rPr>
          <w:rFonts w:ascii="Arial" w:hAnsi="Arial" w:cs="Arial"/>
          <w:noProof/>
        </w:rPr>
        <w:tab/>
        <w:t>Roujeau JC, Chosidow O, Saiag P</w:t>
      </w:r>
      <w:r w:rsidRPr="00DD469F">
        <w:rPr>
          <w:rFonts w:ascii="Arial" w:hAnsi="Arial" w:cs="Arial"/>
          <w:i/>
          <w:noProof/>
        </w:rPr>
        <w:t xml:space="preserve"> et al.</w:t>
      </w:r>
      <w:r>
        <w:rPr>
          <w:rFonts w:ascii="Arial" w:hAnsi="Arial" w:cs="Arial"/>
          <w:noProof/>
        </w:rPr>
        <w:t xml:space="preserve"> Toxic epidermal necrolysis (Lyell syndrome). </w:t>
      </w:r>
      <w:r w:rsidRPr="00DD469F">
        <w:rPr>
          <w:rFonts w:ascii="Arial" w:hAnsi="Arial" w:cs="Arial"/>
          <w:i/>
          <w:noProof/>
        </w:rPr>
        <w:t>J Am Acad Dermatol</w:t>
      </w:r>
      <w:r>
        <w:rPr>
          <w:rFonts w:ascii="Arial" w:hAnsi="Arial" w:cs="Arial"/>
          <w:noProof/>
        </w:rPr>
        <w:t xml:space="preserve"> 1990; </w:t>
      </w:r>
      <w:r w:rsidRPr="00DD469F">
        <w:rPr>
          <w:rFonts w:ascii="Arial" w:hAnsi="Arial" w:cs="Arial"/>
          <w:b/>
          <w:noProof/>
        </w:rPr>
        <w:t>23</w:t>
      </w:r>
      <w:r>
        <w:rPr>
          <w:rFonts w:ascii="Arial" w:hAnsi="Arial" w:cs="Arial"/>
          <w:noProof/>
        </w:rPr>
        <w:t>:1039-58.</w:t>
      </w:r>
      <w:bookmarkEnd w:id="7"/>
    </w:p>
    <w:p w:rsidR="00BD084C" w:rsidRDefault="00BD084C" w:rsidP="0085034D">
      <w:pPr>
        <w:pStyle w:val="NoSpacing"/>
        <w:ind w:left="720" w:hanging="720"/>
        <w:jc w:val="both"/>
        <w:rPr>
          <w:rFonts w:ascii="Arial" w:hAnsi="Arial" w:cs="Arial"/>
          <w:noProof/>
        </w:rPr>
      </w:pPr>
      <w:bookmarkStart w:id="8" w:name="_ENREF_8"/>
      <w:r>
        <w:rPr>
          <w:rFonts w:ascii="Arial" w:hAnsi="Arial" w:cs="Arial"/>
          <w:noProof/>
        </w:rPr>
        <w:t>8</w:t>
      </w:r>
      <w:r>
        <w:rPr>
          <w:rFonts w:ascii="Arial" w:hAnsi="Arial" w:cs="Arial"/>
          <w:noProof/>
        </w:rPr>
        <w:tab/>
        <w:t xml:space="preserve">Roujeau JC. Immune mechanisms in drug allergy. </w:t>
      </w:r>
      <w:r w:rsidRPr="00DD469F">
        <w:rPr>
          <w:rFonts w:ascii="Arial" w:hAnsi="Arial" w:cs="Arial"/>
          <w:i/>
          <w:noProof/>
        </w:rPr>
        <w:t>Allergol Int</w:t>
      </w:r>
      <w:r>
        <w:rPr>
          <w:rFonts w:ascii="Arial" w:hAnsi="Arial" w:cs="Arial"/>
          <w:noProof/>
        </w:rPr>
        <w:t xml:space="preserve"> 2006; </w:t>
      </w:r>
      <w:r w:rsidRPr="00DD469F">
        <w:rPr>
          <w:rFonts w:ascii="Arial" w:hAnsi="Arial" w:cs="Arial"/>
          <w:b/>
          <w:noProof/>
        </w:rPr>
        <w:t>55</w:t>
      </w:r>
      <w:r>
        <w:rPr>
          <w:rFonts w:ascii="Arial" w:hAnsi="Arial" w:cs="Arial"/>
          <w:noProof/>
        </w:rPr>
        <w:t>:27-33.</w:t>
      </w:r>
      <w:bookmarkEnd w:id="8"/>
    </w:p>
    <w:p w:rsidR="00BD084C" w:rsidRDefault="00BD084C" w:rsidP="0085034D">
      <w:pPr>
        <w:pStyle w:val="NoSpacing"/>
        <w:ind w:left="720" w:hanging="720"/>
        <w:jc w:val="both"/>
        <w:rPr>
          <w:rFonts w:ascii="Arial" w:hAnsi="Arial" w:cs="Arial"/>
          <w:noProof/>
        </w:rPr>
      </w:pPr>
      <w:bookmarkStart w:id="9" w:name="_ENREF_9"/>
      <w:r>
        <w:rPr>
          <w:rFonts w:ascii="Arial" w:hAnsi="Arial" w:cs="Arial"/>
          <w:noProof/>
        </w:rPr>
        <w:t>9</w:t>
      </w:r>
      <w:r>
        <w:rPr>
          <w:rFonts w:ascii="Arial" w:hAnsi="Arial" w:cs="Arial"/>
          <w:noProof/>
        </w:rPr>
        <w:tab/>
        <w:t>Nassif A, Bensussan A, Boumsell L</w:t>
      </w:r>
      <w:r w:rsidRPr="00DD469F">
        <w:rPr>
          <w:rFonts w:ascii="Arial" w:hAnsi="Arial" w:cs="Arial"/>
          <w:i/>
          <w:noProof/>
        </w:rPr>
        <w:t xml:space="preserve"> et al.</w:t>
      </w:r>
      <w:r>
        <w:rPr>
          <w:rFonts w:ascii="Arial" w:hAnsi="Arial" w:cs="Arial"/>
          <w:noProof/>
        </w:rPr>
        <w:t xml:space="preserve"> Toxic epidermal necrolysis: effector cells are drug-specific cytotoxic T cells. </w:t>
      </w:r>
      <w:r w:rsidRPr="00DD469F">
        <w:rPr>
          <w:rFonts w:ascii="Arial" w:hAnsi="Arial" w:cs="Arial"/>
          <w:i/>
          <w:noProof/>
        </w:rPr>
        <w:t>J Allergy Clin Immunol</w:t>
      </w:r>
      <w:r>
        <w:rPr>
          <w:rFonts w:ascii="Arial" w:hAnsi="Arial" w:cs="Arial"/>
          <w:noProof/>
        </w:rPr>
        <w:t xml:space="preserve"> 2004; </w:t>
      </w:r>
      <w:r w:rsidRPr="00DD469F">
        <w:rPr>
          <w:rFonts w:ascii="Arial" w:hAnsi="Arial" w:cs="Arial"/>
          <w:b/>
          <w:noProof/>
        </w:rPr>
        <w:t>114</w:t>
      </w:r>
      <w:r>
        <w:rPr>
          <w:rFonts w:ascii="Arial" w:hAnsi="Arial" w:cs="Arial"/>
          <w:noProof/>
        </w:rPr>
        <w:t>:1209-15.</w:t>
      </w:r>
      <w:bookmarkEnd w:id="9"/>
    </w:p>
    <w:p w:rsidR="00BD084C" w:rsidRDefault="00BD084C" w:rsidP="0085034D">
      <w:pPr>
        <w:pStyle w:val="NoSpacing"/>
        <w:ind w:left="720" w:hanging="720"/>
        <w:jc w:val="both"/>
        <w:rPr>
          <w:rFonts w:ascii="Arial" w:hAnsi="Arial" w:cs="Arial"/>
          <w:noProof/>
        </w:rPr>
      </w:pPr>
      <w:bookmarkStart w:id="10" w:name="_ENREF_10"/>
      <w:r>
        <w:rPr>
          <w:rFonts w:ascii="Arial" w:hAnsi="Arial" w:cs="Arial"/>
          <w:noProof/>
        </w:rPr>
        <w:t>10</w:t>
      </w:r>
      <w:r>
        <w:rPr>
          <w:rFonts w:ascii="Arial" w:hAnsi="Arial" w:cs="Arial"/>
          <w:noProof/>
        </w:rPr>
        <w:tab/>
        <w:t>Downey A, Jackson C, Harun N</w:t>
      </w:r>
      <w:r w:rsidRPr="00DD469F">
        <w:rPr>
          <w:rFonts w:ascii="Arial" w:hAnsi="Arial" w:cs="Arial"/>
          <w:i/>
          <w:noProof/>
        </w:rPr>
        <w:t xml:space="preserve"> et al.</w:t>
      </w:r>
      <w:r>
        <w:rPr>
          <w:rFonts w:ascii="Arial" w:hAnsi="Arial" w:cs="Arial"/>
          <w:noProof/>
        </w:rPr>
        <w:t xml:space="preserve"> Toxic epidermal necrolysis: review of pathogenesis and management. </w:t>
      </w:r>
      <w:r w:rsidRPr="00DD469F">
        <w:rPr>
          <w:rFonts w:ascii="Arial" w:hAnsi="Arial" w:cs="Arial"/>
          <w:i/>
          <w:noProof/>
        </w:rPr>
        <w:t>J Am Acad Dermatol</w:t>
      </w:r>
      <w:r>
        <w:rPr>
          <w:rFonts w:ascii="Arial" w:hAnsi="Arial" w:cs="Arial"/>
          <w:noProof/>
        </w:rPr>
        <w:t xml:space="preserve"> 2012; </w:t>
      </w:r>
      <w:r w:rsidRPr="00DD469F">
        <w:rPr>
          <w:rFonts w:ascii="Arial" w:hAnsi="Arial" w:cs="Arial"/>
          <w:b/>
          <w:noProof/>
        </w:rPr>
        <w:t>66</w:t>
      </w:r>
      <w:r>
        <w:rPr>
          <w:rFonts w:ascii="Arial" w:hAnsi="Arial" w:cs="Arial"/>
          <w:noProof/>
        </w:rPr>
        <w:t>:995-1003.</w:t>
      </w:r>
      <w:bookmarkEnd w:id="10"/>
    </w:p>
    <w:p w:rsidR="00BD084C" w:rsidRDefault="00BD084C" w:rsidP="0085034D">
      <w:pPr>
        <w:pStyle w:val="NoSpacing"/>
        <w:ind w:left="720" w:hanging="720"/>
        <w:jc w:val="both"/>
        <w:rPr>
          <w:rFonts w:ascii="Arial" w:hAnsi="Arial" w:cs="Arial"/>
          <w:noProof/>
        </w:rPr>
      </w:pPr>
      <w:bookmarkStart w:id="11" w:name="_ENREF_11"/>
      <w:r>
        <w:rPr>
          <w:rFonts w:ascii="Arial" w:hAnsi="Arial" w:cs="Arial"/>
          <w:noProof/>
        </w:rPr>
        <w:t>11</w:t>
      </w:r>
      <w:r>
        <w:rPr>
          <w:rFonts w:ascii="Arial" w:hAnsi="Arial" w:cs="Arial"/>
          <w:noProof/>
        </w:rPr>
        <w:tab/>
        <w:t>Viard-Leveugle I, Gaide O, Jankovic D</w:t>
      </w:r>
      <w:r w:rsidRPr="00DD469F">
        <w:rPr>
          <w:rFonts w:ascii="Arial" w:hAnsi="Arial" w:cs="Arial"/>
          <w:i/>
          <w:noProof/>
        </w:rPr>
        <w:t xml:space="preserve"> et al.</w:t>
      </w:r>
      <w:r>
        <w:rPr>
          <w:rFonts w:ascii="Arial" w:hAnsi="Arial" w:cs="Arial"/>
          <w:noProof/>
        </w:rPr>
        <w:t xml:space="preserve"> TNF-alpha and IFN-gamma are potential inducers of Fas-mediated keratinocyte apoptosis through activation of inducible nitric oxide synthase in toxic epidermal necrolysis. </w:t>
      </w:r>
      <w:r w:rsidRPr="00DD469F">
        <w:rPr>
          <w:rFonts w:ascii="Arial" w:hAnsi="Arial" w:cs="Arial"/>
          <w:i/>
          <w:noProof/>
        </w:rPr>
        <w:t>J Invest Dermatol</w:t>
      </w:r>
      <w:r>
        <w:rPr>
          <w:rFonts w:ascii="Arial" w:hAnsi="Arial" w:cs="Arial"/>
          <w:noProof/>
        </w:rPr>
        <w:t xml:space="preserve"> 2013; </w:t>
      </w:r>
      <w:r w:rsidRPr="00DD469F">
        <w:rPr>
          <w:rFonts w:ascii="Arial" w:hAnsi="Arial" w:cs="Arial"/>
          <w:b/>
          <w:noProof/>
        </w:rPr>
        <w:t>133</w:t>
      </w:r>
      <w:r>
        <w:rPr>
          <w:rFonts w:ascii="Arial" w:hAnsi="Arial" w:cs="Arial"/>
          <w:noProof/>
        </w:rPr>
        <w:t>:489-98.</w:t>
      </w:r>
      <w:bookmarkEnd w:id="11"/>
    </w:p>
    <w:p w:rsidR="00BD084C" w:rsidRDefault="00BD084C" w:rsidP="0085034D">
      <w:pPr>
        <w:pStyle w:val="NoSpacing"/>
        <w:ind w:left="720" w:hanging="720"/>
        <w:jc w:val="both"/>
        <w:rPr>
          <w:rFonts w:ascii="Arial" w:hAnsi="Arial" w:cs="Arial"/>
          <w:noProof/>
        </w:rPr>
      </w:pPr>
      <w:bookmarkStart w:id="12" w:name="_ENREF_12"/>
      <w:r>
        <w:rPr>
          <w:rFonts w:ascii="Arial" w:hAnsi="Arial" w:cs="Arial"/>
          <w:noProof/>
        </w:rPr>
        <w:t>12</w:t>
      </w:r>
      <w:r>
        <w:rPr>
          <w:rFonts w:ascii="Arial" w:hAnsi="Arial" w:cs="Arial"/>
          <w:noProof/>
        </w:rPr>
        <w:tab/>
        <w:t>Viard I, Wehrli P, Bullani R</w:t>
      </w:r>
      <w:r w:rsidRPr="00DD469F">
        <w:rPr>
          <w:rFonts w:ascii="Arial" w:hAnsi="Arial" w:cs="Arial"/>
          <w:i/>
          <w:noProof/>
        </w:rPr>
        <w:t xml:space="preserve"> et al.</w:t>
      </w:r>
      <w:r>
        <w:rPr>
          <w:rFonts w:ascii="Arial" w:hAnsi="Arial" w:cs="Arial"/>
          <w:noProof/>
        </w:rPr>
        <w:t xml:space="preserve"> Inhibition of toxic epidermal necrolysis by blockade of CD95 with human intravenous immunoglobulin. </w:t>
      </w:r>
      <w:r w:rsidRPr="00DD469F">
        <w:rPr>
          <w:rFonts w:ascii="Arial" w:hAnsi="Arial" w:cs="Arial"/>
          <w:i/>
          <w:noProof/>
        </w:rPr>
        <w:t>Science</w:t>
      </w:r>
      <w:r>
        <w:rPr>
          <w:rFonts w:ascii="Arial" w:hAnsi="Arial" w:cs="Arial"/>
          <w:noProof/>
        </w:rPr>
        <w:t xml:space="preserve"> 1998; </w:t>
      </w:r>
      <w:r w:rsidRPr="00DD469F">
        <w:rPr>
          <w:rFonts w:ascii="Arial" w:hAnsi="Arial" w:cs="Arial"/>
          <w:b/>
          <w:noProof/>
        </w:rPr>
        <w:t>282</w:t>
      </w:r>
      <w:r>
        <w:rPr>
          <w:rFonts w:ascii="Arial" w:hAnsi="Arial" w:cs="Arial"/>
          <w:noProof/>
        </w:rPr>
        <w:t>:490-3.</w:t>
      </w:r>
      <w:bookmarkEnd w:id="12"/>
    </w:p>
    <w:p w:rsidR="00BD084C" w:rsidRDefault="00BD084C" w:rsidP="0085034D">
      <w:pPr>
        <w:pStyle w:val="NoSpacing"/>
        <w:ind w:left="720" w:hanging="720"/>
        <w:jc w:val="both"/>
        <w:rPr>
          <w:rFonts w:ascii="Arial" w:hAnsi="Arial" w:cs="Arial"/>
          <w:noProof/>
        </w:rPr>
      </w:pPr>
      <w:bookmarkStart w:id="13" w:name="_ENREF_13"/>
      <w:r>
        <w:rPr>
          <w:rFonts w:ascii="Arial" w:hAnsi="Arial" w:cs="Arial"/>
          <w:noProof/>
        </w:rPr>
        <w:t>13</w:t>
      </w:r>
      <w:r>
        <w:rPr>
          <w:rFonts w:ascii="Arial" w:hAnsi="Arial" w:cs="Arial"/>
          <w:noProof/>
        </w:rPr>
        <w:tab/>
        <w:t xml:space="preserve">Khalili B, Bahna SL. Pathogenesis and recent therapeutic trends in Stevens-Johnson syndrome and toxic epidermal necrolysis. </w:t>
      </w:r>
      <w:r w:rsidRPr="00DD469F">
        <w:rPr>
          <w:rFonts w:ascii="Arial" w:hAnsi="Arial" w:cs="Arial"/>
          <w:i/>
          <w:noProof/>
        </w:rPr>
        <w:t>Ann Allergy Asthma Immunol</w:t>
      </w:r>
      <w:r>
        <w:rPr>
          <w:rFonts w:ascii="Arial" w:hAnsi="Arial" w:cs="Arial"/>
          <w:noProof/>
        </w:rPr>
        <w:t xml:space="preserve"> 2006; </w:t>
      </w:r>
      <w:r w:rsidRPr="00DD469F">
        <w:rPr>
          <w:rFonts w:ascii="Arial" w:hAnsi="Arial" w:cs="Arial"/>
          <w:b/>
          <w:noProof/>
        </w:rPr>
        <w:t>97</w:t>
      </w:r>
      <w:r>
        <w:rPr>
          <w:rFonts w:ascii="Arial" w:hAnsi="Arial" w:cs="Arial"/>
          <w:noProof/>
        </w:rPr>
        <w:t>:272-80.</w:t>
      </w:r>
      <w:bookmarkEnd w:id="13"/>
    </w:p>
    <w:p w:rsidR="00BD084C" w:rsidRDefault="00BD084C" w:rsidP="0085034D">
      <w:pPr>
        <w:pStyle w:val="NoSpacing"/>
        <w:ind w:left="720" w:hanging="720"/>
        <w:jc w:val="both"/>
        <w:rPr>
          <w:rFonts w:ascii="Arial" w:hAnsi="Arial" w:cs="Arial"/>
          <w:noProof/>
        </w:rPr>
      </w:pPr>
      <w:bookmarkStart w:id="14" w:name="_ENREF_14"/>
      <w:r>
        <w:rPr>
          <w:rFonts w:ascii="Arial" w:hAnsi="Arial" w:cs="Arial"/>
          <w:noProof/>
        </w:rPr>
        <w:t>14</w:t>
      </w:r>
      <w:r>
        <w:rPr>
          <w:rFonts w:ascii="Arial" w:hAnsi="Arial" w:cs="Arial"/>
          <w:noProof/>
        </w:rPr>
        <w:tab/>
        <w:t>Chung WH, Hung SI, Yang JY</w:t>
      </w:r>
      <w:r w:rsidRPr="00DD469F">
        <w:rPr>
          <w:rFonts w:ascii="Arial" w:hAnsi="Arial" w:cs="Arial"/>
          <w:i/>
          <w:noProof/>
        </w:rPr>
        <w:t xml:space="preserve"> et al.</w:t>
      </w:r>
      <w:r>
        <w:rPr>
          <w:rFonts w:ascii="Arial" w:hAnsi="Arial" w:cs="Arial"/>
          <w:noProof/>
        </w:rPr>
        <w:t xml:space="preserve"> Granulysin is a key mediator for disseminated keratinocyte death in Stevens-Johnson syndrome and toxic epidermal necrolysis. </w:t>
      </w:r>
      <w:r w:rsidRPr="00DD469F">
        <w:rPr>
          <w:rFonts w:ascii="Arial" w:hAnsi="Arial" w:cs="Arial"/>
          <w:i/>
          <w:noProof/>
        </w:rPr>
        <w:t>Nat Med</w:t>
      </w:r>
      <w:r>
        <w:rPr>
          <w:rFonts w:ascii="Arial" w:hAnsi="Arial" w:cs="Arial"/>
          <w:noProof/>
        </w:rPr>
        <w:t xml:space="preserve"> 2008; </w:t>
      </w:r>
      <w:r w:rsidRPr="00DD469F">
        <w:rPr>
          <w:rFonts w:ascii="Arial" w:hAnsi="Arial" w:cs="Arial"/>
          <w:b/>
          <w:noProof/>
        </w:rPr>
        <w:t>14</w:t>
      </w:r>
      <w:r>
        <w:rPr>
          <w:rFonts w:ascii="Arial" w:hAnsi="Arial" w:cs="Arial"/>
          <w:noProof/>
        </w:rPr>
        <w:t>:1343-50.</w:t>
      </w:r>
      <w:bookmarkEnd w:id="14"/>
    </w:p>
    <w:p w:rsidR="00BD084C" w:rsidRDefault="00BD084C" w:rsidP="0085034D">
      <w:pPr>
        <w:pStyle w:val="NoSpacing"/>
        <w:ind w:left="720" w:hanging="720"/>
        <w:jc w:val="both"/>
        <w:rPr>
          <w:rFonts w:ascii="Arial" w:hAnsi="Arial" w:cs="Arial"/>
          <w:noProof/>
        </w:rPr>
      </w:pPr>
      <w:bookmarkStart w:id="15" w:name="_ENREF_15"/>
      <w:r>
        <w:rPr>
          <w:rFonts w:ascii="Arial" w:hAnsi="Arial" w:cs="Arial"/>
          <w:noProof/>
        </w:rPr>
        <w:t>15</w:t>
      </w:r>
      <w:r>
        <w:rPr>
          <w:rFonts w:ascii="Arial" w:hAnsi="Arial" w:cs="Arial"/>
          <w:noProof/>
        </w:rPr>
        <w:tab/>
        <w:t>Revuz J, Penso D, Roujeau JC</w:t>
      </w:r>
      <w:r w:rsidRPr="00DD469F">
        <w:rPr>
          <w:rFonts w:ascii="Arial" w:hAnsi="Arial" w:cs="Arial"/>
          <w:i/>
          <w:noProof/>
        </w:rPr>
        <w:t xml:space="preserve"> et al.</w:t>
      </w:r>
      <w:r>
        <w:rPr>
          <w:rFonts w:ascii="Arial" w:hAnsi="Arial" w:cs="Arial"/>
          <w:noProof/>
        </w:rPr>
        <w:t xml:space="preserve"> Toxic epidermal necrolysis. Clinical findings and prognosis factors in 87 patients. </w:t>
      </w:r>
      <w:r w:rsidRPr="00DD469F">
        <w:rPr>
          <w:rFonts w:ascii="Arial" w:hAnsi="Arial" w:cs="Arial"/>
          <w:i/>
          <w:noProof/>
        </w:rPr>
        <w:t>Arch Dermatol</w:t>
      </w:r>
      <w:r>
        <w:rPr>
          <w:rFonts w:ascii="Arial" w:hAnsi="Arial" w:cs="Arial"/>
          <w:noProof/>
        </w:rPr>
        <w:t xml:space="preserve"> 1987; </w:t>
      </w:r>
      <w:r w:rsidRPr="00DD469F">
        <w:rPr>
          <w:rFonts w:ascii="Arial" w:hAnsi="Arial" w:cs="Arial"/>
          <w:b/>
          <w:noProof/>
        </w:rPr>
        <w:t>123</w:t>
      </w:r>
      <w:r>
        <w:rPr>
          <w:rFonts w:ascii="Arial" w:hAnsi="Arial" w:cs="Arial"/>
          <w:noProof/>
        </w:rPr>
        <w:t>:1160-5.</w:t>
      </w:r>
      <w:bookmarkEnd w:id="15"/>
    </w:p>
    <w:p w:rsidR="00BD084C" w:rsidRDefault="00BD084C" w:rsidP="0085034D">
      <w:pPr>
        <w:pStyle w:val="NoSpacing"/>
        <w:ind w:left="720" w:hanging="720"/>
        <w:jc w:val="both"/>
        <w:rPr>
          <w:rFonts w:ascii="Arial" w:hAnsi="Arial" w:cs="Arial"/>
          <w:noProof/>
        </w:rPr>
      </w:pPr>
      <w:bookmarkStart w:id="16" w:name="_ENREF_16"/>
      <w:r>
        <w:rPr>
          <w:rFonts w:ascii="Arial" w:hAnsi="Arial" w:cs="Arial"/>
          <w:noProof/>
        </w:rPr>
        <w:t>16</w:t>
      </w:r>
      <w:r>
        <w:rPr>
          <w:rFonts w:ascii="Arial" w:hAnsi="Arial" w:cs="Arial"/>
          <w:noProof/>
        </w:rPr>
        <w:tab/>
        <w:t>Bastuji-Garin S, Rzany B, Stern RS</w:t>
      </w:r>
      <w:r w:rsidRPr="00DD469F">
        <w:rPr>
          <w:rFonts w:ascii="Arial" w:hAnsi="Arial" w:cs="Arial"/>
          <w:i/>
          <w:noProof/>
        </w:rPr>
        <w:t xml:space="preserve"> et al.</w:t>
      </w:r>
      <w:r>
        <w:rPr>
          <w:rFonts w:ascii="Arial" w:hAnsi="Arial" w:cs="Arial"/>
          <w:noProof/>
        </w:rPr>
        <w:t xml:space="preserve"> Clinical classification of cases of toxic epidermal necrolysis, Stevens-Johnson syndrome, and erythema multiforme. </w:t>
      </w:r>
      <w:r w:rsidRPr="00DD469F">
        <w:rPr>
          <w:rFonts w:ascii="Arial" w:hAnsi="Arial" w:cs="Arial"/>
          <w:i/>
          <w:noProof/>
        </w:rPr>
        <w:t>Arch Dermatol</w:t>
      </w:r>
      <w:r>
        <w:rPr>
          <w:rFonts w:ascii="Arial" w:hAnsi="Arial" w:cs="Arial"/>
          <w:noProof/>
        </w:rPr>
        <w:t xml:space="preserve"> 1993; </w:t>
      </w:r>
      <w:r w:rsidRPr="00DD469F">
        <w:rPr>
          <w:rFonts w:ascii="Arial" w:hAnsi="Arial" w:cs="Arial"/>
          <w:b/>
          <w:noProof/>
        </w:rPr>
        <w:t>129</w:t>
      </w:r>
      <w:r>
        <w:rPr>
          <w:rFonts w:ascii="Arial" w:hAnsi="Arial" w:cs="Arial"/>
          <w:noProof/>
        </w:rPr>
        <w:t>:92-6.</w:t>
      </w:r>
      <w:bookmarkEnd w:id="16"/>
    </w:p>
    <w:p w:rsidR="00BD084C" w:rsidRDefault="00BD084C" w:rsidP="0085034D">
      <w:pPr>
        <w:pStyle w:val="NoSpacing"/>
        <w:ind w:left="720" w:hanging="720"/>
        <w:jc w:val="both"/>
        <w:rPr>
          <w:rFonts w:ascii="Arial" w:hAnsi="Arial" w:cs="Arial"/>
          <w:noProof/>
        </w:rPr>
      </w:pPr>
      <w:bookmarkStart w:id="17" w:name="_ENREF_17"/>
      <w:r>
        <w:rPr>
          <w:rFonts w:ascii="Arial" w:hAnsi="Arial" w:cs="Arial"/>
          <w:noProof/>
        </w:rPr>
        <w:t>17</w:t>
      </w:r>
      <w:r>
        <w:rPr>
          <w:rFonts w:ascii="Arial" w:hAnsi="Arial" w:cs="Arial"/>
          <w:noProof/>
        </w:rPr>
        <w:tab/>
        <w:t>Auquier-Dunant A, Mockenhaupt M, Naldi L</w:t>
      </w:r>
      <w:r w:rsidRPr="00DD469F">
        <w:rPr>
          <w:rFonts w:ascii="Arial" w:hAnsi="Arial" w:cs="Arial"/>
          <w:i/>
          <w:noProof/>
        </w:rPr>
        <w:t xml:space="preserve"> et al.</w:t>
      </w:r>
      <w:r>
        <w:rPr>
          <w:rFonts w:ascii="Arial" w:hAnsi="Arial" w:cs="Arial"/>
          <w:noProof/>
        </w:rPr>
        <w:t xml:space="preserve"> Correlations between clinical patterns and causes of erythema multiforme majus, Stevens-Johnson syndrome, and toxic epidermal necrolysis: results of an international prospective study. </w:t>
      </w:r>
      <w:r w:rsidRPr="00DD469F">
        <w:rPr>
          <w:rFonts w:ascii="Arial" w:hAnsi="Arial" w:cs="Arial"/>
          <w:i/>
          <w:noProof/>
        </w:rPr>
        <w:t>Arch Dermatol</w:t>
      </w:r>
      <w:r>
        <w:rPr>
          <w:rFonts w:ascii="Arial" w:hAnsi="Arial" w:cs="Arial"/>
          <w:noProof/>
        </w:rPr>
        <w:t xml:space="preserve"> 2002; </w:t>
      </w:r>
      <w:r w:rsidRPr="00DD469F">
        <w:rPr>
          <w:rFonts w:ascii="Arial" w:hAnsi="Arial" w:cs="Arial"/>
          <w:b/>
          <w:noProof/>
        </w:rPr>
        <w:t>138</w:t>
      </w:r>
      <w:r>
        <w:rPr>
          <w:rFonts w:ascii="Arial" w:hAnsi="Arial" w:cs="Arial"/>
          <w:noProof/>
        </w:rPr>
        <w:t>:1019-24.</w:t>
      </w:r>
      <w:bookmarkEnd w:id="17"/>
    </w:p>
    <w:p w:rsidR="00BD084C" w:rsidRDefault="00BD084C" w:rsidP="0085034D">
      <w:pPr>
        <w:pStyle w:val="NoSpacing"/>
        <w:ind w:left="720" w:hanging="720"/>
        <w:jc w:val="both"/>
        <w:rPr>
          <w:rFonts w:ascii="Arial" w:hAnsi="Arial" w:cs="Arial"/>
          <w:noProof/>
        </w:rPr>
      </w:pPr>
      <w:bookmarkStart w:id="18" w:name="_ENREF_18"/>
      <w:r>
        <w:rPr>
          <w:rFonts w:ascii="Arial" w:hAnsi="Arial" w:cs="Arial"/>
          <w:noProof/>
        </w:rPr>
        <w:t>18</w:t>
      </w:r>
      <w:r>
        <w:rPr>
          <w:rFonts w:ascii="Arial" w:hAnsi="Arial" w:cs="Arial"/>
          <w:noProof/>
        </w:rPr>
        <w:tab/>
        <w:t>Assier H, Bastuji-Garin S, Revuz J</w:t>
      </w:r>
      <w:r w:rsidRPr="00DD469F">
        <w:rPr>
          <w:rFonts w:ascii="Arial" w:hAnsi="Arial" w:cs="Arial"/>
          <w:i/>
          <w:noProof/>
        </w:rPr>
        <w:t xml:space="preserve"> et al.</w:t>
      </w:r>
      <w:r>
        <w:rPr>
          <w:rFonts w:ascii="Arial" w:hAnsi="Arial" w:cs="Arial"/>
          <w:noProof/>
        </w:rPr>
        <w:t xml:space="preserve"> Erythema multiforme with mucous membrane involvement and Stevens-Johnson syndrome are clinically different disorders with distinct causes. </w:t>
      </w:r>
      <w:r w:rsidRPr="00DD469F">
        <w:rPr>
          <w:rFonts w:ascii="Arial" w:hAnsi="Arial" w:cs="Arial"/>
          <w:i/>
          <w:noProof/>
        </w:rPr>
        <w:t>Arch Dermatol</w:t>
      </w:r>
      <w:r>
        <w:rPr>
          <w:rFonts w:ascii="Arial" w:hAnsi="Arial" w:cs="Arial"/>
          <w:noProof/>
        </w:rPr>
        <w:t xml:space="preserve"> 1995; </w:t>
      </w:r>
      <w:r w:rsidRPr="00DD469F">
        <w:rPr>
          <w:rFonts w:ascii="Arial" w:hAnsi="Arial" w:cs="Arial"/>
          <w:b/>
          <w:noProof/>
        </w:rPr>
        <w:t>131</w:t>
      </w:r>
      <w:r>
        <w:rPr>
          <w:rFonts w:ascii="Arial" w:hAnsi="Arial" w:cs="Arial"/>
          <w:noProof/>
        </w:rPr>
        <w:t>:539-43.</w:t>
      </w:r>
      <w:bookmarkEnd w:id="18"/>
    </w:p>
    <w:p w:rsidR="00BD084C" w:rsidRDefault="00BD084C" w:rsidP="0085034D">
      <w:pPr>
        <w:pStyle w:val="NoSpacing"/>
        <w:ind w:left="720" w:hanging="720"/>
        <w:jc w:val="both"/>
        <w:rPr>
          <w:rFonts w:ascii="Arial" w:hAnsi="Arial" w:cs="Arial"/>
          <w:noProof/>
        </w:rPr>
      </w:pPr>
      <w:bookmarkStart w:id="19" w:name="_ENREF_19"/>
      <w:r>
        <w:rPr>
          <w:rFonts w:ascii="Arial" w:hAnsi="Arial" w:cs="Arial"/>
          <w:noProof/>
        </w:rPr>
        <w:t>19</w:t>
      </w:r>
      <w:r>
        <w:rPr>
          <w:rFonts w:ascii="Arial" w:hAnsi="Arial" w:cs="Arial"/>
          <w:noProof/>
        </w:rPr>
        <w:tab/>
        <w:t>Vujic I, Shroff A, Grzelka M</w:t>
      </w:r>
      <w:r w:rsidRPr="00DD469F">
        <w:rPr>
          <w:rFonts w:ascii="Arial" w:hAnsi="Arial" w:cs="Arial"/>
          <w:i/>
          <w:noProof/>
        </w:rPr>
        <w:t xml:space="preserve"> et al.</w:t>
      </w:r>
      <w:r>
        <w:rPr>
          <w:rFonts w:ascii="Arial" w:hAnsi="Arial" w:cs="Arial"/>
          <w:noProof/>
        </w:rPr>
        <w:t xml:space="preserve"> Mycoplasma pneumoniae-associated mucositis - case report and systematic review of literature. </w:t>
      </w:r>
      <w:r w:rsidRPr="00DD469F">
        <w:rPr>
          <w:rFonts w:ascii="Arial" w:hAnsi="Arial" w:cs="Arial"/>
          <w:i/>
          <w:noProof/>
        </w:rPr>
        <w:t>J Eur Acad Dermatol Venereol</w:t>
      </w:r>
      <w:r>
        <w:rPr>
          <w:rFonts w:ascii="Arial" w:hAnsi="Arial" w:cs="Arial"/>
          <w:noProof/>
        </w:rPr>
        <w:t xml:space="preserve"> 2014 29 Mar epub ahead of print.</w:t>
      </w:r>
      <w:bookmarkEnd w:id="19"/>
    </w:p>
    <w:p w:rsidR="00BD084C" w:rsidRDefault="00BD084C" w:rsidP="0085034D">
      <w:pPr>
        <w:pStyle w:val="NoSpacing"/>
        <w:ind w:left="720" w:hanging="720"/>
        <w:jc w:val="both"/>
        <w:rPr>
          <w:rFonts w:ascii="Arial" w:hAnsi="Arial" w:cs="Arial"/>
          <w:noProof/>
        </w:rPr>
      </w:pPr>
      <w:bookmarkStart w:id="20" w:name="_ENREF_20"/>
      <w:r>
        <w:rPr>
          <w:rFonts w:ascii="Arial" w:hAnsi="Arial" w:cs="Arial"/>
          <w:noProof/>
        </w:rPr>
        <w:lastRenderedPageBreak/>
        <w:t>20</w:t>
      </w:r>
      <w:r>
        <w:rPr>
          <w:rFonts w:ascii="Arial" w:hAnsi="Arial" w:cs="Arial"/>
          <w:noProof/>
        </w:rPr>
        <w:tab/>
        <w:t>Rzany B, Hering O, Mockenhaupt M</w:t>
      </w:r>
      <w:r w:rsidRPr="00DD469F">
        <w:rPr>
          <w:rFonts w:ascii="Arial" w:hAnsi="Arial" w:cs="Arial"/>
          <w:i/>
          <w:noProof/>
        </w:rPr>
        <w:t xml:space="preserve"> et al.</w:t>
      </w:r>
      <w:r>
        <w:rPr>
          <w:rFonts w:ascii="Arial" w:hAnsi="Arial" w:cs="Arial"/>
          <w:noProof/>
        </w:rPr>
        <w:t xml:space="preserve"> Histopathological and epidemiological characteristics of patients with erythema exudativum multiforme major, Stevens-Johnson syndrome and toxic epidermal necrolysis. </w:t>
      </w:r>
      <w:r w:rsidRPr="00DD469F">
        <w:rPr>
          <w:rFonts w:ascii="Arial" w:hAnsi="Arial" w:cs="Arial"/>
          <w:i/>
          <w:noProof/>
        </w:rPr>
        <w:t>Br J Dermatol</w:t>
      </w:r>
      <w:r>
        <w:rPr>
          <w:rFonts w:ascii="Arial" w:hAnsi="Arial" w:cs="Arial"/>
          <w:noProof/>
        </w:rPr>
        <w:t xml:space="preserve"> 1996; </w:t>
      </w:r>
      <w:r w:rsidRPr="00DD469F">
        <w:rPr>
          <w:rFonts w:ascii="Arial" w:hAnsi="Arial" w:cs="Arial"/>
          <w:b/>
          <w:noProof/>
        </w:rPr>
        <w:t>135</w:t>
      </w:r>
      <w:r>
        <w:rPr>
          <w:rFonts w:ascii="Arial" w:hAnsi="Arial" w:cs="Arial"/>
          <w:noProof/>
        </w:rPr>
        <w:t>:6-11.</w:t>
      </w:r>
      <w:bookmarkEnd w:id="20"/>
    </w:p>
    <w:p w:rsidR="00BD084C" w:rsidRDefault="00BD084C" w:rsidP="0085034D">
      <w:pPr>
        <w:pStyle w:val="NoSpacing"/>
        <w:ind w:left="720" w:hanging="720"/>
        <w:jc w:val="both"/>
        <w:rPr>
          <w:rFonts w:ascii="Arial" w:hAnsi="Arial" w:cs="Arial"/>
          <w:noProof/>
        </w:rPr>
      </w:pPr>
      <w:bookmarkStart w:id="21" w:name="_ENREF_21"/>
      <w:r>
        <w:rPr>
          <w:rFonts w:ascii="Arial" w:hAnsi="Arial" w:cs="Arial"/>
          <w:noProof/>
        </w:rPr>
        <w:t>21</w:t>
      </w:r>
      <w:r>
        <w:rPr>
          <w:rFonts w:ascii="Arial" w:hAnsi="Arial" w:cs="Arial"/>
          <w:noProof/>
        </w:rPr>
        <w:tab/>
        <w:t>Sassolas B, Haddad C, Mockenhaupt M</w:t>
      </w:r>
      <w:r w:rsidRPr="00DD469F">
        <w:rPr>
          <w:rFonts w:ascii="Arial" w:hAnsi="Arial" w:cs="Arial"/>
          <w:i/>
          <w:noProof/>
        </w:rPr>
        <w:t xml:space="preserve"> et al.</w:t>
      </w:r>
      <w:r>
        <w:rPr>
          <w:rFonts w:ascii="Arial" w:hAnsi="Arial" w:cs="Arial"/>
          <w:noProof/>
        </w:rPr>
        <w:t xml:space="preserve"> ALDEN, an algorithm for assessment of drug causality in Stevens-Johnson syndrome and toxic epidermal necrolysis: comparison with case-control analysis. </w:t>
      </w:r>
      <w:r w:rsidRPr="00DD469F">
        <w:rPr>
          <w:rFonts w:ascii="Arial" w:hAnsi="Arial" w:cs="Arial"/>
          <w:i/>
          <w:noProof/>
        </w:rPr>
        <w:t>Clin Pharmacol Ther</w:t>
      </w:r>
      <w:r>
        <w:rPr>
          <w:rFonts w:ascii="Arial" w:hAnsi="Arial" w:cs="Arial"/>
          <w:noProof/>
        </w:rPr>
        <w:t xml:space="preserve"> 2010; </w:t>
      </w:r>
      <w:r w:rsidRPr="00DD469F">
        <w:rPr>
          <w:rFonts w:ascii="Arial" w:hAnsi="Arial" w:cs="Arial"/>
          <w:b/>
          <w:noProof/>
        </w:rPr>
        <w:t>88</w:t>
      </w:r>
      <w:r>
        <w:rPr>
          <w:rFonts w:ascii="Arial" w:hAnsi="Arial" w:cs="Arial"/>
          <w:noProof/>
        </w:rPr>
        <w:t>:60-8.</w:t>
      </w:r>
      <w:bookmarkEnd w:id="21"/>
    </w:p>
    <w:p w:rsidR="00BD084C" w:rsidRDefault="00BD084C" w:rsidP="0085034D">
      <w:pPr>
        <w:pStyle w:val="NoSpacing"/>
        <w:ind w:left="720" w:hanging="720"/>
        <w:jc w:val="both"/>
        <w:rPr>
          <w:rFonts w:ascii="Arial" w:hAnsi="Arial" w:cs="Arial"/>
          <w:noProof/>
        </w:rPr>
      </w:pPr>
      <w:bookmarkStart w:id="22" w:name="_ENREF_22"/>
      <w:r>
        <w:rPr>
          <w:rFonts w:ascii="Arial" w:hAnsi="Arial" w:cs="Arial"/>
          <w:noProof/>
        </w:rPr>
        <w:t>22</w:t>
      </w:r>
      <w:r>
        <w:rPr>
          <w:rFonts w:ascii="Arial" w:hAnsi="Arial" w:cs="Arial"/>
          <w:noProof/>
        </w:rPr>
        <w:tab/>
        <w:t>Garcia-Doval I, LeCleach L, Bocquet H</w:t>
      </w:r>
      <w:r w:rsidRPr="00DD469F">
        <w:rPr>
          <w:rFonts w:ascii="Arial" w:hAnsi="Arial" w:cs="Arial"/>
          <w:i/>
          <w:noProof/>
        </w:rPr>
        <w:t xml:space="preserve"> et al.</w:t>
      </w:r>
      <w:r>
        <w:rPr>
          <w:rFonts w:ascii="Arial" w:hAnsi="Arial" w:cs="Arial"/>
          <w:noProof/>
        </w:rPr>
        <w:t xml:space="preserve"> Toxic epidermal necrolysis and Stevens-Johnson syndrome: does early withdrawal of causative drugs decrease the risk of death? </w:t>
      </w:r>
      <w:r w:rsidRPr="00DD469F">
        <w:rPr>
          <w:rFonts w:ascii="Arial" w:hAnsi="Arial" w:cs="Arial"/>
          <w:i/>
          <w:noProof/>
        </w:rPr>
        <w:t>Arch Dermatol</w:t>
      </w:r>
      <w:r>
        <w:rPr>
          <w:rFonts w:ascii="Arial" w:hAnsi="Arial" w:cs="Arial"/>
          <w:noProof/>
        </w:rPr>
        <w:t xml:space="preserve"> 2000; </w:t>
      </w:r>
      <w:r w:rsidRPr="00DD469F">
        <w:rPr>
          <w:rFonts w:ascii="Arial" w:hAnsi="Arial" w:cs="Arial"/>
          <w:b/>
          <w:noProof/>
        </w:rPr>
        <w:t>136</w:t>
      </w:r>
      <w:r>
        <w:rPr>
          <w:rFonts w:ascii="Arial" w:hAnsi="Arial" w:cs="Arial"/>
          <w:noProof/>
        </w:rPr>
        <w:t>:323-7.</w:t>
      </w:r>
      <w:bookmarkEnd w:id="22"/>
    </w:p>
    <w:p w:rsidR="00BD084C" w:rsidRDefault="00BD084C" w:rsidP="0085034D">
      <w:pPr>
        <w:pStyle w:val="NoSpacing"/>
        <w:ind w:left="720" w:hanging="720"/>
        <w:jc w:val="both"/>
        <w:rPr>
          <w:rFonts w:ascii="Arial" w:hAnsi="Arial" w:cs="Arial"/>
          <w:noProof/>
        </w:rPr>
      </w:pPr>
      <w:bookmarkStart w:id="23" w:name="_ENREF_23"/>
      <w:r>
        <w:rPr>
          <w:rFonts w:ascii="Arial" w:hAnsi="Arial" w:cs="Arial"/>
          <w:noProof/>
        </w:rPr>
        <w:t>23</w:t>
      </w:r>
      <w:r>
        <w:rPr>
          <w:rFonts w:ascii="Arial" w:hAnsi="Arial" w:cs="Arial"/>
          <w:noProof/>
        </w:rPr>
        <w:tab/>
        <w:t>Roujeau JC, Kelly JP, Naldi L</w:t>
      </w:r>
      <w:r w:rsidRPr="00DD469F">
        <w:rPr>
          <w:rFonts w:ascii="Arial" w:hAnsi="Arial" w:cs="Arial"/>
          <w:i/>
          <w:noProof/>
        </w:rPr>
        <w:t xml:space="preserve"> et al.</w:t>
      </w:r>
      <w:r>
        <w:rPr>
          <w:rFonts w:ascii="Arial" w:hAnsi="Arial" w:cs="Arial"/>
          <w:noProof/>
        </w:rPr>
        <w:t xml:space="preserve"> Medication use and the risk of Stevens-Johnson syndrome or toxic epidermal necrolysis. </w:t>
      </w:r>
      <w:r w:rsidRPr="00DD469F">
        <w:rPr>
          <w:rFonts w:ascii="Arial" w:hAnsi="Arial" w:cs="Arial"/>
          <w:i/>
          <w:noProof/>
        </w:rPr>
        <w:t>N Engl J Med</w:t>
      </w:r>
      <w:r>
        <w:rPr>
          <w:rFonts w:ascii="Arial" w:hAnsi="Arial" w:cs="Arial"/>
          <w:noProof/>
        </w:rPr>
        <w:t xml:space="preserve"> 1995; </w:t>
      </w:r>
      <w:r w:rsidRPr="00DD469F">
        <w:rPr>
          <w:rFonts w:ascii="Arial" w:hAnsi="Arial" w:cs="Arial"/>
          <w:b/>
          <w:noProof/>
        </w:rPr>
        <w:t>333</w:t>
      </w:r>
      <w:r>
        <w:rPr>
          <w:rFonts w:ascii="Arial" w:hAnsi="Arial" w:cs="Arial"/>
          <w:noProof/>
        </w:rPr>
        <w:t>:1600-7.</w:t>
      </w:r>
      <w:bookmarkEnd w:id="23"/>
    </w:p>
    <w:p w:rsidR="00BD084C" w:rsidRDefault="00BD084C" w:rsidP="0085034D">
      <w:pPr>
        <w:pStyle w:val="NoSpacing"/>
        <w:ind w:left="720" w:hanging="720"/>
        <w:jc w:val="both"/>
        <w:rPr>
          <w:rFonts w:ascii="Arial" w:hAnsi="Arial" w:cs="Arial"/>
          <w:noProof/>
        </w:rPr>
      </w:pPr>
      <w:bookmarkStart w:id="24" w:name="_ENREF_24"/>
      <w:r>
        <w:rPr>
          <w:rFonts w:ascii="Arial" w:hAnsi="Arial" w:cs="Arial"/>
          <w:noProof/>
        </w:rPr>
        <w:t>24</w:t>
      </w:r>
      <w:r>
        <w:rPr>
          <w:rFonts w:ascii="Arial" w:hAnsi="Arial" w:cs="Arial"/>
          <w:noProof/>
        </w:rPr>
        <w:tab/>
        <w:t>Mockenhaupt M, Kelly JP, Kaufman D</w:t>
      </w:r>
      <w:r w:rsidRPr="00DD469F">
        <w:rPr>
          <w:rFonts w:ascii="Arial" w:hAnsi="Arial" w:cs="Arial"/>
          <w:i/>
          <w:noProof/>
        </w:rPr>
        <w:t xml:space="preserve"> et al.</w:t>
      </w:r>
      <w:r>
        <w:rPr>
          <w:rFonts w:ascii="Arial" w:hAnsi="Arial" w:cs="Arial"/>
          <w:noProof/>
        </w:rPr>
        <w:t xml:space="preserve"> The risk of Stevens-Johnson syndrome and toxic epidermal necrolysis associated with nonsteroidal antiinflammatory drugs: a multinational perspective. </w:t>
      </w:r>
      <w:r w:rsidRPr="00DD469F">
        <w:rPr>
          <w:rFonts w:ascii="Arial" w:hAnsi="Arial" w:cs="Arial"/>
          <w:i/>
          <w:noProof/>
        </w:rPr>
        <w:t>J Rheumatol</w:t>
      </w:r>
      <w:r>
        <w:rPr>
          <w:rFonts w:ascii="Arial" w:hAnsi="Arial" w:cs="Arial"/>
          <w:noProof/>
        </w:rPr>
        <w:t xml:space="preserve"> 2003; </w:t>
      </w:r>
      <w:r w:rsidRPr="00DD469F">
        <w:rPr>
          <w:rFonts w:ascii="Arial" w:hAnsi="Arial" w:cs="Arial"/>
          <w:b/>
          <w:noProof/>
        </w:rPr>
        <w:t>30</w:t>
      </w:r>
      <w:r>
        <w:rPr>
          <w:rFonts w:ascii="Arial" w:hAnsi="Arial" w:cs="Arial"/>
          <w:noProof/>
        </w:rPr>
        <w:t>:2234-40.</w:t>
      </w:r>
      <w:bookmarkEnd w:id="24"/>
    </w:p>
    <w:p w:rsidR="00BD084C" w:rsidRDefault="00BD084C" w:rsidP="0085034D">
      <w:pPr>
        <w:pStyle w:val="NoSpacing"/>
        <w:ind w:left="720" w:hanging="720"/>
        <w:jc w:val="both"/>
        <w:rPr>
          <w:rFonts w:ascii="Arial" w:hAnsi="Arial" w:cs="Arial"/>
          <w:noProof/>
        </w:rPr>
      </w:pPr>
      <w:bookmarkStart w:id="25" w:name="_ENREF_25"/>
      <w:r>
        <w:rPr>
          <w:rFonts w:ascii="Arial" w:hAnsi="Arial" w:cs="Arial"/>
          <w:noProof/>
        </w:rPr>
        <w:t>25</w:t>
      </w:r>
      <w:r>
        <w:rPr>
          <w:rFonts w:ascii="Arial" w:hAnsi="Arial" w:cs="Arial"/>
          <w:noProof/>
        </w:rPr>
        <w:tab/>
        <w:t xml:space="preserve">Roujeau JC. Clinical aspects of skin reactions to NSAIDs. </w:t>
      </w:r>
      <w:r w:rsidRPr="00DD469F">
        <w:rPr>
          <w:rFonts w:ascii="Arial" w:hAnsi="Arial" w:cs="Arial"/>
          <w:i/>
          <w:noProof/>
        </w:rPr>
        <w:t>Scand J Rheumatol Suppl</w:t>
      </w:r>
      <w:r>
        <w:rPr>
          <w:rFonts w:ascii="Arial" w:hAnsi="Arial" w:cs="Arial"/>
          <w:noProof/>
        </w:rPr>
        <w:t xml:space="preserve"> 1987; </w:t>
      </w:r>
      <w:r w:rsidRPr="00DD469F">
        <w:rPr>
          <w:rFonts w:ascii="Arial" w:hAnsi="Arial" w:cs="Arial"/>
          <w:b/>
          <w:noProof/>
        </w:rPr>
        <w:t>65</w:t>
      </w:r>
      <w:r>
        <w:rPr>
          <w:rFonts w:ascii="Arial" w:hAnsi="Arial" w:cs="Arial"/>
          <w:noProof/>
        </w:rPr>
        <w:t>:131-4.</w:t>
      </w:r>
      <w:bookmarkEnd w:id="25"/>
    </w:p>
    <w:p w:rsidR="00BD084C" w:rsidRDefault="00BD084C" w:rsidP="0085034D">
      <w:pPr>
        <w:pStyle w:val="NoSpacing"/>
        <w:ind w:left="720" w:hanging="720"/>
        <w:jc w:val="both"/>
        <w:rPr>
          <w:rFonts w:ascii="Arial" w:hAnsi="Arial" w:cs="Arial"/>
          <w:noProof/>
        </w:rPr>
      </w:pPr>
      <w:bookmarkStart w:id="26" w:name="_ENREF_26"/>
      <w:r>
        <w:rPr>
          <w:rFonts w:ascii="Arial" w:hAnsi="Arial" w:cs="Arial"/>
          <w:noProof/>
        </w:rPr>
        <w:t>26</w:t>
      </w:r>
      <w:r>
        <w:rPr>
          <w:rFonts w:ascii="Arial" w:hAnsi="Arial" w:cs="Arial"/>
          <w:noProof/>
        </w:rPr>
        <w:tab/>
        <w:t>Guillaume JC, Roujeau JC, Revuz J</w:t>
      </w:r>
      <w:r w:rsidRPr="00DD469F">
        <w:rPr>
          <w:rFonts w:ascii="Arial" w:hAnsi="Arial" w:cs="Arial"/>
          <w:i/>
          <w:noProof/>
        </w:rPr>
        <w:t xml:space="preserve"> et al.</w:t>
      </w:r>
      <w:r>
        <w:rPr>
          <w:rFonts w:ascii="Arial" w:hAnsi="Arial" w:cs="Arial"/>
          <w:noProof/>
        </w:rPr>
        <w:t xml:space="preserve"> The culprit drugs in 87 cases of toxic epidermal necrolysis (Lyell's syndrome). </w:t>
      </w:r>
      <w:r w:rsidRPr="00DD469F">
        <w:rPr>
          <w:rFonts w:ascii="Arial" w:hAnsi="Arial" w:cs="Arial"/>
          <w:i/>
          <w:noProof/>
        </w:rPr>
        <w:t>Arch Dermatol</w:t>
      </w:r>
      <w:r>
        <w:rPr>
          <w:rFonts w:ascii="Arial" w:hAnsi="Arial" w:cs="Arial"/>
          <w:noProof/>
        </w:rPr>
        <w:t xml:space="preserve"> 1987; </w:t>
      </w:r>
      <w:r w:rsidRPr="00DD469F">
        <w:rPr>
          <w:rFonts w:ascii="Arial" w:hAnsi="Arial" w:cs="Arial"/>
          <w:b/>
          <w:noProof/>
        </w:rPr>
        <w:t>123</w:t>
      </w:r>
      <w:r>
        <w:rPr>
          <w:rFonts w:ascii="Arial" w:hAnsi="Arial" w:cs="Arial"/>
          <w:noProof/>
        </w:rPr>
        <w:t>:1166-70.</w:t>
      </w:r>
      <w:bookmarkEnd w:id="26"/>
    </w:p>
    <w:p w:rsidR="00BD084C" w:rsidRDefault="00BD084C" w:rsidP="0085034D">
      <w:pPr>
        <w:pStyle w:val="NoSpacing"/>
        <w:ind w:left="720" w:hanging="720"/>
        <w:jc w:val="both"/>
        <w:rPr>
          <w:rFonts w:ascii="Arial" w:hAnsi="Arial" w:cs="Arial"/>
          <w:noProof/>
        </w:rPr>
      </w:pPr>
      <w:bookmarkStart w:id="27" w:name="_ENREF_27"/>
      <w:r>
        <w:rPr>
          <w:rFonts w:ascii="Arial" w:hAnsi="Arial" w:cs="Arial"/>
          <w:noProof/>
        </w:rPr>
        <w:t>27</w:t>
      </w:r>
      <w:r>
        <w:rPr>
          <w:rFonts w:ascii="Arial" w:hAnsi="Arial" w:cs="Arial"/>
          <w:noProof/>
        </w:rPr>
        <w:tab/>
        <w:t xml:space="preserve">Sharma VK, Sethuraman G, Kumar B. Cutaneous adverse drug reactions: clinical pattern and causative agents--a 6 year series from Chandigarh, India. </w:t>
      </w:r>
      <w:r w:rsidRPr="00DD469F">
        <w:rPr>
          <w:rFonts w:ascii="Arial" w:hAnsi="Arial" w:cs="Arial"/>
          <w:i/>
          <w:noProof/>
        </w:rPr>
        <w:t>J Postgrad Med</w:t>
      </w:r>
      <w:r>
        <w:rPr>
          <w:rFonts w:ascii="Arial" w:hAnsi="Arial" w:cs="Arial"/>
          <w:noProof/>
        </w:rPr>
        <w:t xml:space="preserve"> 2001; </w:t>
      </w:r>
      <w:r w:rsidRPr="00DD469F">
        <w:rPr>
          <w:rFonts w:ascii="Arial" w:hAnsi="Arial" w:cs="Arial"/>
          <w:b/>
          <w:noProof/>
        </w:rPr>
        <w:t>47</w:t>
      </w:r>
      <w:r>
        <w:rPr>
          <w:rFonts w:ascii="Arial" w:hAnsi="Arial" w:cs="Arial"/>
          <w:noProof/>
        </w:rPr>
        <w:t>:95-9.</w:t>
      </w:r>
      <w:bookmarkEnd w:id="27"/>
    </w:p>
    <w:p w:rsidR="00BD084C" w:rsidRDefault="00BD084C" w:rsidP="0085034D">
      <w:pPr>
        <w:pStyle w:val="NoSpacing"/>
        <w:ind w:left="720" w:hanging="720"/>
        <w:jc w:val="both"/>
        <w:rPr>
          <w:rFonts w:ascii="Arial" w:hAnsi="Arial" w:cs="Arial"/>
          <w:noProof/>
        </w:rPr>
      </w:pPr>
      <w:bookmarkStart w:id="28" w:name="_ENREF_28"/>
      <w:r>
        <w:rPr>
          <w:rFonts w:ascii="Arial" w:hAnsi="Arial" w:cs="Arial"/>
          <w:noProof/>
        </w:rPr>
        <w:t>28</w:t>
      </w:r>
      <w:r>
        <w:rPr>
          <w:rFonts w:ascii="Arial" w:hAnsi="Arial" w:cs="Arial"/>
          <w:noProof/>
        </w:rPr>
        <w:tab/>
        <w:t>Schneck J, Fagot JP, Sekula P</w:t>
      </w:r>
      <w:r w:rsidRPr="00DD469F">
        <w:rPr>
          <w:rFonts w:ascii="Arial" w:hAnsi="Arial" w:cs="Arial"/>
          <w:i/>
          <w:noProof/>
        </w:rPr>
        <w:t xml:space="preserve"> et al.</w:t>
      </w:r>
      <w:r>
        <w:rPr>
          <w:rFonts w:ascii="Arial" w:hAnsi="Arial" w:cs="Arial"/>
          <w:noProof/>
        </w:rPr>
        <w:t xml:space="preserve"> Effects of treatments on the mortality of Stevens-Johnson syndrome and toxic epidermal necrolysis: A retrospective study on patients included in the prospective EuroSCAR Study. </w:t>
      </w:r>
      <w:r w:rsidRPr="00DD469F">
        <w:rPr>
          <w:rFonts w:ascii="Arial" w:hAnsi="Arial" w:cs="Arial"/>
          <w:i/>
          <w:noProof/>
        </w:rPr>
        <w:t>J Am Acad Dermatol</w:t>
      </w:r>
      <w:r>
        <w:rPr>
          <w:rFonts w:ascii="Arial" w:hAnsi="Arial" w:cs="Arial"/>
          <w:noProof/>
        </w:rPr>
        <w:t xml:space="preserve"> 2008; </w:t>
      </w:r>
      <w:r w:rsidRPr="00DD469F">
        <w:rPr>
          <w:rFonts w:ascii="Arial" w:hAnsi="Arial" w:cs="Arial"/>
          <w:b/>
          <w:noProof/>
        </w:rPr>
        <w:t>58</w:t>
      </w:r>
      <w:r>
        <w:rPr>
          <w:rFonts w:ascii="Arial" w:hAnsi="Arial" w:cs="Arial"/>
          <w:noProof/>
        </w:rPr>
        <w:t>:33-40.</w:t>
      </w:r>
      <w:bookmarkEnd w:id="28"/>
    </w:p>
    <w:p w:rsidR="00BD084C" w:rsidRDefault="00BD084C" w:rsidP="0085034D">
      <w:pPr>
        <w:pStyle w:val="NoSpacing"/>
        <w:ind w:left="720" w:hanging="720"/>
        <w:jc w:val="both"/>
        <w:rPr>
          <w:rFonts w:ascii="Arial" w:hAnsi="Arial" w:cs="Arial"/>
          <w:noProof/>
        </w:rPr>
      </w:pPr>
      <w:bookmarkStart w:id="29" w:name="_ENREF_29"/>
      <w:r>
        <w:rPr>
          <w:rFonts w:ascii="Arial" w:hAnsi="Arial" w:cs="Arial"/>
          <w:noProof/>
        </w:rPr>
        <w:t>29</w:t>
      </w:r>
      <w:r>
        <w:rPr>
          <w:rFonts w:ascii="Arial" w:hAnsi="Arial" w:cs="Arial"/>
          <w:noProof/>
        </w:rPr>
        <w:tab/>
        <w:t>Schulz JT, Sheridan RL, Ryan CM</w:t>
      </w:r>
      <w:r w:rsidRPr="00DD469F">
        <w:rPr>
          <w:rFonts w:ascii="Arial" w:hAnsi="Arial" w:cs="Arial"/>
          <w:i/>
          <w:noProof/>
        </w:rPr>
        <w:t xml:space="preserve"> et al.</w:t>
      </w:r>
      <w:r>
        <w:rPr>
          <w:rFonts w:ascii="Arial" w:hAnsi="Arial" w:cs="Arial"/>
          <w:noProof/>
        </w:rPr>
        <w:t xml:space="preserve"> A 10-year experience with toxic epidermal necrolysis. </w:t>
      </w:r>
      <w:r w:rsidRPr="00DD469F">
        <w:rPr>
          <w:rFonts w:ascii="Arial" w:hAnsi="Arial" w:cs="Arial"/>
          <w:i/>
          <w:noProof/>
        </w:rPr>
        <w:t>J Burn Care Rehabil</w:t>
      </w:r>
      <w:r>
        <w:rPr>
          <w:rFonts w:ascii="Arial" w:hAnsi="Arial" w:cs="Arial"/>
          <w:noProof/>
        </w:rPr>
        <w:t xml:space="preserve"> 2000; </w:t>
      </w:r>
      <w:r w:rsidRPr="00DD469F">
        <w:rPr>
          <w:rFonts w:ascii="Arial" w:hAnsi="Arial" w:cs="Arial"/>
          <w:b/>
          <w:noProof/>
        </w:rPr>
        <w:t>21</w:t>
      </w:r>
      <w:r>
        <w:rPr>
          <w:rFonts w:ascii="Arial" w:hAnsi="Arial" w:cs="Arial"/>
          <w:noProof/>
        </w:rPr>
        <w:t>:199-204.</w:t>
      </w:r>
      <w:bookmarkEnd w:id="29"/>
    </w:p>
    <w:p w:rsidR="00BD084C" w:rsidRDefault="00BD084C" w:rsidP="0085034D">
      <w:pPr>
        <w:pStyle w:val="NoSpacing"/>
        <w:ind w:left="720" w:hanging="720"/>
        <w:jc w:val="both"/>
        <w:rPr>
          <w:rFonts w:ascii="Arial" w:hAnsi="Arial" w:cs="Arial"/>
          <w:noProof/>
        </w:rPr>
      </w:pPr>
      <w:bookmarkStart w:id="30" w:name="_ENREF_30"/>
      <w:r>
        <w:rPr>
          <w:rFonts w:ascii="Arial" w:hAnsi="Arial" w:cs="Arial"/>
          <w:noProof/>
        </w:rPr>
        <w:t>30</w:t>
      </w:r>
      <w:r>
        <w:rPr>
          <w:rFonts w:ascii="Arial" w:hAnsi="Arial" w:cs="Arial"/>
          <w:noProof/>
        </w:rPr>
        <w:tab/>
        <w:t>Ducic I, Shalom A, Rising W</w:t>
      </w:r>
      <w:r w:rsidRPr="00DD469F">
        <w:rPr>
          <w:rFonts w:ascii="Arial" w:hAnsi="Arial" w:cs="Arial"/>
          <w:i/>
          <w:noProof/>
        </w:rPr>
        <w:t xml:space="preserve"> et al.</w:t>
      </w:r>
      <w:r>
        <w:rPr>
          <w:rFonts w:ascii="Arial" w:hAnsi="Arial" w:cs="Arial"/>
          <w:noProof/>
        </w:rPr>
        <w:t xml:space="preserve"> Outcome of patients with toxic epidermal necrolysis syndrome revisited. </w:t>
      </w:r>
      <w:r w:rsidRPr="00DD469F">
        <w:rPr>
          <w:rFonts w:ascii="Arial" w:hAnsi="Arial" w:cs="Arial"/>
          <w:i/>
          <w:noProof/>
        </w:rPr>
        <w:t>Plast Reconstr Surg</w:t>
      </w:r>
      <w:r>
        <w:rPr>
          <w:rFonts w:ascii="Arial" w:hAnsi="Arial" w:cs="Arial"/>
          <w:noProof/>
        </w:rPr>
        <w:t xml:space="preserve"> 2002; </w:t>
      </w:r>
      <w:r w:rsidRPr="00DD469F">
        <w:rPr>
          <w:rFonts w:ascii="Arial" w:hAnsi="Arial" w:cs="Arial"/>
          <w:b/>
          <w:noProof/>
        </w:rPr>
        <w:t>110</w:t>
      </w:r>
      <w:r>
        <w:rPr>
          <w:rFonts w:ascii="Arial" w:hAnsi="Arial" w:cs="Arial"/>
          <w:noProof/>
        </w:rPr>
        <w:t>:768-73.</w:t>
      </w:r>
      <w:bookmarkEnd w:id="30"/>
    </w:p>
    <w:p w:rsidR="00BD084C" w:rsidRDefault="00BD084C" w:rsidP="0085034D">
      <w:pPr>
        <w:pStyle w:val="NoSpacing"/>
        <w:ind w:left="720" w:hanging="720"/>
        <w:jc w:val="both"/>
        <w:rPr>
          <w:rFonts w:ascii="Arial" w:hAnsi="Arial" w:cs="Arial"/>
          <w:noProof/>
        </w:rPr>
      </w:pPr>
      <w:bookmarkStart w:id="31" w:name="_ENREF_31"/>
      <w:r>
        <w:rPr>
          <w:rFonts w:ascii="Arial" w:hAnsi="Arial" w:cs="Arial"/>
          <w:noProof/>
        </w:rPr>
        <w:t>31</w:t>
      </w:r>
      <w:r>
        <w:rPr>
          <w:rFonts w:ascii="Arial" w:hAnsi="Arial" w:cs="Arial"/>
          <w:noProof/>
        </w:rPr>
        <w:tab/>
        <w:t>Bastuji-Garin S, Fouchard N, Bertocchi M</w:t>
      </w:r>
      <w:r w:rsidRPr="00DD469F">
        <w:rPr>
          <w:rFonts w:ascii="Arial" w:hAnsi="Arial" w:cs="Arial"/>
          <w:i/>
          <w:noProof/>
        </w:rPr>
        <w:t xml:space="preserve"> et al.</w:t>
      </w:r>
      <w:r>
        <w:rPr>
          <w:rFonts w:ascii="Arial" w:hAnsi="Arial" w:cs="Arial"/>
          <w:noProof/>
        </w:rPr>
        <w:t xml:space="preserve"> SCORTEN: a severity-of-illness score for toxic epidermal necrolysis. </w:t>
      </w:r>
      <w:r w:rsidRPr="00DD469F">
        <w:rPr>
          <w:rFonts w:ascii="Arial" w:hAnsi="Arial" w:cs="Arial"/>
          <w:i/>
          <w:noProof/>
        </w:rPr>
        <w:t>J Invest Dermatol</w:t>
      </w:r>
      <w:r>
        <w:rPr>
          <w:rFonts w:ascii="Arial" w:hAnsi="Arial" w:cs="Arial"/>
          <w:noProof/>
        </w:rPr>
        <w:t xml:space="preserve"> 2000; </w:t>
      </w:r>
      <w:r w:rsidRPr="00DD469F">
        <w:rPr>
          <w:rFonts w:ascii="Arial" w:hAnsi="Arial" w:cs="Arial"/>
          <w:b/>
          <w:noProof/>
        </w:rPr>
        <w:t>115</w:t>
      </w:r>
      <w:r>
        <w:rPr>
          <w:rFonts w:ascii="Arial" w:hAnsi="Arial" w:cs="Arial"/>
          <w:noProof/>
        </w:rPr>
        <w:t>:149-53.</w:t>
      </w:r>
      <w:bookmarkEnd w:id="31"/>
    </w:p>
    <w:p w:rsidR="00BD084C" w:rsidRDefault="00BD084C" w:rsidP="0085034D">
      <w:pPr>
        <w:pStyle w:val="NoSpacing"/>
        <w:ind w:left="720" w:hanging="720"/>
        <w:jc w:val="both"/>
        <w:rPr>
          <w:rFonts w:ascii="Arial" w:hAnsi="Arial" w:cs="Arial"/>
          <w:noProof/>
        </w:rPr>
      </w:pPr>
      <w:bookmarkStart w:id="32" w:name="_ENREF_32"/>
      <w:r>
        <w:rPr>
          <w:rFonts w:ascii="Arial" w:hAnsi="Arial" w:cs="Arial"/>
          <w:noProof/>
        </w:rPr>
        <w:t>32</w:t>
      </w:r>
      <w:r>
        <w:rPr>
          <w:rFonts w:ascii="Arial" w:hAnsi="Arial" w:cs="Arial"/>
          <w:noProof/>
        </w:rPr>
        <w:tab/>
        <w:t>Guégan S, Bastuji-Garin S, Poszepczynska-Guigné E</w:t>
      </w:r>
      <w:r w:rsidRPr="00DD469F">
        <w:rPr>
          <w:rFonts w:ascii="Arial" w:hAnsi="Arial" w:cs="Arial"/>
          <w:i/>
          <w:noProof/>
        </w:rPr>
        <w:t xml:space="preserve"> et al.</w:t>
      </w:r>
      <w:r>
        <w:rPr>
          <w:rFonts w:ascii="Arial" w:hAnsi="Arial" w:cs="Arial"/>
          <w:noProof/>
        </w:rPr>
        <w:t xml:space="preserve"> Performance of the SCORTEN during the first five days of hospitalization to predict the prognosis of epidermal necrolysis. </w:t>
      </w:r>
      <w:r w:rsidRPr="00DD469F">
        <w:rPr>
          <w:rFonts w:ascii="Arial" w:hAnsi="Arial" w:cs="Arial"/>
          <w:i/>
          <w:noProof/>
        </w:rPr>
        <w:t>J Invest Dermatol</w:t>
      </w:r>
      <w:r>
        <w:rPr>
          <w:rFonts w:ascii="Arial" w:hAnsi="Arial" w:cs="Arial"/>
          <w:noProof/>
        </w:rPr>
        <w:t xml:space="preserve"> 2006; </w:t>
      </w:r>
      <w:r w:rsidRPr="00DD469F">
        <w:rPr>
          <w:rFonts w:ascii="Arial" w:hAnsi="Arial" w:cs="Arial"/>
          <w:b/>
          <w:noProof/>
        </w:rPr>
        <w:t>126</w:t>
      </w:r>
      <w:r>
        <w:rPr>
          <w:rFonts w:ascii="Arial" w:hAnsi="Arial" w:cs="Arial"/>
          <w:noProof/>
        </w:rPr>
        <w:t>:272-6.</w:t>
      </w:r>
      <w:bookmarkEnd w:id="32"/>
    </w:p>
    <w:p w:rsidR="00BD084C" w:rsidRDefault="00BD084C" w:rsidP="0085034D">
      <w:pPr>
        <w:pStyle w:val="NoSpacing"/>
        <w:ind w:left="720" w:hanging="720"/>
        <w:jc w:val="both"/>
        <w:rPr>
          <w:rFonts w:ascii="Arial" w:hAnsi="Arial" w:cs="Arial"/>
          <w:noProof/>
        </w:rPr>
      </w:pPr>
      <w:bookmarkStart w:id="33" w:name="_ENREF_33"/>
      <w:r>
        <w:rPr>
          <w:rFonts w:ascii="Arial" w:hAnsi="Arial" w:cs="Arial"/>
          <w:noProof/>
        </w:rPr>
        <w:t>33</w:t>
      </w:r>
      <w:r>
        <w:rPr>
          <w:rFonts w:ascii="Arial" w:hAnsi="Arial" w:cs="Arial"/>
          <w:noProof/>
        </w:rPr>
        <w:tab/>
        <w:t>Trent JT, Kirsner RS, Romanelli P</w:t>
      </w:r>
      <w:r w:rsidRPr="00DD469F">
        <w:rPr>
          <w:rFonts w:ascii="Arial" w:hAnsi="Arial" w:cs="Arial"/>
          <w:i/>
          <w:noProof/>
        </w:rPr>
        <w:t xml:space="preserve"> et al.</w:t>
      </w:r>
      <w:r>
        <w:rPr>
          <w:rFonts w:ascii="Arial" w:hAnsi="Arial" w:cs="Arial"/>
          <w:noProof/>
        </w:rPr>
        <w:t xml:space="preserve"> Use of SCORTEN to accurately predict mortality in patients with toxic epidermal necrolysis in the United States. </w:t>
      </w:r>
      <w:r w:rsidRPr="00DD469F">
        <w:rPr>
          <w:rFonts w:ascii="Arial" w:hAnsi="Arial" w:cs="Arial"/>
          <w:i/>
          <w:noProof/>
        </w:rPr>
        <w:t>Arch Dermatol</w:t>
      </w:r>
      <w:r>
        <w:rPr>
          <w:rFonts w:ascii="Arial" w:hAnsi="Arial" w:cs="Arial"/>
          <w:noProof/>
        </w:rPr>
        <w:t xml:space="preserve"> 2004; </w:t>
      </w:r>
      <w:r w:rsidRPr="00DD469F">
        <w:rPr>
          <w:rFonts w:ascii="Arial" w:hAnsi="Arial" w:cs="Arial"/>
          <w:b/>
          <w:noProof/>
        </w:rPr>
        <w:t>140</w:t>
      </w:r>
      <w:r>
        <w:rPr>
          <w:rFonts w:ascii="Arial" w:hAnsi="Arial" w:cs="Arial"/>
          <w:noProof/>
        </w:rPr>
        <w:t>:890-2.</w:t>
      </w:r>
      <w:bookmarkEnd w:id="33"/>
    </w:p>
    <w:p w:rsidR="00BD084C" w:rsidRDefault="00BD084C" w:rsidP="0085034D">
      <w:pPr>
        <w:pStyle w:val="NoSpacing"/>
        <w:ind w:left="720" w:hanging="720"/>
        <w:jc w:val="both"/>
        <w:rPr>
          <w:rFonts w:ascii="Arial" w:hAnsi="Arial" w:cs="Arial"/>
          <w:noProof/>
        </w:rPr>
      </w:pPr>
      <w:bookmarkStart w:id="34" w:name="_ENREF_34"/>
      <w:r>
        <w:rPr>
          <w:rFonts w:ascii="Arial" w:hAnsi="Arial" w:cs="Arial"/>
          <w:noProof/>
        </w:rPr>
        <w:t>34</w:t>
      </w:r>
      <w:r>
        <w:rPr>
          <w:rFonts w:ascii="Arial" w:hAnsi="Arial" w:cs="Arial"/>
          <w:noProof/>
        </w:rPr>
        <w:tab/>
        <w:t>Kim KJ, Lee DP, Suh HS</w:t>
      </w:r>
      <w:r w:rsidRPr="00DD469F">
        <w:rPr>
          <w:rFonts w:ascii="Arial" w:hAnsi="Arial" w:cs="Arial"/>
          <w:i/>
          <w:noProof/>
        </w:rPr>
        <w:t xml:space="preserve"> et al.</w:t>
      </w:r>
      <w:r>
        <w:rPr>
          <w:rFonts w:ascii="Arial" w:hAnsi="Arial" w:cs="Arial"/>
          <w:noProof/>
        </w:rPr>
        <w:t xml:space="preserve"> Toxic epidermal necrolysis: analysis of clinical course and SCORTEN-based comparison of mortality rate and treatment modalities in Korean patients. </w:t>
      </w:r>
      <w:r w:rsidRPr="00DD469F">
        <w:rPr>
          <w:rFonts w:ascii="Arial" w:hAnsi="Arial" w:cs="Arial"/>
          <w:i/>
          <w:noProof/>
        </w:rPr>
        <w:t>Acta Derm Venereol</w:t>
      </w:r>
      <w:r>
        <w:rPr>
          <w:rFonts w:ascii="Arial" w:hAnsi="Arial" w:cs="Arial"/>
          <w:noProof/>
        </w:rPr>
        <w:t xml:space="preserve"> 2005; </w:t>
      </w:r>
      <w:r w:rsidRPr="00DD469F">
        <w:rPr>
          <w:rFonts w:ascii="Arial" w:hAnsi="Arial" w:cs="Arial"/>
          <w:b/>
          <w:noProof/>
        </w:rPr>
        <w:t>85</w:t>
      </w:r>
      <w:r>
        <w:rPr>
          <w:rFonts w:ascii="Arial" w:hAnsi="Arial" w:cs="Arial"/>
          <w:noProof/>
        </w:rPr>
        <w:t>:497-502.</w:t>
      </w:r>
      <w:bookmarkEnd w:id="34"/>
    </w:p>
    <w:p w:rsidR="00BD084C" w:rsidRDefault="00BD084C" w:rsidP="0085034D">
      <w:pPr>
        <w:pStyle w:val="NoSpacing"/>
        <w:ind w:left="720" w:hanging="720"/>
        <w:jc w:val="both"/>
        <w:rPr>
          <w:rFonts w:ascii="Arial" w:hAnsi="Arial" w:cs="Arial"/>
          <w:noProof/>
        </w:rPr>
      </w:pPr>
      <w:bookmarkStart w:id="35" w:name="_ENREF_35"/>
      <w:r>
        <w:rPr>
          <w:rFonts w:ascii="Arial" w:hAnsi="Arial" w:cs="Arial"/>
          <w:noProof/>
        </w:rPr>
        <w:t>35</w:t>
      </w:r>
      <w:r>
        <w:rPr>
          <w:rFonts w:ascii="Arial" w:hAnsi="Arial" w:cs="Arial"/>
          <w:noProof/>
        </w:rPr>
        <w:tab/>
        <w:t>Cartotto R, Mayich M, Nickerson D</w:t>
      </w:r>
      <w:r w:rsidRPr="00DD469F">
        <w:rPr>
          <w:rFonts w:ascii="Arial" w:hAnsi="Arial" w:cs="Arial"/>
          <w:i/>
          <w:noProof/>
        </w:rPr>
        <w:t xml:space="preserve"> et al.</w:t>
      </w:r>
      <w:r>
        <w:rPr>
          <w:rFonts w:ascii="Arial" w:hAnsi="Arial" w:cs="Arial"/>
          <w:noProof/>
        </w:rPr>
        <w:t xml:space="preserve"> SCORTEN accurately predicts mortality among toxic epidermal necrolysis patients treated in a burn center. </w:t>
      </w:r>
      <w:r w:rsidRPr="00DD469F">
        <w:rPr>
          <w:rFonts w:ascii="Arial" w:hAnsi="Arial" w:cs="Arial"/>
          <w:i/>
          <w:noProof/>
        </w:rPr>
        <w:t>J Burn Care Res</w:t>
      </w:r>
      <w:r>
        <w:rPr>
          <w:rFonts w:ascii="Arial" w:hAnsi="Arial" w:cs="Arial"/>
          <w:noProof/>
        </w:rPr>
        <w:t xml:space="preserve"> 2008; </w:t>
      </w:r>
      <w:r w:rsidRPr="00DD469F">
        <w:rPr>
          <w:rFonts w:ascii="Arial" w:hAnsi="Arial" w:cs="Arial"/>
          <w:b/>
          <w:noProof/>
        </w:rPr>
        <w:t>29</w:t>
      </w:r>
      <w:r>
        <w:rPr>
          <w:rFonts w:ascii="Arial" w:hAnsi="Arial" w:cs="Arial"/>
          <w:noProof/>
        </w:rPr>
        <w:t>:141-6.</w:t>
      </w:r>
      <w:bookmarkEnd w:id="35"/>
    </w:p>
    <w:p w:rsidR="00BD084C" w:rsidRDefault="00BD084C" w:rsidP="0085034D">
      <w:pPr>
        <w:pStyle w:val="NoSpacing"/>
        <w:ind w:left="720" w:hanging="720"/>
        <w:jc w:val="both"/>
        <w:rPr>
          <w:rFonts w:ascii="Arial" w:hAnsi="Arial" w:cs="Arial"/>
          <w:noProof/>
        </w:rPr>
      </w:pPr>
      <w:bookmarkStart w:id="36" w:name="_ENREF_36"/>
      <w:r>
        <w:rPr>
          <w:rFonts w:ascii="Arial" w:hAnsi="Arial" w:cs="Arial"/>
          <w:noProof/>
        </w:rPr>
        <w:t>36</w:t>
      </w:r>
      <w:r>
        <w:rPr>
          <w:rFonts w:ascii="Arial" w:hAnsi="Arial" w:cs="Arial"/>
          <w:noProof/>
        </w:rPr>
        <w:tab/>
        <w:t>Rajaratnam R, Mann C, Balasubramaniam P</w:t>
      </w:r>
      <w:r w:rsidRPr="00DD469F">
        <w:rPr>
          <w:rFonts w:ascii="Arial" w:hAnsi="Arial" w:cs="Arial"/>
          <w:i/>
          <w:noProof/>
        </w:rPr>
        <w:t xml:space="preserve"> et al.</w:t>
      </w:r>
      <w:r>
        <w:rPr>
          <w:rFonts w:ascii="Arial" w:hAnsi="Arial" w:cs="Arial"/>
          <w:noProof/>
        </w:rPr>
        <w:t xml:space="preserve"> Toxic epidermal necrolysis: retrospective analysis of 21 consecutive cases managed at a tertiary centre. </w:t>
      </w:r>
      <w:r w:rsidRPr="00DD469F">
        <w:rPr>
          <w:rFonts w:ascii="Arial" w:hAnsi="Arial" w:cs="Arial"/>
          <w:i/>
          <w:noProof/>
        </w:rPr>
        <w:t>Clin Exp Dermatol</w:t>
      </w:r>
      <w:r>
        <w:rPr>
          <w:rFonts w:ascii="Arial" w:hAnsi="Arial" w:cs="Arial"/>
          <w:noProof/>
        </w:rPr>
        <w:t xml:space="preserve"> 2010; </w:t>
      </w:r>
      <w:r w:rsidRPr="00DD469F">
        <w:rPr>
          <w:rFonts w:ascii="Arial" w:hAnsi="Arial" w:cs="Arial"/>
          <w:b/>
          <w:noProof/>
        </w:rPr>
        <w:t>35</w:t>
      </w:r>
      <w:r>
        <w:rPr>
          <w:rFonts w:ascii="Arial" w:hAnsi="Arial" w:cs="Arial"/>
          <w:noProof/>
        </w:rPr>
        <w:t>:853-62.</w:t>
      </w:r>
      <w:bookmarkEnd w:id="36"/>
    </w:p>
    <w:p w:rsidR="00BD084C" w:rsidRDefault="00BD084C" w:rsidP="0085034D">
      <w:pPr>
        <w:pStyle w:val="NoSpacing"/>
        <w:ind w:left="720" w:hanging="720"/>
        <w:jc w:val="both"/>
        <w:rPr>
          <w:rFonts w:ascii="Arial" w:hAnsi="Arial" w:cs="Arial"/>
          <w:noProof/>
        </w:rPr>
      </w:pPr>
      <w:bookmarkStart w:id="37" w:name="_ENREF_37"/>
      <w:r>
        <w:rPr>
          <w:rFonts w:ascii="Arial" w:hAnsi="Arial" w:cs="Arial"/>
          <w:noProof/>
        </w:rPr>
        <w:t>37</w:t>
      </w:r>
      <w:r>
        <w:rPr>
          <w:rFonts w:ascii="Arial" w:hAnsi="Arial" w:cs="Arial"/>
          <w:noProof/>
        </w:rPr>
        <w:tab/>
        <w:t>Morales ME, Purdue GF, Verity SM</w:t>
      </w:r>
      <w:r w:rsidRPr="00DD469F">
        <w:rPr>
          <w:rFonts w:ascii="Arial" w:hAnsi="Arial" w:cs="Arial"/>
          <w:i/>
          <w:noProof/>
        </w:rPr>
        <w:t xml:space="preserve"> et al.</w:t>
      </w:r>
      <w:r>
        <w:rPr>
          <w:rFonts w:ascii="Arial" w:hAnsi="Arial" w:cs="Arial"/>
          <w:noProof/>
        </w:rPr>
        <w:t xml:space="preserve"> Ophthalmic manifestations of Stevens-Johnson syndrome and toxic epidermal necrolysis and relation to SCORTEN. </w:t>
      </w:r>
      <w:r w:rsidRPr="00DD469F">
        <w:rPr>
          <w:rFonts w:ascii="Arial" w:hAnsi="Arial" w:cs="Arial"/>
          <w:i/>
          <w:noProof/>
        </w:rPr>
        <w:t>Am J Ophthalmol</w:t>
      </w:r>
      <w:r>
        <w:rPr>
          <w:rFonts w:ascii="Arial" w:hAnsi="Arial" w:cs="Arial"/>
          <w:noProof/>
        </w:rPr>
        <w:t xml:space="preserve"> 2010; </w:t>
      </w:r>
      <w:r w:rsidRPr="00DD469F">
        <w:rPr>
          <w:rFonts w:ascii="Arial" w:hAnsi="Arial" w:cs="Arial"/>
          <w:b/>
          <w:noProof/>
        </w:rPr>
        <w:t>150</w:t>
      </w:r>
      <w:r>
        <w:rPr>
          <w:rFonts w:ascii="Arial" w:hAnsi="Arial" w:cs="Arial"/>
          <w:noProof/>
        </w:rPr>
        <w:t>:505-10.</w:t>
      </w:r>
      <w:bookmarkEnd w:id="37"/>
    </w:p>
    <w:p w:rsidR="00BD084C" w:rsidRDefault="00BD084C" w:rsidP="0085034D">
      <w:pPr>
        <w:pStyle w:val="NoSpacing"/>
        <w:ind w:left="720" w:hanging="720"/>
        <w:jc w:val="both"/>
        <w:rPr>
          <w:rFonts w:ascii="Arial" w:hAnsi="Arial" w:cs="Arial"/>
          <w:noProof/>
        </w:rPr>
      </w:pPr>
      <w:bookmarkStart w:id="38" w:name="_ENREF_38"/>
      <w:r>
        <w:rPr>
          <w:rFonts w:ascii="Arial" w:hAnsi="Arial" w:cs="Arial"/>
          <w:noProof/>
        </w:rPr>
        <w:t>38</w:t>
      </w:r>
      <w:r>
        <w:rPr>
          <w:rFonts w:ascii="Arial" w:hAnsi="Arial" w:cs="Arial"/>
          <w:noProof/>
        </w:rPr>
        <w:tab/>
        <w:t xml:space="preserve">McGee T, Munster A. Toxic epidermal necrolysis syndrome: mortality rate reduced with early referral to regional burn center. </w:t>
      </w:r>
      <w:r w:rsidRPr="00DD469F">
        <w:rPr>
          <w:rFonts w:ascii="Arial" w:hAnsi="Arial" w:cs="Arial"/>
          <w:i/>
          <w:noProof/>
        </w:rPr>
        <w:t>Plast Reconstr Surg</w:t>
      </w:r>
      <w:r>
        <w:rPr>
          <w:rFonts w:ascii="Arial" w:hAnsi="Arial" w:cs="Arial"/>
          <w:noProof/>
        </w:rPr>
        <w:t xml:space="preserve"> 1998; </w:t>
      </w:r>
      <w:r w:rsidRPr="00DD469F">
        <w:rPr>
          <w:rFonts w:ascii="Arial" w:hAnsi="Arial" w:cs="Arial"/>
          <w:b/>
          <w:noProof/>
        </w:rPr>
        <w:t>102</w:t>
      </w:r>
      <w:r>
        <w:rPr>
          <w:rFonts w:ascii="Arial" w:hAnsi="Arial" w:cs="Arial"/>
          <w:noProof/>
        </w:rPr>
        <w:t>:1018-22.</w:t>
      </w:r>
      <w:bookmarkEnd w:id="38"/>
    </w:p>
    <w:p w:rsidR="00BD084C" w:rsidRDefault="00BD084C" w:rsidP="0085034D">
      <w:pPr>
        <w:pStyle w:val="NoSpacing"/>
        <w:ind w:left="720" w:hanging="720"/>
        <w:jc w:val="both"/>
        <w:rPr>
          <w:rFonts w:ascii="Arial" w:hAnsi="Arial" w:cs="Arial"/>
          <w:noProof/>
        </w:rPr>
      </w:pPr>
      <w:bookmarkStart w:id="39" w:name="_ENREF_39"/>
      <w:r>
        <w:rPr>
          <w:rFonts w:ascii="Arial" w:hAnsi="Arial" w:cs="Arial"/>
          <w:noProof/>
        </w:rPr>
        <w:t>39</w:t>
      </w:r>
      <w:r>
        <w:rPr>
          <w:rFonts w:ascii="Arial" w:hAnsi="Arial" w:cs="Arial"/>
          <w:noProof/>
        </w:rPr>
        <w:tab/>
        <w:t>Palmieri TL, Greenhalgh DG, Saffle JR</w:t>
      </w:r>
      <w:r w:rsidRPr="00DD469F">
        <w:rPr>
          <w:rFonts w:ascii="Arial" w:hAnsi="Arial" w:cs="Arial"/>
          <w:i/>
          <w:noProof/>
        </w:rPr>
        <w:t xml:space="preserve"> et al.</w:t>
      </w:r>
      <w:r>
        <w:rPr>
          <w:rFonts w:ascii="Arial" w:hAnsi="Arial" w:cs="Arial"/>
          <w:noProof/>
        </w:rPr>
        <w:t xml:space="preserve"> A multicenter review of toxic epidermal necrolysis treated in U.S. burn centers at the end of the twentieth century. </w:t>
      </w:r>
      <w:r w:rsidRPr="00DD469F">
        <w:rPr>
          <w:rFonts w:ascii="Arial" w:hAnsi="Arial" w:cs="Arial"/>
          <w:i/>
          <w:noProof/>
        </w:rPr>
        <w:t>J Burn Care Rehabil</w:t>
      </w:r>
      <w:r>
        <w:rPr>
          <w:rFonts w:ascii="Arial" w:hAnsi="Arial" w:cs="Arial"/>
          <w:noProof/>
        </w:rPr>
        <w:t xml:space="preserve"> 2002; </w:t>
      </w:r>
      <w:r w:rsidRPr="00DD469F">
        <w:rPr>
          <w:rFonts w:ascii="Arial" w:hAnsi="Arial" w:cs="Arial"/>
          <w:b/>
          <w:noProof/>
        </w:rPr>
        <w:t>23</w:t>
      </w:r>
      <w:r>
        <w:rPr>
          <w:rFonts w:ascii="Arial" w:hAnsi="Arial" w:cs="Arial"/>
          <w:noProof/>
        </w:rPr>
        <w:t>:87-96.</w:t>
      </w:r>
      <w:bookmarkEnd w:id="39"/>
    </w:p>
    <w:p w:rsidR="00BD084C" w:rsidRDefault="00BD084C" w:rsidP="0085034D">
      <w:pPr>
        <w:pStyle w:val="NoSpacing"/>
        <w:ind w:left="720" w:hanging="720"/>
        <w:jc w:val="both"/>
        <w:rPr>
          <w:rFonts w:ascii="Arial" w:hAnsi="Arial" w:cs="Arial"/>
          <w:noProof/>
        </w:rPr>
      </w:pPr>
      <w:bookmarkStart w:id="40" w:name="_ENREF_40"/>
      <w:r>
        <w:rPr>
          <w:rFonts w:ascii="Arial" w:hAnsi="Arial" w:cs="Arial"/>
          <w:noProof/>
        </w:rPr>
        <w:lastRenderedPageBreak/>
        <w:t>40</w:t>
      </w:r>
      <w:r>
        <w:rPr>
          <w:rFonts w:ascii="Arial" w:hAnsi="Arial" w:cs="Arial"/>
          <w:noProof/>
        </w:rPr>
        <w:tab/>
        <w:t>Mahar PD, Wasiak J, Hii B</w:t>
      </w:r>
      <w:r w:rsidRPr="00DD469F">
        <w:rPr>
          <w:rFonts w:ascii="Arial" w:hAnsi="Arial" w:cs="Arial"/>
          <w:i/>
          <w:noProof/>
        </w:rPr>
        <w:t xml:space="preserve"> et al.</w:t>
      </w:r>
      <w:r>
        <w:rPr>
          <w:rFonts w:ascii="Arial" w:hAnsi="Arial" w:cs="Arial"/>
          <w:noProof/>
        </w:rPr>
        <w:t xml:space="preserve"> A systematic review of the management and outcome of toxic epidermal necrolysis treated in burns centres. </w:t>
      </w:r>
      <w:r w:rsidRPr="00DD469F">
        <w:rPr>
          <w:rFonts w:ascii="Arial" w:hAnsi="Arial" w:cs="Arial"/>
          <w:i/>
          <w:noProof/>
        </w:rPr>
        <w:t>Burns</w:t>
      </w:r>
      <w:r>
        <w:rPr>
          <w:rFonts w:ascii="Arial" w:hAnsi="Arial" w:cs="Arial"/>
          <w:noProof/>
        </w:rPr>
        <w:t xml:space="preserve"> 2014; </w:t>
      </w:r>
      <w:r w:rsidRPr="00DD469F">
        <w:rPr>
          <w:rFonts w:ascii="Arial" w:hAnsi="Arial" w:cs="Arial"/>
          <w:b/>
          <w:noProof/>
        </w:rPr>
        <w:t>40</w:t>
      </w:r>
      <w:r>
        <w:rPr>
          <w:rFonts w:ascii="Arial" w:hAnsi="Arial" w:cs="Arial"/>
          <w:noProof/>
        </w:rPr>
        <w:t>:1245-54.</w:t>
      </w:r>
      <w:bookmarkEnd w:id="40"/>
    </w:p>
    <w:p w:rsidR="00BD084C" w:rsidRDefault="00BD084C" w:rsidP="0085034D">
      <w:pPr>
        <w:pStyle w:val="NoSpacing"/>
        <w:ind w:left="720" w:hanging="720"/>
        <w:jc w:val="both"/>
        <w:rPr>
          <w:rFonts w:ascii="Arial" w:hAnsi="Arial" w:cs="Arial"/>
          <w:noProof/>
        </w:rPr>
      </w:pPr>
      <w:bookmarkStart w:id="41" w:name="_ENREF_41"/>
      <w:r>
        <w:rPr>
          <w:rFonts w:ascii="Arial" w:hAnsi="Arial" w:cs="Arial"/>
          <w:noProof/>
        </w:rPr>
        <w:t>41</w:t>
      </w:r>
      <w:r>
        <w:rPr>
          <w:rFonts w:ascii="Arial" w:hAnsi="Arial" w:cs="Arial"/>
          <w:noProof/>
        </w:rPr>
        <w:tab/>
        <w:t xml:space="preserve">Herndon DN. Mediators of metabolism. </w:t>
      </w:r>
      <w:r w:rsidRPr="00DD469F">
        <w:rPr>
          <w:rFonts w:ascii="Arial" w:hAnsi="Arial" w:cs="Arial"/>
          <w:i/>
          <w:noProof/>
        </w:rPr>
        <w:t>J Trauma</w:t>
      </w:r>
      <w:r>
        <w:rPr>
          <w:rFonts w:ascii="Arial" w:hAnsi="Arial" w:cs="Arial"/>
          <w:noProof/>
        </w:rPr>
        <w:t xml:space="preserve"> 1981; </w:t>
      </w:r>
      <w:r w:rsidRPr="00DD469F">
        <w:rPr>
          <w:rFonts w:ascii="Arial" w:hAnsi="Arial" w:cs="Arial"/>
          <w:b/>
          <w:noProof/>
        </w:rPr>
        <w:t>21</w:t>
      </w:r>
      <w:r>
        <w:rPr>
          <w:rFonts w:ascii="Arial" w:hAnsi="Arial" w:cs="Arial"/>
          <w:noProof/>
        </w:rPr>
        <w:t>:701-5.</w:t>
      </w:r>
      <w:bookmarkEnd w:id="41"/>
    </w:p>
    <w:p w:rsidR="00BD084C" w:rsidRDefault="00BD084C" w:rsidP="0085034D">
      <w:pPr>
        <w:pStyle w:val="NoSpacing"/>
        <w:ind w:left="720" w:hanging="720"/>
        <w:jc w:val="both"/>
        <w:rPr>
          <w:rFonts w:ascii="Arial" w:hAnsi="Arial" w:cs="Arial"/>
          <w:noProof/>
        </w:rPr>
      </w:pPr>
      <w:bookmarkStart w:id="42" w:name="_ENREF_42"/>
      <w:r>
        <w:rPr>
          <w:rFonts w:ascii="Arial" w:hAnsi="Arial" w:cs="Arial"/>
          <w:noProof/>
        </w:rPr>
        <w:t>42</w:t>
      </w:r>
      <w:r>
        <w:rPr>
          <w:rFonts w:ascii="Arial" w:hAnsi="Arial" w:cs="Arial"/>
          <w:noProof/>
        </w:rPr>
        <w:tab/>
        <w:t xml:space="preserve">Herndon DN, Tompkins RG. Support of the metabolic response to burn injury. </w:t>
      </w:r>
      <w:r w:rsidRPr="00DD469F">
        <w:rPr>
          <w:rFonts w:ascii="Arial" w:hAnsi="Arial" w:cs="Arial"/>
          <w:i/>
          <w:noProof/>
        </w:rPr>
        <w:t>Lancet</w:t>
      </w:r>
      <w:r>
        <w:rPr>
          <w:rFonts w:ascii="Arial" w:hAnsi="Arial" w:cs="Arial"/>
          <w:noProof/>
        </w:rPr>
        <w:t xml:space="preserve"> 2004; </w:t>
      </w:r>
      <w:r w:rsidRPr="00DD469F">
        <w:rPr>
          <w:rFonts w:ascii="Arial" w:hAnsi="Arial" w:cs="Arial"/>
          <w:b/>
          <w:noProof/>
        </w:rPr>
        <w:t>363</w:t>
      </w:r>
      <w:r>
        <w:rPr>
          <w:rFonts w:ascii="Arial" w:hAnsi="Arial" w:cs="Arial"/>
          <w:noProof/>
        </w:rPr>
        <w:t>:1895-902.</w:t>
      </w:r>
      <w:bookmarkEnd w:id="42"/>
    </w:p>
    <w:p w:rsidR="00BD084C" w:rsidRDefault="00BD084C" w:rsidP="0085034D">
      <w:pPr>
        <w:pStyle w:val="NoSpacing"/>
        <w:ind w:left="720" w:hanging="720"/>
        <w:jc w:val="both"/>
        <w:rPr>
          <w:rFonts w:ascii="Arial" w:hAnsi="Arial" w:cs="Arial"/>
          <w:noProof/>
        </w:rPr>
      </w:pPr>
      <w:bookmarkStart w:id="43" w:name="_ENREF_43"/>
      <w:r>
        <w:rPr>
          <w:rFonts w:ascii="Arial" w:hAnsi="Arial" w:cs="Arial"/>
          <w:noProof/>
        </w:rPr>
        <w:t>43</w:t>
      </w:r>
      <w:r>
        <w:rPr>
          <w:rFonts w:ascii="Arial" w:hAnsi="Arial" w:cs="Arial"/>
          <w:noProof/>
        </w:rPr>
        <w:tab/>
        <w:t xml:space="preserve">Brown D. How far would you go to save someone's skin? </w:t>
      </w:r>
      <w:r w:rsidRPr="00DD469F">
        <w:rPr>
          <w:rFonts w:ascii="Arial" w:hAnsi="Arial" w:cs="Arial"/>
          <w:i/>
          <w:noProof/>
        </w:rPr>
        <w:t>Dermatol Nursing</w:t>
      </w:r>
      <w:r>
        <w:rPr>
          <w:rFonts w:ascii="Arial" w:hAnsi="Arial" w:cs="Arial"/>
          <w:noProof/>
        </w:rPr>
        <w:t xml:space="preserve"> 2009; </w:t>
      </w:r>
      <w:r w:rsidRPr="00DD469F">
        <w:rPr>
          <w:rFonts w:ascii="Arial" w:hAnsi="Arial" w:cs="Arial"/>
          <w:b/>
          <w:noProof/>
        </w:rPr>
        <w:t>8</w:t>
      </w:r>
      <w:r>
        <w:rPr>
          <w:rFonts w:ascii="Arial" w:hAnsi="Arial" w:cs="Arial"/>
          <w:noProof/>
        </w:rPr>
        <w:t>:10-9.</w:t>
      </w:r>
      <w:bookmarkEnd w:id="43"/>
    </w:p>
    <w:p w:rsidR="00BD084C" w:rsidRDefault="00BD084C" w:rsidP="0085034D">
      <w:pPr>
        <w:pStyle w:val="NoSpacing"/>
        <w:ind w:left="720" w:hanging="720"/>
        <w:jc w:val="both"/>
        <w:rPr>
          <w:rFonts w:ascii="Arial" w:hAnsi="Arial" w:cs="Arial"/>
          <w:noProof/>
        </w:rPr>
      </w:pPr>
      <w:bookmarkStart w:id="44" w:name="_ENREF_44"/>
      <w:r>
        <w:rPr>
          <w:rFonts w:ascii="Arial" w:hAnsi="Arial" w:cs="Arial"/>
          <w:noProof/>
        </w:rPr>
        <w:t>44</w:t>
      </w:r>
      <w:r>
        <w:rPr>
          <w:rFonts w:ascii="Arial" w:hAnsi="Arial" w:cs="Arial"/>
          <w:noProof/>
        </w:rPr>
        <w:tab/>
        <w:t>Abela C, Hartmann CE, De Leo A</w:t>
      </w:r>
      <w:r w:rsidRPr="00DD469F">
        <w:rPr>
          <w:rFonts w:ascii="Arial" w:hAnsi="Arial" w:cs="Arial"/>
          <w:i/>
          <w:noProof/>
        </w:rPr>
        <w:t xml:space="preserve"> et al.</w:t>
      </w:r>
      <w:r>
        <w:rPr>
          <w:rFonts w:ascii="Arial" w:hAnsi="Arial" w:cs="Arial"/>
          <w:noProof/>
        </w:rPr>
        <w:t xml:space="preserve"> Toxic epidermal necrolysis (TEN): The Chelsea and Westminster Hospital wound management algorithm. </w:t>
      </w:r>
      <w:r w:rsidRPr="00DD469F">
        <w:rPr>
          <w:rFonts w:ascii="Arial" w:hAnsi="Arial" w:cs="Arial"/>
          <w:i/>
          <w:noProof/>
        </w:rPr>
        <w:t>J Plast Reconstr Aesthet Surg</w:t>
      </w:r>
      <w:r>
        <w:rPr>
          <w:rFonts w:ascii="Arial" w:hAnsi="Arial" w:cs="Arial"/>
          <w:noProof/>
        </w:rPr>
        <w:t xml:space="preserve"> 2014; </w:t>
      </w:r>
      <w:r w:rsidRPr="00DD469F">
        <w:rPr>
          <w:rFonts w:ascii="Arial" w:hAnsi="Arial" w:cs="Arial"/>
          <w:b/>
          <w:noProof/>
        </w:rPr>
        <w:t>67</w:t>
      </w:r>
      <w:r>
        <w:rPr>
          <w:rFonts w:ascii="Arial" w:hAnsi="Arial" w:cs="Arial"/>
          <w:noProof/>
        </w:rPr>
        <w:t>:1026-32.</w:t>
      </w:r>
      <w:bookmarkEnd w:id="44"/>
    </w:p>
    <w:p w:rsidR="00BD084C" w:rsidRDefault="00BD084C" w:rsidP="0085034D">
      <w:pPr>
        <w:pStyle w:val="NoSpacing"/>
        <w:ind w:left="720" w:hanging="720"/>
        <w:jc w:val="both"/>
        <w:rPr>
          <w:rFonts w:ascii="Arial" w:hAnsi="Arial" w:cs="Arial"/>
          <w:noProof/>
        </w:rPr>
      </w:pPr>
      <w:bookmarkStart w:id="45" w:name="_ENREF_45"/>
      <w:r>
        <w:rPr>
          <w:rFonts w:ascii="Arial" w:hAnsi="Arial" w:cs="Arial"/>
          <w:noProof/>
        </w:rPr>
        <w:t>45</w:t>
      </w:r>
      <w:r>
        <w:rPr>
          <w:rFonts w:ascii="Arial" w:hAnsi="Arial" w:cs="Arial"/>
          <w:noProof/>
        </w:rPr>
        <w:tab/>
        <w:t>Dorafshar AH, Dickie SR, Cohn AB</w:t>
      </w:r>
      <w:r w:rsidRPr="00DD469F">
        <w:rPr>
          <w:rFonts w:ascii="Arial" w:hAnsi="Arial" w:cs="Arial"/>
          <w:i/>
          <w:noProof/>
        </w:rPr>
        <w:t xml:space="preserve"> et al.</w:t>
      </w:r>
      <w:r>
        <w:rPr>
          <w:rFonts w:ascii="Arial" w:hAnsi="Arial" w:cs="Arial"/>
          <w:noProof/>
        </w:rPr>
        <w:t xml:space="preserve"> Antishear therapy for toxic epidermal necrolysis: an alternative treatment approach. </w:t>
      </w:r>
      <w:r w:rsidRPr="00DD469F">
        <w:rPr>
          <w:rFonts w:ascii="Arial" w:hAnsi="Arial" w:cs="Arial"/>
          <w:i/>
          <w:noProof/>
        </w:rPr>
        <w:t>Plast Reconstr Surg</w:t>
      </w:r>
      <w:r>
        <w:rPr>
          <w:rFonts w:ascii="Arial" w:hAnsi="Arial" w:cs="Arial"/>
          <w:noProof/>
        </w:rPr>
        <w:t xml:space="preserve"> 2008; </w:t>
      </w:r>
      <w:r w:rsidRPr="00DD469F">
        <w:rPr>
          <w:rFonts w:ascii="Arial" w:hAnsi="Arial" w:cs="Arial"/>
          <w:b/>
          <w:noProof/>
        </w:rPr>
        <w:t>122</w:t>
      </w:r>
      <w:r>
        <w:rPr>
          <w:rFonts w:ascii="Arial" w:hAnsi="Arial" w:cs="Arial"/>
          <w:noProof/>
        </w:rPr>
        <w:t>:154-60.</w:t>
      </w:r>
      <w:bookmarkEnd w:id="45"/>
    </w:p>
    <w:p w:rsidR="00BD084C" w:rsidRDefault="00BD084C" w:rsidP="0085034D">
      <w:pPr>
        <w:pStyle w:val="NoSpacing"/>
        <w:ind w:left="720" w:hanging="720"/>
        <w:jc w:val="both"/>
        <w:rPr>
          <w:rFonts w:ascii="Arial" w:hAnsi="Arial" w:cs="Arial"/>
          <w:noProof/>
        </w:rPr>
      </w:pPr>
      <w:bookmarkStart w:id="46" w:name="_ENREF_46"/>
      <w:r>
        <w:rPr>
          <w:rFonts w:ascii="Arial" w:hAnsi="Arial" w:cs="Arial"/>
          <w:noProof/>
        </w:rPr>
        <w:t>46</w:t>
      </w:r>
      <w:r>
        <w:rPr>
          <w:rFonts w:ascii="Arial" w:hAnsi="Arial" w:cs="Arial"/>
          <w:noProof/>
        </w:rPr>
        <w:tab/>
        <w:t>Stella M, Clemente A, Bollero D</w:t>
      </w:r>
      <w:r w:rsidRPr="00DD469F">
        <w:rPr>
          <w:rFonts w:ascii="Arial" w:hAnsi="Arial" w:cs="Arial"/>
          <w:i/>
          <w:noProof/>
        </w:rPr>
        <w:t xml:space="preserve"> et al.</w:t>
      </w:r>
      <w:r>
        <w:rPr>
          <w:rFonts w:ascii="Arial" w:hAnsi="Arial" w:cs="Arial"/>
          <w:noProof/>
        </w:rPr>
        <w:t xml:space="preserve"> Toxic epidermal necrolysis (TEN) and Stevens-Johnson syndrome (SJS): experience with high-dose intravenous immunoglobulins and topical conservative approach. A retrospective analysis. </w:t>
      </w:r>
      <w:r w:rsidRPr="00DD469F">
        <w:rPr>
          <w:rFonts w:ascii="Arial" w:hAnsi="Arial" w:cs="Arial"/>
          <w:i/>
          <w:noProof/>
        </w:rPr>
        <w:t>Burns</w:t>
      </w:r>
      <w:r>
        <w:rPr>
          <w:rFonts w:ascii="Arial" w:hAnsi="Arial" w:cs="Arial"/>
          <w:noProof/>
        </w:rPr>
        <w:t xml:space="preserve"> 2007; </w:t>
      </w:r>
      <w:r w:rsidRPr="00DD469F">
        <w:rPr>
          <w:rFonts w:ascii="Arial" w:hAnsi="Arial" w:cs="Arial"/>
          <w:b/>
          <w:noProof/>
        </w:rPr>
        <w:t>33</w:t>
      </w:r>
      <w:r>
        <w:rPr>
          <w:rFonts w:ascii="Arial" w:hAnsi="Arial" w:cs="Arial"/>
          <w:noProof/>
        </w:rPr>
        <w:t>:452-9.</w:t>
      </w:r>
      <w:bookmarkEnd w:id="46"/>
    </w:p>
    <w:p w:rsidR="00BD084C" w:rsidRDefault="00BD084C" w:rsidP="0085034D">
      <w:pPr>
        <w:pStyle w:val="NoSpacing"/>
        <w:ind w:left="720" w:hanging="720"/>
        <w:jc w:val="both"/>
        <w:rPr>
          <w:rFonts w:ascii="Arial" w:hAnsi="Arial" w:cs="Arial"/>
          <w:noProof/>
        </w:rPr>
      </w:pPr>
      <w:bookmarkStart w:id="47" w:name="_ENREF_47"/>
      <w:r>
        <w:rPr>
          <w:rFonts w:ascii="Arial" w:hAnsi="Arial" w:cs="Arial"/>
          <w:noProof/>
        </w:rPr>
        <w:t>47</w:t>
      </w:r>
      <w:r>
        <w:rPr>
          <w:rFonts w:ascii="Arial" w:hAnsi="Arial" w:cs="Arial"/>
          <w:noProof/>
        </w:rPr>
        <w:tab/>
        <w:t xml:space="preserve">Dillon CK, Lloyd MS, Dzeiwulski P. Accurate debridement of toxic epidermal necrolysis using Versajet. </w:t>
      </w:r>
      <w:r w:rsidRPr="00DD469F">
        <w:rPr>
          <w:rFonts w:ascii="Arial" w:hAnsi="Arial" w:cs="Arial"/>
          <w:i/>
          <w:noProof/>
        </w:rPr>
        <w:t>Burns</w:t>
      </w:r>
      <w:r>
        <w:rPr>
          <w:rFonts w:ascii="Arial" w:hAnsi="Arial" w:cs="Arial"/>
          <w:noProof/>
        </w:rPr>
        <w:t xml:space="preserve"> 2010; </w:t>
      </w:r>
      <w:r w:rsidRPr="00DD469F">
        <w:rPr>
          <w:rFonts w:ascii="Arial" w:hAnsi="Arial" w:cs="Arial"/>
          <w:b/>
          <w:noProof/>
        </w:rPr>
        <w:t>36</w:t>
      </w:r>
      <w:r>
        <w:rPr>
          <w:rFonts w:ascii="Arial" w:hAnsi="Arial" w:cs="Arial"/>
          <w:noProof/>
        </w:rPr>
        <w:t>:581-4.</w:t>
      </w:r>
      <w:bookmarkEnd w:id="47"/>
    </w:p>
    <w:p w:rsidR="00BD084C" w:rsidRDefault="00BD084C" w:rsidP="0085034D">
      <w:pPr>
        <w:pStyle w:val="NoSpacing"/>
        <w:ind w:left="720" w:hanging="720"/>
        <w:jc w:val="both"/>
        <w:rPr>
          <w:rFonts w:ascii="Arial" w:hAnsi="Arial" w:cs="Arial"/>
          <w:noProof/>
        </w:rPr>
      </w:pPr>
      <w:bookmarkStart w:id="48" w:name="_ENREF_48"/>
      <w:r>
        <w:rPr>
          <w:rFonts w:ascii="Arial" w:hAnsi="Arial" w:cs="Arial"/>
          <w:noProof/>
        </w:rPr>
        <w:t>48</w:t>
      </w:r>
      <w:r>
        <w:rPr>
          <w:rFonts w:ascii="Arial" w:hAnsi="Arial" w:cs="Arial"/>
          <w:noProof/>
        </w:rPr>
        <w:tab/>
        <w:t>de Prost N, Ingen-Housz-Oro S, Duong TA</w:t>
      </w:r>
      <w:r w:rsidRPr="00DD469F">
        <w:rPr>
          <w:rFonts w:ascii="Arial" w:hAnsi="Arial" w:cs="Arial"/>
          <w:i/>
          <w:noProof/>
        </w:rPr>
        <w:t xml:space="preserve"> et al.</w:t>
      </w:r>
      <w:r>
        <w:rPr>
          <w:rFonts w:ascii="Arial" w:hAnsi="Arial" w:cs="Arial"/>
          <w:noProof/>
        </w:rPr>
        <w:t xml:space="preserve"> Bacteremia in Stevens-Johnson syndrome and toxic epidermal necrolysis: Epidemiology, risk factors, and predictive value of skin cultures. </w:t>
      </w:r>
      <w:r w:rsidRPr="00DD469F">
        <w:rPr>
          <w:rFonts w:ascii="Arial" w:hAnsi="Arial" w:cs="Arial"/>
          <w:i/>
          <w:noProof/>
        </w:rPr>
        <w:t>Medicine</w:t>
      </w:r>
      <w:r>
        <w:rPr>
          <w:rFonts w:ascii="Arial" w:hAnsi="Arial" w:cs="Arial"/>
          <w:noProof/>
        </w:rPr>
        <w:t xml:space="preserve"> 2010; </w:t>
      </w:r>
      <w:r w:rsidRPr="00DD469F">
        <w:rPr>
          <w:rFonts w:ascii="Arial" w:hAnsi="Arial" w:cs="Arial"/>
          <w:b/>
          <w:noProof/>
        </w:rPr>
        <w:t>89</w:t>
      </w:r>
      <w:r>
        <w:rPr>
          <w:rFonts w:ascii="Arial" w:hAnsi="Arial" w:cs="Arial"/>
          <w:noProof/>
        </w:rPr>
        <w:t>:28-36.</w:t>
      </w:r>
      <w:bookmarkEnd w:id="48"/>
    </w:p>
    <w:p w:rsidR="00BD084C" w:rsidRDefault="00BD084C" w:rsidP="0085034D">
      <w:pPr>
        <w:pStyle w:val="NoSpacing"/>
        <w:ind w:left="720" w:hanging="720"/>
        <w:jc w:val="both"/>
        <w:rPr>
          <w:rFonts w:ascii="Arial" w:hAnsi="Arial" w:cs="Arial"/>
          <w:noProof/>
        </w:rPr>
      </w:pPr>
      <w:bookmarkStart w:id="49" w:name="_ENREF_49"/>
      <w:r>
        <w:rPr>
          <w:rFonts w:ascii="Arial" w:hAnsi="Arial" w:cs="Arial"/>
          <w:noProof/>
        </w:rPr>
        <w:t>49</w:t>
      </w:r>
      <w:r>
        <w:rPr>
          <w:rFonts w:ascii="Arial" w:hAnsi="Arial" w:cs="Arial"/>
          <w:noProof/>
        </w:rPr>
        <w:tab/>
        <w:t xml:space="preserve">Baker RH, Akhavani MA, Jallali N. Resuscitation of thermal injuries in the United Kingdom and Ireland. </w:t>
      </w:r>
      <w:r w:rsidRPr="00DD469F">
        <w:rPr>
          <w:rFonts w:ascii="Arial" w:hAnsi="Arial" w:cs="Arial"/>
          <w:i/>
          <w:noProof/>
        </w:rPr>
        <w:t>J Plast Reconstr Aesthet Surg</w:t>
      </w:r>
      <w:r>
        <w:rPr>
          <w:rFonts w:ascii="Arial" w:hAnsi="Arial" w:cs="Arial"/>
          <w:noProof/>
        </w:rPr>
        <w:t xml:space="preserve"> 2007; </w:t>
      </w:r>
      <w:r w:rsidRPr="00DD469F">
        <w:rPr>
          <w:rFonts w:ascii="Arial" w:hAnsi="Arial" w:cs="Arial"/>
          <w:b/>
          <w:noProof/>
        </w:rPr>
        <w:t>60</w:t>
      </w:r>
      <w:r>
        <w:rPr>
          <w:rFonts w:ascii="Arial" w:hAnsi="Arial" w:cs="Arial"/>
          <w:noProof/>
        </w:rPr>
        <w:t>:682-5.</w:t>
      </w:r>
      <w:bookmarkEnd w:id="49"/>
    </w:p>
    <w:p w:rsidR="00BD084C" w:rsidRDefault="00BD084C" w:rsidP="0085034D">
      <w:pPr>
        <w:pStyle w:val="NoSpacing"/>
        <w:ind w:left="720" w:hanging="720"/>
        <w:jc w:val="both"/>
        <w:rPr>
          <w:rFonts w:ascii="Arial" w:hAnsi="Arial" w:cs="Arial"/>
          <w:noProof/>
        </w:rPr>
      </w:pPr>
      <w:bookmarkStart w:id="50" w:name="_ENREF_50"/>
      <w:r>
        <w:rPr>
          <w:rFonts w:ascii="Arial" w:hAnsi="Arial" w:cs="Arial"/>
          <w:noProof/>
        </w:rPr>
        <w:t>50</w:t>
      </w:r>
      <w:r>
        <w:rPr>
          <w:rFonts w:ascii="Arial" w:hAnsi="Arial" w:cs="Arial"/>
          <w:noProof/>
        </w:rPr>
        <w:tab/>
        <w:t xml:space="preserve">Shiga S, Cartotto R. What are the fluid requirements in toxic epidermal necrolysis? </w:t>
      </w:r>
      <w:r w:rsidRPr="00DD469F">
        <w:rPr>
          <w:rFonts w:ascii="Arial" w:hAnsi="Arial" w:cs="Arial"/>
          <w:i/>
          <w:noProof/>
        </w:rPr>
        <w:t>J Burn Care Res</w:t>
      </w:r>
      <w:r>
        <w:rPr>
          <w:rFonts w:ascii="Arial" w:hAnsi="Arial" w:cs="Arial"/>
          <w:noProof/>
        </w:rPr>
        <w:t xml:space="preserve"> 2010; </w:t>
      </w:r>
      <w:r w:rsidRPr="00DD469F">
        <w:rPr>
          <w:rFonts w:ascii="Arial" w:hAnsi="Arial" w:cs="Arial"/>
          <w:b/>
          <w:noProof/>
        </w:rPr>
        <w:t>31</w:t>
      </w:r>
      <w:r>
        <w:rPr>
          <w:rFonts w:ascii="Arial" w:hAnsi="Arial" w:cs="Arial"/>
          <w:noProof/>
        </w:rPr>
        <w:t>:100-4.</w:t>
      </w:r>
      <w:bookmarkEnd w:id="50"/>
    </w:p>
    <w:p w:rsidR="00BD084C" w:rsidRDefault="00BD084C" w:rsidP="0085034D">
      <w:pPr>
        <w:pStyle w:val="NoSpacing"/>
        <w:ind w:left="720" w:hanging="720"/>
        <w:jc w:val="both"/>
        <w:rPr>
          <w:rFonts w:ascii="Arial" w:hAnsi="Arial" w:cs="Arial"/>
          <w:noProof/>
        </w:rPr>
      </w:pPr>
      <w:bookmarkStart w:id="51" w:name="_ENREF_51"/>
      <w:r>
        <w:rPr>
          <w:rFonts w:ascii="Arial" w:hAnsi="Arial" w:cs="Arial"/>
          <w:noProof/>
        </w:rPr>
        <w:t>51</w:t>
      </w:r>
      <w:r>
        <w:rPr>
          <w:rFonts w:ascii="Arial" w:hAnsi="Arial" w:cs="Arial"/>
          <w:noProof/>
        </w:rPr>
        <w:tab/>
        <w:t>Coss-Bu JA, Jefferson LS, Levy ML</w:t>
      </w:r>
      <w:r w:rsidRPr="00DD469F">
        <w:rPr>
          <w:rFonts w:ascii="Arial" w:hAnsi="Arial" w:cs="Arial"/>
          <w:i/>
          <w:noProof/>
        </w:rPr>
        <w:t xml:space="preserve"> et al.</w:t>
      </w:r>
      <w:r>
        <w:rPr>
          <w:rFonts w:ascii="Arial" w:hAnsi="Arial" w:cs="Arial"/>
          <w:noProof/>
        </w:rPr>
        <w:t xml:space="preserve"> Nutrition requirements in patients with toxic epidermal necrolysis. </w:t>
      </w:r>
      <w:r w:rsidRPr="00DD469F">
        <w:rPr>
          <w:rFonts w:ascii="Arial" w:hAnsi="Arial" w:cs="Arial"/>
          <w:i/>
          <w:noProof/>
        </w:rPr>
        <w:t>Nutr Clin Pract</w:t>
      </w:r>
      <w:r>
        <w:rPr>
          <w:rFonts w:ascii="Arial" w:hAnsi="Arial" w:cs="Arial"/>
          <w:noProof/>
        </w:rPr>
        <w:t xml:space="preserve"> 1997; </w:t>
      </w:r>
      <w:r w:rsidRPr="00DD469F">
        <w:rPr>
          <w:rFonts w:ascii="Arial" w:hAnsi="Arial" w:cs="Arial"/>
          <w:b/>
          <w:noProof/>
        </w:rPr>
        <w:t>12</w:t>
      </w:r>
      <w:r>
        <w:rPr>
          <w:rFonts w:ascii="Arial" w:hAnsi="Arial" w:cs="Arial"/>
          <w:noProof/>
        </w:rPr>
        <w:t>:81-4.</w:t>
      </w:r>
      <w:bookmarkEnd w:id="51"/>
    </w:p>
    <w:p w:rsidR="00BD084C" w:rsidRDefault="00BD084C" w:rsidP="0085034D">
      <w:pPr>
        <w:pStyle w:val="NoSpacing"/>
        <w:ind w:left="720" w:hanging="720"/>
        <w:jc w:val="both"/>
        <w:rPr>
          <w:rFonts w:ascii="Arial" w:hAnsi="Arial" w:cs="Arial"/>
          <w:noProof/>
        </w:rPr>
      </w:pPr>
      <w:bookmarkStart w:id="52" w:name="_ENREF_52"/>
      <w:r>
        <w:rPr>
          <w:rFonts w:ascii="Arial" w:hAnsi="Arial" w:cs="Arial"/>
          <w:noProof/>
        </w:rPr>
        <w:t>52</w:t>
      </w:r>
      <w:r>
        <w:rPr>
          <w:rFonts w:ascii="Arial" w:hAnsi="Arial" w:cs="Arial"/>
          <w:noProof/>
        </w:rPr>
        <w:tab/>
        <w:t>Hansbrough JF, Muller P, Noordenbos J</w:t>
      </w:r>
      <w:r w:rsidRPr="00DD469F">
        <w:rPr>
          <w:rFonts w:ascii="Arial" w:hAnsi="Arial" w:cs="Arial"/>
          <w:i/>
          <w:noProof/>
        </w:rPr>
        <w:t xml:space="preserve"> et al.</w:t>
      </w:r>
      <w:r>
        <w:rPr>
          <w:rFonts w:ascii="Arial" w:hAnsi="Arial" w:cs="Arial"/>
          <w:noProof/>
        </w:rPr>
        <w:t xml:space="preserve"> A 10-year experience with toxic epidermal necrolysis. </w:t>
      </w:r>
      <w:r w:rsidRPr="00DD469F">
        <w:rPr>
          <w:rFonts w:ascii="Arial" w:hAnsi="Arial" w:cs="Arial"/>
          <w:i/>
          <w:noProof/>
        </w:rPr>
        <w:t>J Burn Care Rehabil</w:t>
      </w:r>
      <w:r>
        <w:rPr>
          <w:rFonts w:ascii="Arial" w:hAnsi="Arial" w:cs="Arial"/>
          <w:noProof/>
        </w:rPr>
        <w:t xml:space="preserve"> 2001; </w:t>
      </w:r>
      <w:r w:rsidRPr="00DD469F">
        <w:rPr>
          <w:rFonts w:ascii="Arial" w:hAnsi="Arial" w:cs="Arial"/>
          <w:b/>
          <w:noProof/>
        </w:rPr>
        <w:t>22</w:t>
      </w:r>
      <w:r>
        <w:rPr>
          <w:rFonts w:ascii="Arial" w:hAnsi="Arial" w:cs="Arial"/>
          <w:noProof/>
        </w:rPr>
        <w:t>:97-8.</w:t>
      </w:r>
      <w:bookmarkEnd w:id="52"/>
    </w:p>
    <w:p w:rsidR="00BD084C" w:rsidRDefault="00BD084C" w:rsidP="0085034D">
      <w:pPr>
        <w:pStyle w:val="NoSpacing"/>
        <w:ind w:left="720" w:hanging="720"/>
        <w:jc w:val="both"/>
        <w:rPr>
          <w:rFonts w:ascii="Arial" w:hAnsi="Arial" w:cs="Arial"/>
          <w:noProof/>
        </w:rPr>
      </w:pPr>
      <w:bookmarkStart w:id="53" w:name="_ENREF_53"/>
      <w:r>
        <w:rPr>
          <w:rFonts w:ascii="Arial" w:hAnsi="Arial" w:cs="Arial"/>
          <w:noProof/>
        </w:rPr>
        <w:t>53</w:t>
      </w:r>
      <w:r>
        <w:rPr>
          <w:rFonts w:ascii="Arial" w:hAnsi="Arial" w:cs="Arial"/>
          <w:noProof/>
        </w:rPr>
        <w:tab/>
        <w:t xml:space="preserve">Lacy JA. Toxic epidermal necrolysis. </w:t>
      </w:r>
      <w:r w:rsidRPr="00DD469F">
        <w:rPr>
          <w:rFonts w:ascii="Arial" w:hAnsi="Arial" w:cs="Arial"/>
          <w:i/>
          <w:noProof/>
        </w:rPr>
        <w:t>Nutr Clin Pract</w:t>
      </w:r>
      <w:r>
        <w:rPr>
          <w:rFonts w:ascii="Arial" w:hAnsi="Arial" w:cs="Arial"/>
          <w:noProof/>
        </w:rPr>
        <w:t xml:space="preserve"> 1991; </w:t>
      </w:r>
      <w:r w:rsidRPr="00DD469F">
        <w:rPr>
          <w:rFonts w:ascii="Arial" w:hAnsi="Arial" w:cs="Arial"/>
          <w:b/>
          <w:noProof/>
        </w:rPr>
        <w:t>6</w:t>
      </w:r>
      <w:r>
        <w:rPr>
          <w:rFonts w:ascii="Arial" w:hAnsi="Arial" w:cs="Arial"/>
          <w:noProof/>
        </w:rPr>
        <w:t>:18-20.</w:t>
      </w:r>
      <w:bookmarkEnd w:id="53"/>
    </w:p>
    <w:p w:rsidR="00BD084C" w:rsidRDefault="00BD084C" w:rsidP="0085034D">
      <w:pPr>
        <w:pStyle w:val="NoSpacing"/>
        <w:ind w:left="720" w:hanging="720"/>
        <w:jc w:val="both"/>
        <w:rPr>
          <w:rFonts w:ascii="Arial" w:hAnsi="Arial" w:cs="Arial"/>
          <w:noProof/>
        </w:rPr>
      </w:pPr>
      <w:bookmarkStart w:id="54" w:name="_ENREF_54"/>
      <w:r>
        <w:rPr>
          <w:rFonts w:ascii="Arial" w:hAnsi="Arial" w:cs="Arial"/>
          <w:noProof/>
        </w:rPr>
        <w:t>54</w:t>
      </w:r>
      <w:r>
        <w:rPr>
          <w:rFonts w:ascii="Arial" w:hAnsi="Arial" w:cs="Arial"/>
          <w:noProof/>
        </w:rPr>
        <w:tab/>
        <w:t>Kreymann KG, Berger MM, Deutz NE</w:t>
      </w:r>
      <w:r w:rsidRPr="00DD469F">
        <w:rPr>
          <w:rFonts w:ascii="Arial" w:hAnsi="Arial" w:cs="Arial"/>
          <w:i/>
          <w:noProof/>
        </w:rPr>
        <w:t xml:space="preserve"> et al.</w:t>
      </w:r>
      <w:r>
        <w:rPr>
          <w:rFonts w:ascii="Arial" w:hAnsi="Arial" w:cs="Arial"/>
          <w:noProof/>
        </w:rPr>
        <w:t xml:space="preserve"> ESPEN guidelines on enteral nutrition: Intensive care. </w:t>
      </w:r>
      <w:r w:rsidRPr="00DD469F">
        <w:rPr>
          <w:rFonts w:ascii="Arial" w:hAnsi="Arial" w:cs="Arial"/>
          <w:i/>
          <w:noProof/>
        </w:rPr>
        <w:t>Clin Nutr</w:t>
      </w:r>
      <w:r>
        <w:rPr>
          <w:rFonts w:ascii="Arial" w:hAnsi="Arial" w:cs="Arial"/>
          <w:noProof/>
        </w:rPr>
        <w:t xml:space="preserve"> 2006; </w:t>
      </w:r>
      <w:r w:rsidRPr="00DD469F">
        <w:rPr>
          <w:rFonts w:ascii="Arial" w:hAnsi="Arial" w:cs="Arial"/>
          <w:b/>
          <w:noProof/>
        </w:rPr>
        <w:t>25</w:t>
      </w:r>
      <w:r>
        <w:rPr>
          <w:rFonts w:ascii="Arial" w:hAnsi="Arial" w:cs="Arial"/>
          <w:noProof/>
        </w:rPr>
        <w:t>:210-23.</w:t>
      </w:r>
      <w:bookmarkEnd w:id="54"/>
    </w:p>
    <w:p w:rsidR="00BD084C" w:rsidRDefault="00BD084C" w:rsidP="0085034D">
      <w:pPr>
        <w:pStyle w:val="NoSpacing"/>
        <w:ind w:left="720" w:hanging="720"/>
        <w:jc w:val="both"/>
        <w:rPr>
          <w:rFonts w:ascii="Arial" w:hAnsi="Arial" w:cs="Arial"/>
          <w:noProof/>
        </w:rPr>
      </w:pPr>
      <w:bookmarkStart w:id="55" w:name="_ENREF_55"/>
      <w:r>
        <w:rPr>
          <w:rFonts w:ascii="Arial" w:hAnsi="Arial" w:cs="Arial"/>
          <w:noProof/>
        </w:rPr>
        <w:t>55</w:t>
      </w:r>
      <w:r>
        <w:rPr>
          <w:rFonts w:ascii="Arial" w:hAnsi="Arial" w:cs="Arial"/>
          <w:noProof/>
        </w:rPr>
        <w:tab/>
        <w:t xml:space="preserve">World Health Organization. </w:t>
      </w:r>
      <w:r w:rsidRPr="00DD469F">
        <w:rPr>
          <w:rFonts w:ascii="Arial" w:hAnsi="Arial" w:cs="Arial"/>
          <w:i/>
          <w:noProof/>
        </w:rPr>
        <w:t>Cancer pain relief, with a guide to opioid availability</w:t>
      </w:r>
      <w:r>
        <w:rPr>
          <w:rFonts w:ascii="Arial" w:hAnsi="Arial" w:cs="Arial"/>
          <w:noProof/>
        </w:rPr>
        <w:t>. Geneva: WHO. 1996.</w:t>
      </w:r>
      <w:bookmarkEnd w:id="55"/>
    </w:p>
    <w:p w:rsidR="00BD084C" w:rsidRDefault="00BD084C" w:rsidP="0085034D">
      <w:pPr>
        <w:pStyle w:val="NoSpacing"/>
        <w:ind w:left="720" w:hanging="720"/>
        <w:jc w:val="both"/>
        <w:rPr>
          <w:rFonts w:ascii="Arial" w:hAnsi="Arial" w:cs="Arial"/>
          <w:noProof/>
        </w:rPr>
      </w:pPr>
      <w:bookmarkStart w:id="56" w:name="_ENREF_56"/>
      <w:r>
        <w:rPr>
          <w:rFonts w:ascii="Arial" w:hAnsi="Arial" w:cs="Arial"/>
          <w:noProof/>
        </w:rPr>
        <w:t>56</w:t>
      </w:r>
      <w:r>
        <w:rPr>
          <w:rFonts w:ascii="Arial" w:hAnsi="Arial" w:cs="Arial"/>
          <w:noProof/>
        </w:rPr>
        <w:tab/>
        <w:t>Valeyrie-Allanore L, Ingen-Housz-Oro S, Colin A</w:t>
      </w:r>
      <w:r w:rsidRPr="00DD469F">
        <w:rPr>
          <w:rFonts w:ascii="Arial" w:hAnsi="Arial" w:cs="Arial"/>
          <w:i/>
          <w:noProof/>
        </w:rPr>
        <w:t xml:space="preserve"> et al.</w:t>
      </w:r>
      <w:r>
        <w:rPr>
          <w:rFonts w:ascii="Arial" w:hAnsi="Arial" w:cs="Arial"/>
          <w:noProof/>
        </w:rPr>
        <w:t xml:space="preserve"> [Pain management in Stevens-Johnson syndrome, toxic epidermal necrolysis and other blistering diseases]. </w:t>
      </w:r>
      <w:r w:rsidRPr="00DD469F">
        <w:rPr>
          <w:rFonts w:ascii="Arial" w:hAnsi="Arial" w:cs="Arial"/>
          <w:i/>
          <w:noProof/>
        </w:rPr>
        <w:t>Ann Dermatol Venereol</w:t>
      </w:r>
      <w:r>
        <w:rPr>
          <w:rFonts w:ascii="Arial" w:hAnsi="Arial" w:cs="Arial"/>
          <w:noProof/>
        </w:rPr>
        <w:t xml:space="preserve"> 2011; </w:t>
      </w:r>
      <w:r w:rsidRPr="00DD469F">
        <w:rPr>
          <w:rFonts w:ascii="Arial" w:hAnsi="Arial" w:cs="Arial"/>
          <w:b/>
          <w:noProof/>
        </w:rPr>
        <w:t>138</w:t>
      </w:r>
      <w:r>
        <w:rPr>
          <w:rFonts w:ascii="Arial" w:hAnsi="Arial" w:cs="Arial"/>
          <w:noProof/>
        </w:rPr>
        <w:t>:694-7.</w:t>
      </w:r>
      <w:bookmarkEnd w:id="56"/>
    </w:p>
    <w:p w:rsidR="00BD084C" w:rsidRDefault="00BD084C" w:rsidP="0085034D">
      <w:pPr>
        <w:pStyle w:val="NoSpacing"/>
        <w:ind w:left="720" w:hanging="720"/>
        <w:jc w:val="both"/>
        <w:rPr>
          <w:rFonts w:ascii="Arial" w:hAnsi="Arial" w:cs="Arial"/>
          <w:noProof/>
        </w:rPr>
      </w:pPr>
      <w:bookmarkStart w:id="57" w:name="_ENREF_57"/>
      <w:r>
        <w:rPr>
          <w:rFonts w:ascii="Arial" w:hAnsi="Arial" w:cs="Arial"/>
          <w:noProof/>
        </w:rPr>
        <w:t>57</w:t>
      </w:r>
      <w:r>
        <w:rPr>
          <w:rFonts w:ascii="Arial" w:hAnsi="Arial" w:cs="Arial"/>
          <w:noProof/>
        </w:rPr>
        <w:tab/>
        <w:t xml:space="preserve">Yang Y-X, Lewis JD. Prevention and treatment of stress ulcers in critically ill patients. </w:t>
      </w:r>
      <w:r w:rsidRPr="00DD469F">
        <w:rPr>
          <w:rFonts w:ascii="Arial" w:hAnsi="Arial" w:cs="Arial"/>
          <w:i/>
          <w:noProof/>
        </w:rPr>
        <w:t>Semin Gastrointest Dis</w:t>
      </w:r>
      <w:r>
        <w:rPr>
          <w:rFonts w:ascii="Arial" w:hAnsi="Arial" w:cs="Arial"/>
          <w:noProof/>
        </w:rPr>
        <w:t xml:space="preserve"> 2003; </w:t>
      </w:r>
      <w:r w:rsidRPr="00DD469F">
        <w:rPr>
          <w:rFonts w:ascii="Arial" w:hAnsi="Arial" w:cs="Arial"/>
          <w:b/>
          <w:noProof/>
        </w:rPr>
        <w:t>14</w:t>
      </w:r>
      <w:r>
        <w:rPr>
          <w:rFonts w:ascii="Arial" w:hAnsi="Arial" w:cs="Arial"/>
          <w:noProof/>
        </w:rPr>
        <w:t>:11-9.</w:t>
      </w:r>
      <w:bookmarkEnd w:id="57"/>
    </w:p>
    <w:p w:rsidR="00BD084C" w:rsidRDefault="00BD084C" w:rsidP="0085034D">
      <w:pPr>
        <w:pStyle w:val="NoSpacing"/>
        <w:ind w:left="720" w:hanging="720"/>
        <w:jc w:val="both"/>
        <w:rPr>
          <w:rFonts w:ascii="Arial" w:hAnsi="Arial" w:cs="Arial"/>
          <w:noProof/>
        </w:rPr>
      </w:pPr>
      <w:bookmarkStart w:id="58" w:name="_ENREF_58"/>
      <w:r>
        <w:rPr>
          <w:rFonts w:ascii="Arial" w:hAnsi="Arial" w:cs="Arial"/>
          <w:noProof/>
        </w:rPr>
        <w:t>58</w:t>
      </w:r>
      <w:r>
        <w:rPr>
          <w:rFonts w:ascii="Arial" w:hAnsi="Arial" w:cs="Arial"/>
          <w:noProof/>
        </w:rPr>
        <w:tab/>
        <w:t>de Sica-Chapman A, Williams G, Soni N</w:t>
      </w:r>
      <w:r w:rsidRPr="00DD469F">
        <w:rPr>
          <w:rFonts w:ascii="Arial" w:hAnsi="Arial" w:cs="Arial"/>
          <w:i/>
          <w:noProof/>
        </w:rPr>
        <w:t xml:space="preserve"> et al.</w:t>
      </w:r>
      <w:r>
        <w:rPr>
          <w:rFonts w:ascii="Arial" w:hAnsi="Arial" w:cs="Arial"/>
          <w:noProof/>
        </w:rPr>
        <w:t xml:space="preserve"> Granulocyte colony-stimulating factor in toxic epidermal necrolysis (TEN) and Chelsea &amp; Westminster TEN protocol. </w:t>
      </w:r>
      <w:r w:rsidRPr="00DD469F">
        <w:rPr>
          <w:rFonts w:ascii="Arial" w:hAnsi="Arial" w:cs="Arial"/>
          <w:i/>
          <w:noProof/>
        </w:rPr>
        <w:t>Br J Dermatol</w:t>
      </w:r>
      <w:r>
        <w:rPr>
          <w:rFonts w:ascii="Arial" w:hAnsi="Arial" w:cs="Arial"/>
          <w:noProof/>
        </w:rPr>
        <w:t xml:space="preserve"> 2010; </w:t>
      </w:r>
      <w:r w:rsidRPr="00DD469F">
        <w:rPr>
          <w:rFonts w:ascii="Arial" w:hAnsi="Arial" w:cs="Arial"/>
          <w:b/>
          <w:noProof/>
        </w:rPr>
        <w:t>162</w:t>
      </w:r>
      <w:r>
        <w:rPr>
          <w:rFonts w:ascii="Arial" w:hAnsi="Arial" w:cs="Arial"/>
          <w:noProof/>
        </w:rPr>
        <w:t>:860-5.</w:t>
      </w:r>
      <w:bookmarkEnd w:id="58"/>
    </w:p>
    <w:p w:rsidR="00BD084C" w:rsidRDefault="00BD084C" w:rsidP="0085034D">
      <w:pPr>
        <w:pStyle w:val="NoSpacing"/>
        <w:ind w:left="720" w:hanging="720"/>
        <w:jc w:val="both"/>
        <w:rPr>
          <w:rFonts w:ascii="Arial" w:hAnsi="Arial" w:cs="Arial"/>
          <w:noProof/>
        </w:rPr>
      </w:pPr>
      <w:bookmarkStart w:id="59" w:name="_ENREF_59"/>
      <w:r>
        <w:rPr>
          <w:rFonts w:ascii="Arial" w:hAnsi="Arial" w:cs="Arial"/>
          <w:noProof/>
        </w:rPr>
        <w:t>59</w:t>
      </w:r>
      <w:r>
        <w:rPr>
          <w:rFonts w:ascii="Arial" w:hAnsi="Arial" w:cs="Arial"/>
          <w:noProof/>
        </w:rPr>
        <w:tab/>
        <w:t>Gueudry J, Roujeau JC, Binaghi M</w:t>
      </w:r>
      <w:r w:rsidRPr="00DD469F">
        <w:rPr>
          <w:rFonts w:ascii="Arial" w:hAnsi="Arial" w:cs="Arial"/>
          <w:i/>
          <w:noProof/>
        </w:rPr>
        <w:t xml:space="preserve"> et al.</w:t>
      </w:r>
      <w:r>
        <w:rPr>
          <w:rFonts w:ascii="Arial" w:hAnsi="Arial" w:cs="Arial"/>
          <w:noProof/>
        </w:rPr>
        <w:t xml:space="preserve"> Risk factors for the development of ocular complications of Stevens-Johnson syndrome and toxic epidermal necrolysis. </w:t>
      </w:r>
      <w:r w:rsidRPr="00DD469F">
        <w:rPr>
          <w:rFonts w:ascii="Arial" w:hAnsi="Arial" w:cs="Arial"/>
          <w:i/>
          <w:noProof/>
        </w:rPr>
        <w:t>Arch Dermatol</w:t>
      </w:r>
      <w:r>
        <w:rPr>
          <w:rFonts w:ascii="Arial" w:hAnsi="Arial" w:cs="Arial"/>
          <w:noProof/>
        </w:rPr>
        <w:t xml:space="preserve"> 2009; </w:t>
      </w:r>
      <w:r w:rsidRPr="00DD469F">
        <w:rPr>
          <w:rFonts w:ascii="Arial" w:hAnsi="Arial" w:cs="Arial"/>
          <w:b/>
          <w:noProof/>
        </w:rPr>
        <w:t>145</w:t>
      </w:r>
      <w:r>
        <w:rPr>
          <w:rFonts w:ascii="Arial" w:hAnsi="Arial" w:cs="Arial"/>
          <w:noProof/>
        </w:rPr>
        <w:t>:157-62.</w:t>
      </w:r>
      <w:bookmarkEnd w:id="59"/>
    </w:p>
    <w:p w:rsidR="00BD084C" w:rsidRDefault="00BD084C" w:rsidP="0085034D">
      <w:pPr>
        <w:pStyle w:val="NoSpacing"/>
        <w:ind w:left="720" w:hanging="720"/>
        <w:jc w:val="both"/>
        <w:rPr>
          <w:rFonts w:ascii="Arial" w:hAnsi="Arial" w:cs="Arial"/>
          <w:noProof/>
        </w:rPr>
      </w:pPr>
      <w:bookmarkStart w:id="60" w:name="_ENREF_60"/>
      <w:r>
        <w:rPr>
          <w:rFonts w:ascii="Arial" w:hAnsi="Arial" w:cs="Arial"/>
          <w:noProof/>
        </w:rPr>
        <w:t>60</w:t>
      </w:r>
      <w:r>
        <w:rPr>
          <w:rFonts w:ascii="Arial" w:hAnsi="Arial" w:cs="Arial"/>
          <w:noProof/>
        </w:rPr>
        <w:tab/>
        <w:t>Power WJ, Ghoraishi M, Merayo-Lloves J</w:t>
      </w:r>
      <w:r w:rsidRPr="00DD469F">
        <w:rPr>
          <w:rFonts w:ascii="Arial" w:hAnsi="Arial" w:cs="Arial"/>
          <w:i/>
          <w:noProof/>
        </w:rPr>
        <w:t xml:space="preserve"> et al.</w:t>
      </w:r>
      <w:r>
        <w:rPr>
          <w:rFonts w:ascii="Arial" w:hAnsi="Arial" w:cs="Arial"/>
          <w:noProof/>
        </w:rPr>
        <w:t xml:space="preserve"> Analysis of the acute ophthalmic manifestations of the erythema multiforme/Stevens-Johnson syndrome/toxic epidermal necrolysis disease spectrum. </w:t>
      </w:r>
      <w:r w:rsidRPr="00DD469F">
        <w:rPr>
          <w:rFonts w:ascii="Arial" w:hAnsi="Arial" w:cs="Arial"/>
          <w:i/>
          <w:noProof/>
        </w:rPr>
        <w:t>Ophthalmology</w:t>
      </w:r>
      <w:r>
        <w:rPr>
          <w:rFonts w:ascii="Arial" w:hAnsi="Arial" w:cs="Arial"/>
          <w:noProof/>
        </w:rPr>
        <w:t xml:space="preserve"> 1995; </w:t>
      </w:r>
      <w:r w:rsidRPr="00DD469F">
        <w:rPr>
          <w:rFonts w:ascii="Arial" w:hAnsi="Arial" w:cs="Arial"/>
          <w:b/>
          <w:noProof/>
        </w:rPr>
        <w:t>102</w:t>
      </w:r>
      <w:r>
        <w:rPr>
          <w:rFonts w:ascii="Arial" w:hAnsi="Arial" w:cs="Arial"/>
          <w:noProof/>
        </w:rPr>
        <w:t>:1669-76.</w:t>
      </w:r>
      <w:bookmarkEnd w:id="60"/>
    </w:p>
    <w:p w:rsidR="00BD084C" w:rsidRDefault="00BD084C" w:rsidP="0085034D">
      <w:pPr>
        <w:pStyle w:val="NoSpacing"/>
        <w:ind w:left="720" w:hanging="720"/>
        <w:jc w:val="both"/>
        <w:rPr>
          <w:rFonts w:ascii="Arial" w:hAnsi="Arial" w:cs="Arial"/>
          <w:noProof/>
        </w:rPr>
      </w:pPr>
      <w:bookmarkStart w:id="61" w:name="_ENREF_61"/>
      <w:r>
        <w:rPr>
          <w:rFonts w:ascii="Arial" w:hAnsi="Arial" w:cs="Arial"/>
          <w:noProof/>
        </w:rPr>
        <w:t>61</w:t>
      </w:r>
      <w:r>
        <w:rPr>
          <w:rFonts w:ascii="Arial" w:hAnsi="Arial" w:cs="Arial"/>
          <w:noProof/>
        </w:rPr>
        <w:tab/>
        <w:t>Yip LW, Thong BY, Lim J</w:t>
      </w:r>
      <w:r w:rsidRPr="00DD469F">
        <w:rPr>
          <w:rFonts w:ascii="Arial" w:hAnsi="Arial" w:cs="Arial"/>
          <w:i/>
          <w:noProof/>
        </w:rPr>
        <w:t xml:space="preserve"> et al.</w:t>
      </w:r>
      <w:r>
        <w:rPr>
          <w:rFonts w:ascii="Arial" w:hAnsi="Arial" w:cs="Arial"/>
          <w:noProof/>
        </w:rPr>
        <w:t xml:space="preserve"> Ocular manifestations and complications of Stevens-Johnson syndrome and toxic epidermal necrolysis: an Asian series. </w:t>
      </w:r>
      <w:r w:rsidRPr="00DD469F">
        <w:rPr>
          <w:rFonts w:ascii="Arial" w:hAnsi="Arial" w:cs="Arial"/>
          <w:i/>
          <w:noProof/>
        </w:rPr>
        <w:t>Allergy</w:t>
      </w:r>
      <w:r>
        <w:rPr>
          <w:rFonts w:ascii="Arial" w:hAnsi="Arial" w:cs="Arial"/>
          <w:noProof/>
        </w:rPr>
        <w:t xml:space="preserve"> 2007; </w:t>
      </w:r>
      <w:r w:rsidRPr="00DD469F">
        <w:rPr>
          <w:rFonts w:ascii="Arial" w:hAnsi="Arial" w:cs="Arial"/>
          <w:b/>
          <w:noProof/>
        </w:rPr>
        <w:t>62</w:t>
      </w:r>
      <w:r>
        <w:rPr>
          <w:rFonts w:ascii="Arial" w:hAnsi="Arial" w:cs="Arial"/>
          <w:noProof/>
        </w:rPr>
        <w:t>:527-31.</w:t>
      </w:r>
      <w:bookmarkEnd w:id="61"/>
    </w:p>
    <w:p w:rsidR="00BD084C" w:rsidRDefault="00BD084C" w:rsidP="0085034D">
      <w:pPr>
        <w:pStyle w:val="NoSpacing"/>
        <w:ind w:left="720" w:hanging="720"/>
        <w:jc w:val="both"/>
        <w:rPr>
          <w:rFonts w:ascii="Arial" w:hAnsi="Arial" w:cs="Arial"/>
          <w:noProof/>
        </w:rPr>
      </w:pPr>
      <w:bookmarkStart w:id="62" w:name="_ENREF_62"/>
      <w:r>
        <w:rPr>
          <w:rFonts w:ascii="Arial" w:hAnsi="Arial" w:cs="Arial"/>
          <w:noProof/>
        </w:rPr>
        <w:lastRenderedPageBreak/>
        <w:t>62</w:t>
      </w:r>
      <w:r>
        <w:rPr>
          <w:rFonts w:ascii="Arial" w:hAnsi="Arial" w:cs="Arial"/>
          <w:noProof/>
        </w:rPr>
        <w:tab/>
        <w:t>Sotozono C, Ueta M, Nakatani E</w:t>
      </w:r>
      <w:r w:rsidRPr="00DD469F">
        <w:rPr>
          <w:rFonts w:ascii="Arial" w:hAnsi="Arial" w:cs="Arial"/>
          <w:i/>
          <w:noProof/>
        </w:rPr>
        <w:t xml:space="preserve"> et al.</w:t>
      </w:r>
      <w:r>
        <w:rPr>
          <w:rFonts w:ascii="Arial" w:hAnsi="Arial" w:cs="Arial"/>
          <w:noProof/>
        </w:rPr>
        <w:t xml:space="preserve"> Predictive Factors associated with Acute Ocular Involvement in Stevens-Johnson Syndrome and Toxic Epidermal Necrolysis. </w:t>
      </w:r>
      <w:r w:rsidRPr="00DD469F">
        <w:rPr>
          <w:rFonts w:ascii="Arial" w:hAnsi="Arial" w:cs="Arial"/>
          <w:i/>
          <w:noProof/>
        </w:rPr>
        <w:t>Am J Ophthalmol</w:t>
      </w:r>
      <w:r>
        <w:rPr>
          <w:rFonts w:ascii="Arial" w:hAnsi="Arial" w:cs="Arial"/>
          <w:noProof/>
        </w:rPr>
        <w:t xml:space="preserve"> 2015.</w:t>
      </w:r>
      <w:bookmarkEnd w:id="62"/>
    </w:p>
    <w:p w:rsidR="00BD084C" w:rsidRDefault="00BD084C" w:rsidP="0085034D">
      <w:pPr>
        <w:pStyle w:val="NoSpacing"/>
        <w:ind w:left="720" w:hanging="720"/>
        <w:jc w:val="both"/>
        <w:rPr>
          <w:rFonts w:ascii="Arial" w:hAnsi="Arial" w:cs="Arial"/>
          <w:noProof/>
        </w:rPr>
      </w:pPr>
      <w:bookmarkStart w:id="63" w:name="_ENREF_63"/>
      <w:r>
        <w:rPr>
          <w:rFonts w:ascii="Arial" w:hAnsi="Arial" w:cs="Arial"/>
          <w:noProof/>
        </w:rPr>
        <w:t>63</w:t>
      </w:r>
      <w:r>
        <w:rPr>
          <w:rFonts w:ascii="Arial" w:hAnsi="Arial" w:cs="Arial"/>
          <w:noProof/>
        </w:rPr>
        <w:tab/>
        <w:t>Kim DH, Yoon KC, Seo KY</w:t>
      </w:r>
      <w:r w:rsidRPr="00DD469F">
        <w:rPr>
          <w:rFonts w:ascii="Arial" w:hAnsi="Arial" w:cs="Arial"/>
          <w:i/>
          <w:noProof/>
        </w:rPr>
        <w:t xml:space="preserve"> et al.</w:t>
      </w:r>
      <w:r>
        <w:rPr>
          <w:rFonts w:ascii="Arial" w:hAnsi="Arial" w:cs="Arial"/>
          <w:noProof/>
        </w:rPr>
        <w:t xml:space="preserve"> The role of systemic immunomodulatory treatment and prognostic factors on chronic ocular complications in Stevens-Johnson syndrome. </w:t>
      </w:r>
      <w:r w:rsidRPr="00DD469F">
        <w:rPr>
          <w:rFonts w:ascii="Arial" w:hAnsi="Arial" w:cs="Arial"/>
          <w:i/>
          <w:noProof/>
        </w:rPr>
        <w:t>Ophthalmology</w:t>
      </w:r>
      <w:r>
        <w:rPr>
          <w:rFonts w:ascii="Arial" w:hAnsi="Arial" w:cs="Arial"/>
          <w:noProof/>
        </w:rPr>
        <w:t xml:space="preserve"> 2015; </w:t>
      </w:r>
      <w:r w:rsidRPr="00DD469F">
        <w:rPr>
          <w:rFonts w:ascii="Arial" w:hAnsi="Arial" w:cs="Arial"/>
          <w:b/>
          <w:noProof/>
        </w:rPr>
        <w:t>122</w:t>
      </w:r>
      <w:r>
        <w:rPr>
          <w:rFonts w:ascii="Arial" w:hAnsi="Arial" w:cs="Arial"/>
          <w:noProof/>
        </w:rPr>
        <w:t>:254-64.</w:t>
      </w:r>
      <w:bookmarkEnd w:id="63"/>
    </w:p>
    <w:p w:rsidR="00BD084C" w:rsidRDefault="00BD084C" w:rsidP="0085034D">
      <w:pPr>
        <w:pStyle w:val="NoSpacing"/>
        <w:ind w:left="720" w:hanging="720"/>
        <w:jc w:val="both"/>
        <w:rPr>
          <w:rFonts w:ascii="Arial" w:hAnsi="Arial" w:cs="Arial"/>
          <w:noProof/>
        </w:rPr>
      </w:pPr>
      <w:bookmarkStart w:id="64" w:name="_ENREF_64"/>
      <w:r>
        <w:rPr>
          <w:rFonts w:ascii="Arial" w:hAnsi="Arial" w:cs="Arial"/>
          <w:noProof/>
        </w:rPr>
        <w:t>64</w:t>
      </w:r>
      <w:r>
        <w:rPr>
          <w:rFonts w:ascii="Arial" w:hAnsi="Arial" w:cs="Arial"/>
          <w:noProof/>
        </w:rPr>
        <w:tab/>
        <w:t>Koroloff N, Boots R, Lipman J</w:t>
      </w:r>
      <w:r w:rsidRPr="00DD469F">
        <w:rPr>
          <w:rFonts w:ascii="Arial" w:hAnsi="Arial" w:cs="Arial"/>
          <w:i/>
          <w:noProof/>
        </w:rPr>
        <w:t xml:space="preserve"> et al.</w:t>
      </w:r>
      <w:r>
        <w:rPr>
          <w:rFonts w:ascii="Arial" w:hAnsi="Arial" w:cs="Arial"/>
          <w:noProof/>
        </w:rPr>
        <w:t xml:space="preserve"> A randomised controlled study of the efficacy of hypromellose and Lacri-Lube combination versus polyethylene/Cling wrap to prevent corneal epithelial breakdown in the semiconscious intensive care patient. </w:t>
      </w:r>
      <w:r w:rsidRPr="00DD469F">
        <w:rPr>
          <w:rFonts w:ascii="Arial" w:hAnsi="Arial" w:cs="Arial"/>
          <w:i/>
          <w:noProof/>
        </w:rPr>
        <w:t>Intensive Care Med</w:t>
      </w:r>
      <w:r>
        <w:rPr>
          <w:rFonts w:ascii="Arial" w:hAnsi="Arial" w:cs="Arial"/>
          <w:noProof/>
        </w:rPr>
        <w:t xml:space="preserve"> 2004; </w:t>
      </w:r>
      <w:r w:rsidRPr="00DD469F">
        <w:rPr>
          <w:rFonts w:ascii="Arial" w:hAnsi="Arial" w:cs="Arial"/>
          <w:b/>
          <w:noProof/>
        </w:rPr>
        <w:t>30</w:t>
      </w:r>
      <w:r>
        <w:rPr>
          <w:rFonts w:ascii="Arial" w:hAnsi="Arial" w:cs="Arial"/>
          <w:noProof/>
        </w:rPr>
        <w:t>:1122-6.</w:t>
      </w:r>
      <w:bookmarkEnd w:id="64"/>
    </w:p>
    <w:p w:rsidR="00BD084C" w:rsidRDefault="00BD084C" w:rsidP="0085034D">
      <w:pPr>
        <w:pStyle w:val="NoSpacing"/>
        <w:ind w:left="720" w:hanging="720"/>
        <w:jc w:val="both"/>
        <w:rPr>
          <w:rFonts w:ascii="Arial" w:hAnsi="Arial" w:cs="Arial"/>
          <w:noProof/>
        </w:rPr>
      </w:pPr>
      <w:bookmarkStart w:id="65" w:name="_ENREF_65"/>
      <w:r>
        <w:rPr>
          <w:rFonts w:ascii="Arial" w:hAnsi="Arial" w:cs="Arial"/>
          <w:noProof/>
        </w:rPr>
        <w:t>65</w:t>
      </w:r>
      <w:r>
        <w:rPr>
          <w:rFonts w:ascii="Arial" w:hAnsi="Arial" w:cs="Arial"/>
          <w:noProof/>
        </w:rPr>
        <w:tab/>
        <w:t xml:space="preserve">Rosenberg JB, Eisen LA. Eye care in the intensive care unit: narrative review and meta-analysis. </w:t>
      </w:r>
      <w:r w:rsidRPr="00DD469F">
        <w:rPr>
          <w:rFonts w:ascii="Arial" w:hAnsi="Arial" w:cs="Arial"/>
          <w:i/>
          <w:noProof/>
        </w:rPr>
        <w:t>Crit Care Med</w:t>
      </w:r>
      <w:r>
        <w:rPr>
          <w:rFonts w:ascii="Arial" w:hAnsi="Arial" w:cs="Arial"/>
          <w:noProof/>
        </w:rPr>
        <w:t xml:space="preserve"> 2008; </w:t>
      </w:r>
      <w:r w:rsidRPr="00DD469F">
        <w:rPr>
          <w:rFonts w:ascii="Arial" w:hAnsi="Arial" w:cs="Arial"/>
          <w:b/>
          <w:noProof/>
        </w:rPr>
        <w:t>36</w:t>
      </w:r>
      <w:r>
        <w:rPr>
          <w:rFonts w:ascii="Arial" w:hAnsi="Arial" w:cs="Arial"/>
          <w:noProof/>
        </w:rPr>
        <w:t>:3151-5.</w:t>
      </w:r>
      <w:bookmarkEnd w:id="65"/>
    </w:p>
    <w:p w:rsidR="00BD084C" w:rsidRDefault="00BD084C" w:rsidP="0085034D">
      <w:pPr>
        <w:pStyle w:val="NoSpacing"/>
        <w:ind w:left="720" w:hanging="720"/>
        <w:jc w:val="both"/>
        <w:rPr>
          <w:rFonts w:ascii="Arial" w:hAnsi="Arial" w:cs="Arial"/>
          <w:noProof/>
        </w:rPr>
      </w:pPr>
      <w:bookmarkStart w:id="66" w:name="_ENREF_66"/>
      <w:r>
        <w:rPr>
          <w:rFonts w:ascii="Arial" w:hAnsi="Arial" w:cs="Arial"/>
          <w:noProof/>
        </w:rPr>
        <w:t>66</w:t>
      </w:r>
      <w:r>
        <w:rPr>
          <w:rFonts w:ascii="Arial" w:hAnsi="Arial" w:cs="Arial"/>
          <w:noProof/>
        </w:rPr>
        <w:tab/>
        <w:t>Sotozono C, Ueta M, Koizumi N</w:t>
      </w:r>
      <w:r w:rsidRPr="00DD469F">
        <w:rPr>
          <w:rFonts w:ascii="Arial" w:hAnsi="Arial" w:cs="Arial"/>
          <w:i/>
          <w:noProof/>
        </w:rPr>
        <w:t xml:space="preserve"> et al.</w:t>
      </w:r>
      <w:r>
        <w:rPr>
          <w:rFonts w:ascii="Arial" w:hAnsi="Arial" w:cs="Arial"/>
          <w:noProof/>
        </w:rPr>
        <w:t xml:space="preserve"> Diagnosis and treatment of Stevens-Johnson syndrome and toxic epidermal necrolysis with ocular complications. </w:t>
      </w:r>
      <w:r w:rsidRPr="00DD469F">
        <w:rPr>
          <w:rFonts w:ascii="Arial" w:hAnsi="Arial" w:cs="Arial"/>
          <w:i/>
          <w:noProof/>
        </w:rPr>
        <w:t>Ophthalmology</w:t>
      </w:r>
      <w:r>
        <w:rPr>
          <w:rFonts w:ascii="Arial" w:hAnsi="Arial" w:cs="Arial"/>
          <w:noProof/>
        </w:rPr>
        <w:t xml:space="preserve"> 2009; </w:t>
      </w:r>
      <w:r w:rsidRPr="00DD469F">
        <w:rPr>
          <w:rFonts w:ascii="Arial" w:hAnsi="Arial" w:cs="Arial"/>
          <w:b/>
          <w:noProof/>
        </w:rPr>
        <w:t>116</w:t>
      </w:r>
      <w:r>
        <w:rPr>
          <w:rFonts w:ascii="Arial" w:hAnsi="Arial" w:cs="Arial"/>
          <w:noProof/>
        </w:rPr>
        <w:t>:685-90.</w:t>
      </w:r>
      <w:bookmarkEnd w:id="66"/>
    </w:p>
    <w:p w:rsidR="00BD084C" w:rsidRDefault="00BD084C" w:rsidP="0085034D">
      <w:pPr>
        <w:pStyle w:val="NoSpacing"/>
        <w:ind w:left="720" w:hanging="720"/>
        <w:jc w:val="both"/>
        <w:rPr>
          <w:rFonts w:ascii="Arial" w:hAnsi="Arial" w:cs="Arial"/>
          <w:noProof/>
        </w:rPr>
      </w:pPr>
      <w:bookmarkStart w:id="67" w:name="_ENREF_67"/>
      <w:r>
        <w:rPr>
          <w:rFonts w:ascii="Arial" w:hAnsi="Arial" w:cs="Arial"/>
          <w:noProof/>
        </w:rPr>
        <w:t>67</w:t>
      </w:r>
      <w:r>
        <w:rPr>
          <w:rFonts w:ascii="Arial" w:hAnsi="Arial" w:cs="Arial"/>
          <w:noProof/>
        </w:rPr>
        <w:tab/>
        <w:t>Araki Y, Sotozono C, Inatomi T</w:t>
      </w:r>
      <w:r w:rsidRPr="00DD469F">
        <w:rPr>
          <w:rFonts w:ascii="Arial" w:hAnsi="Arial" w:cs="Arial"/>
          <w:i/>
          <w:noProof/>
        </w:rPr>
        <w:t xml:space="preserve"> et al.</w:t>
      </w:r>
      <w:r>
        <w:rPr>
          <w:rFonts w:ascii="Arial" w:hAnsi="Arial" w:cs="Arial"/>
          <w:noProof/>
        </w:rPr>
        <w:t xml:space="preserve"> Successful treatment of Stevens-Johnson syndrome with steroid pulse therapy at disease onset. </w:t>
      </w:r>
      <w:r w:rsidRPr="00DD469F">
        <w:rPr>
          <w:rFonts w:ascii="Arial" w:hAnsi="Arial" w:cs="Arial"/>
          <w:i/>
          <w:noProof/>
        </w:rPr>
        <w:t>Am J Ophthalmol</w:t>
      </w:r>
      <w:r>
        <w:rPr>
          <w:rFonts w:ascii="Arial" w:hAnsi="Arial" w:cs="Arial"/>
          <w:noProof/>
        </w:rPr>
        <w:t xml:space="preserve"> 2009; </w:t>
      </w:r>
      <w:r w:rsidRPr="00DD469F">
        <w:rPr>
          <w:rFonts w:ascii="Arial" w:hAnsi="Arial" w:cs="Arial"/>
          <w:b/>
          <w:noProof/>
        </w:rPr>
        <w:t>147</w:t>
      </w:r>
      <w:r>
        <w:rPr>
          <w:rFonts w:ascii="Arial" w:hAnsi="Arial" w:cs="Arial"/>
          <w:noProof/>
        </w:rPr>
        <w:t>:1004-11.</w:t>
      </w:r>
      <w:bookmarkEnd w:id="67"/>
    </w:p>
    <w:p w:rsidR="00BD084C" w:rsidRDefault="00BD084C" w:rsidP="0085034D">
      <w:pPr>
        <w:pStyle w:val="NoSpacing"/>
        <w:ind w:left="720" w:hanging="720"/>
        <w:jc w:val="both"/>
        <w:rPr>
          <w:rFonts w:ascii="Arial" w:hAnsi="Arial" w:cs="Arial"/>
          <w:noProof/>
        </w:rPr>
      </w:pPr>
      <w:bookmarkStart w:id="68" w:name="_ENREF_68"/>
      <w:r>
        <w:rPr>
          <w:rFonts w:ascii="Arial" w:hAnsi="Arial" w:cs="Arial"/>
          <w:noProof/>
        </w:rPr>
        <w:t>68</w:t>
      </w:r>
      <w:r>
        <w:rPr>
          <w:rFonts w:ascii="Arial" w:hAnsi="Arial" w:cs="Arial"/>
          <w:noProof/>
        </w:rPr>
        <w:tab/>
        <w:t>Yip LW, Thong BY, Tan AW</w:t>
      </w:r>
      <w:r w:rsidRPr="00DD469F">
        <w:rPr>
          <w:rFonts w:ascii="Arial" w:hAnsi="Arial" w:cs="Arial"/>
          <w:i/>
          <w:noProof/>
        </w:rPr>
        <w:t xml:space="preserve"> et al.</w:t>
      </w:r>
      <w:r>
        <w:rPr>
          <w:rFonts w:ascii="Arial" w:hAnsi="Arial" w:cs="Arial"/>
          <w:noProof/>
        </w:rPr>
        <w:t xml:space="preserve"> High-dose intravenous immunoglobulin in the treatment of toxic epidermal necrolysis: a study of ocular benefits. </w:t>
      </w:r>
      <w:r w:rsidRPr="00DD469F">
        <w:rPr>
          <w:rFonts w:ascii="Arial" w:hAnsi="Arial" w:cs="Arial"/>
          <w:i/>
          <w:noProof/>
        </w:rPr>
        <w:t>Eye</w:t>
      </w:r>
      <w:r>
        <w:rPr>
          <w:rFonts w:ascii="Arial" w:hAnsi="Arial" w:cs="Arial"/>
          <w:noProof/>
        </w:rPr>
        <w:t xml:space="preserve"> 2005; </w:t>
      </w:r>
      <w:r w:rsidRPr="00DD469F">
        <w:rPr>
          <w:rFonts w:ascii="Arial" w:hAnsi="Arial" w:cs="Arial"/>
          <w:b/>
          <w:noProof/>
        </w:rPr>
        <w:t>19</w:t>
      </w:r>
      <w:r>
        <w:rPr>
          <w:rFonts w:ascii="Arial" w:hAnsi="Arial" w:cs="Arial"/>
          <w:noProof/>
        </w:rPr>
        <w:t>:846-53.</w:t>
      </w:r>
      <w:bookmarkEnd w:id="68"/>
    </w:p>
    <w:p w:rsidR="00BD084C" w:rsidRDefault="00BD084C" w:rsidP="0085034D">
      <w:pPr>
        <w:pStyle w:val="NoSpacing"/>
        <w:ind w:left="720" w:hanging="720"/>
        <w:jc w:val="both"/>
        <w:rPr>
          <w:rFonts w:ascii="Arial" w:hAnsi="Arial" w:cs="Arial"/>
          <w:noProof/>
        </w:rPr>
      </w:pPr>
      <w:bookmarkStart w:id="69" w:name="_ENREF_69"/>
      <w:r>
        <w:rPr>
          <w:rFonts w:ascii="Arial" w:hAnsi="Arial" w:cs="Arial"/>
          <w:noProof/>
        </w:rPr>
        <w:t>69</w:t>
      </w:r>
      <w:r>
        <w:rPr>
          <w:rFonts w:ascii="Arial" w:hAnsi="Arial" w:cs="Arial"/>
          <w:noProof/>
        </w:rPr>
        <w:tab/>
        <w:t>John T, Foulks GN, John ME</w:t>
      </w:r>
      <w:r w:rsidRPr="00DD469F">
        <w:rPr>
          <w:rFonts w:ascii="Arial" w:hAnsi="Arial" w:cs="Arial"/>
          <w:i/>
          <w:noProof/>
        </w:rPr>
        <w:t xml:space="preserve"> et al.</w:t>
      </w:r>
      <w:r>
        <w:rPr>
          <w:rFonts w:ascii="Arial" w:hAnsi="Arial" w:cs="Arial"/>
          <w:noProof/>
        </w:rPr>
        <w:t xml:space="preserve"> Amniotic membrane in the surgical management of acute toxic epidermal necrolysis. </w:t>
      </w:r>
      <w:r w:rsidRPr="00DD469F">
        <w:rPr>
          <w:rFonts w:ascii="Arial" w:hAnsi="Arial" w:cs="Arial"/>
          <w:i/>
          <w:noProof/>
        </w:rPr>
        <w:t>Ophthalmology</w:t>
      </w:r>
      <w:r>
        <w:rPr>
          <w:rFonts w:ascii="Arial" w:hAnsi="Arial" w:cs="Arial"/>
          <w:noProof/>
        </w:rPr>
        <w:t xml:space="preserve"> 2002; </w:t>
      </w:r>
      <w:r w:rsidRPr="00DD469F">
        <w:rPr>
          <w:rFonts w:ascii="Arial" w:hAnsi="Arial" w:cs="Arial"/>
          <w:b/>
          <w:noProof/>
        </w:rPr>
        <w:t>109</w:t>
      </w:r>
      <w:r>
        <w:rPr>
          <w:rFonts w:ascii="Arial" w:hAnsi="Arial" w:cs="Arial"/>
          <w:noProof/>
        </w:rPr>
        <w:t>:351-60.</w:t>
      </w:r>
      <w:bookmarkEnd w:id="69"/>
    </w:p>
    <w:p w:rsidR="00BD084C" w:rsidRDefault="00BD084C" w:rsidP="0085034D">
      <w:pPr>
        <w:pStyle w:val="NoSpacing"/>
        <w:ind w:left="720" w:hanging="720"/>
        <w:jc w:val="both"/>
        <w:rPr>
          <w:rFonts w:ascii="Arial" w:hAnsi="Arial" w:cs="Arial"/>
          <w:noProof/>
        </w:rPr>
      </w:pPr>
      <w:bookmarkStart w:id="70" w:name="_ENREF_70"/>
      <w:r>
        <w:rPr>
          <w:rFonts w:ascii="Arial" w:hAnsi="Arial" w:cs="Arial"/>
          <w:noProof/>
        </w:rPr>
        <w:t>70</w:t>
      </w:r>
      <w:r>
        <w:rPr>
          <w:rFonts w:ascii="Arial" w:hAnsi="Arial" w:cs="Arial"/>
          <w:noProof/>
        </w:rPr>
        <w:tab/>
        <w:t xml:space="preserve">Gregory DG. Treatment of acute Stevens-Johnson syndrome and toxic epidermal necrolysis using amniotic membrane: a review of 10 consecutive cases. </w:t>
      </w:r>
      <w:r w:rsidRPr="00DD469F">
        <w:rPr>
          <w:rFonts w:ascii="Arial" w:hAnsi="Arial" w:cs="Arial"/>
          <w:i/>
          <w:noProof/>
        </w:rPr>
        <w:t>Ophthalmology</w:t>
      </w:r>
      <w:r>
        <w:rPr>
          <w:rFonts w:ascii="Arial" w:hAnsi="Arial" w:cs="Arial"/>
          <w:noProof/>
        </w:rPr>
        <w:t xml:space="preserve"> 2011; </w:t>
      </w:r>
      <w:r w:rsidRPr="00DD469F">
        <w:rPr>
          <w:rFonts w:ascii="Arial" w:hAnsi="Arial" w:cs="Arial"/>
          <w:b/>
          <w:noProof/>
        </w:rPr>
        <w:t>118</w:t>
      </w:r>
      <w:r>
        <w:rPr>
          <w:rFonts w:ascii="Arial" w:hAnsi="Arial" w:cs="Arial"/>
          <w:noProof/>
        </w:rPr>
        <w:t>:908-14.</w:t>
      </w:r>
      <w:bookmarkEnd w:id="70"/>
    </w:p>
    <w:p w:rsidR="00BD084C" w:rsidRDefault="00BD084C" w:rsidP="0085034D">
      <w:pPr>
        <w:pStyle w:val="NoSpacing"/>
        <w:ind w:left="720" w:hanging="720"/>
        <w:jc w:val="both"/>
        <w:rPr>
          <w:rFonts w:ascii="Arial" w:hAnsi="Arial" w:cs="Arial"/>
          <w:noProof/>
        </w:rPr>
      </w:pPr>
      <w:bookmarkStart w:id="71" w:name="_ENREF_71"/>
      <w:r>
        <w:rPr>
          <w:rFonts w:ascii="Arial" w:hAnsi="Arial" w:cs="Arial"/>
          <w:noProof/>
        </w:rPr>
        <w:t>71</w:t>
      </w:r>
      <w:r>
        <w:rPr>
          <w:rFonts w:ascii="Arial" w:hAnsi="Arial" w:cs="Arial"/>
          <w:noProof/>
        </w:rPr>
        <w:tab/>
        <w:t>Shammas MC, Lai EC, Sarkar JS</w:t>
      </w:r>
      <w:r w:rsidRPr="00DD469F">
        <w:rPr>
          <w:rFonts w:ascii="Arial" w:hAnsi="Arial" w:cs="Arial"/>
          <w:i/>
          <w:noProof/>
        </w:rPr>
        <w:t xml:space="preserve"> et al.</w:t>
      </w:r>
      <w:r>
        <w:rPr>
          <w:rFonts w:ascii="Arial" w:hAnsi="Arial" w:cs="Arial"/>
          <w:noProof/>
        </w:rPr>
        <w:t xml:space="preserve"> Management of acute Stevens-Johnson syndrome and toxic epidermal necrolysis utilizing amniotic membrane and topical corticosteroids. </w:t>
      </w:r>
      <w:r w:rsidRPr="00DD469F">
        <w:rPr>
          <w:rFonts w:ascii="Arial" w:hAnsi="Arial" w:cs="Arial"/>
          <w:i/>
          <w:noProof/>
        </w:rPr>
        <w:t>Am J Ophthalmol</w:t>
      </w:r>
      <w:r>
        <w:rPr>
          <w:rFonts w:ascii="Arial" w:hAnsi="Arial" w:cs="Arial"/>
          <w:noProof/>
        </w:rPr>
        <w:t xml:space="preserve"> 2010; </w:t>
      </w:r>
      <w:r w:rsidRPr="00DD469F">
        <w:rPr>
          <w:rFonts w:ascii="Arial" w:hAnsi="Arial" w:cs="Arial"/>
          <w:b/>
          <w:noProof/>
        </w:rPr>
        <w:t>149</w:t>
      </w:r>
      <w:r>
        <w:rPr>
          <w:rFonts w:ascii="Arial" w:hAnsi="Arial" w:cs="Arial"/>
          <w:noProof/>
        </w:rPr>
        <w:t>:203-13 +e2.</w:t>
      </w:r>
      <w:bookmarkEnd w:id="71"/>
    </w:p>
    <w:p w:rsidR="00BD084C" w:rsidRDefault="00BD084C" w:rsidP="0085034D">
      <w:pPr>
        <w:pStyle w:val="NoSpacing"/>
        <w:ind w:left="720" w:hanging="720"/>
        <w:jc w:val="both"/>
        <w:rPr>
          <w:rFonts w:ascii="Arial" w:hAnsi="Arial" w:cs="Arial"/>
          <w:noProof/>
        </w:rPr>
      </w:pPr>
      <w:bookmarkStart w:id="72" w:name="_ENREF_72"/>
      <w:r>
        <w:rPr>
          <w:rFonts w:ascii="Arial" w:hAnsi="Arial" w:cs="Arial"/>
          <w:noProof/>
        </w:rPr>
        <w:t>72</w:t>
      </w:r>
      <w:r>
        <w:rPr>
          <w:rFonts w:ascii="Arial" w:hAnsi="Arial" w:cs="Arial"/>
          <w:noProof/>
        </w:rPr>
        <w:tab/>
        <w:t>Kobayashi A, Yoshita T, Sugiyama K</w:t>
      </w:r>
      <w:r w:rsidRPr="00DD469F">
        <w:rPr>
          <w:rFonts w:ascii="Arial" w:hAnsi="Arial" w:cs="Arial"/>
          <w:i/>
          <w:noProof/>
        </w:rPr>
        <w:t xml:space="preserve"> et al.</w:t>
      </w:r>
      <w:r>
        <w:rPr>
          <w:rFonts w:ascii="Arial" w:hAnsi="Arial" w:cs="Arial"/>
          <w:noProof/>
        </w:rPr>
        <w:t xml:space="preserve"> Amniotic membrane transplantation in acute phase of toxic epidermal necrolysis with severe corneal involvement. </w:t>
      </w:r>
      <w:r w:rsidRPr="00DD469F">
        <w:rPr>
          <w:rFonts w:ascii="Arial" w:hAnsi="Arial" w:cs="Arial"/>
          <w:i/>
          <w:noProof/>
        </w:rPr>
        <w:t>Ophthalmology</w:t>
      </w:r>
      <w:r>
        <w:rPr>
          <w:rFonts w:ascii="Arial" w:hAnsi="Arial" w:cs="Arial"/>
          <w:noProof/>
        </w:rPr>
        <w:t xml:space="preserve"> 2006; </w:t>
      </w:r>
      <w:r w:rsidRPr="00DD469F">
        <w:rPr>
          <w:rFonts w:ascii="Arial" w:hAnsi="Arial" w:cs="Arial"/>
          <w:b/>
          <w:noProof/>
        </w:rPr>
        <w:t>113</w:t>
      </w:r>
      <w:r>
        <w:rPr>
          <w:rFonts w:ascii="Arial" w:hAnsi="Arial" w:cs="Arial"/>
          <w:noProof/>
        </w:rPr>
        <w:t>:126-32.</w:t>
      </w:r>
      <w:bookmarkEnd w:id="72"/>
    </w:p>
    <w:p w:rsidR="00BD084C" w:rsidRDefault="00BD084C" w:rsidP="0085034D">
      <w:pPr>
        <w:pStyle w:val="NoSpacing"/>
        <w:ind w:left="720" w:hanging="720"/>
        <w:jc w:val="both"/>
        <w:rPr>
          <w:rFonts w:ascii="Arial" w:hAnsi="Arial" w:cs="Arial"/>
          <w:noProof/>
        </w:rPr>
      </w:pPr>
      <w:bookmarkStart w:id="73" w:name="_ENREF_73"/>
      <w:r>
        <w:rPr>
          <w:rFonts w:ascii="Arial" w:hAnsi="Arial" w:cs="Arial"/>
          <w:noProof/>
        </w:rPr>
        <w:t>73</w:t>
      </w:r>
      <w:r>
        <w:rPr>
          <w:rFonts w:ascii="Arial" w:hAnsi="Arial" w:cs="Arial"/>
          <w:noProof/>
        </w:rPr>
        <w:tab/>
        <w:t>Shay E, Kheirkhah A, Liang L</w:t>
      </w:r>
      <w:r w:rsidRPr="00DD469F">
        <w:rPr>
          <w:rFonts w:ascii="Arial" w:hAnsi="Arial" w:cs="Arial"/>
          <w:i/>
          <w:noProof/>
        </w:rPr>
        <w:t xml:space="preserve"> et al.</w:t>
      </w:r>
      <w:r>
        <w:rPr>
          <w:rFonts w:ascii="Arial" w:hAnsi="Arial" w:cs="Arial"/>
          <w:noProof/>
        </w:rPr>
        <w:t xml:space="preserve"> Amniotic membrane transplantation as a new therapy for the acute ocular manifestations of Stevens-Johnson syndrome and toxic epidermal necrolysis. </w:t>
      </w:r>
      <w:r w:rsidRPr="00DD469F">
        <w:rPr>
          <w:rFonts w:ascii="Arial" w:hAnsi="Arial" w:cs="Arial"/>
          <w:i/>
          <w:noProof/>
        </w:rPr>
        <w:t>Surv Ophthalmol</w:t>
      </w:r>
      <w:r>
        <w:rPr>
          <w:rFonts w:ascii="Arial" w:hAnsi="Arial" w:cs="Arial"/>
          <w:noProof/>
        </w:rPr>
        <w:t xml:space="preserve"> 2009; </w:t>
      </w:r>
      <w:r w:rsidRPr="00DD469F">
        <w:rPr>
          <w:rFonts w:ascii="Arial" w:hAnsi="Arial" w:cs="Arial"/>
          <w:b/>
          <w:noProof/>
        </w:rPr>
        <w:t>54</w:t>
      </w:r>
      <w:r>
        <w:rPr>
          <w:rFonts w:ascii="Arial" w:hAnsi="Arial" w:cs="Arial"/>
          <w:noProof/>
        </w:rPr>
        <w:t>:686-96.</w:t>
      </w:r>
      <w:bookmarkEnd w:id="73"/>
    </w:p>
    <w:p w:rsidR="00BD084C" w:rsidRDefault="00BD084C" w:rsidP="0085034D">
      <w:pPr>
        <w:pStyle w:val="NoSpacing"/>
        <w:ind w:left="720" w:hanging="720"/>
        <w:jc w:val="both"/>
        <w:rPr>
          <w:rFonts w:ascii="Arial" w:hAnsi="Arial" w:cs="Arial"/>
          <w:noProof/>
        </w:rPr>
      </w:pPr>
      <w:bookmarkStart w:id="74" w:name="_ENREF_74"/>
      <w:r>
        <w:rPr>
          <w:rFonts w:ascii="Arial" w:hAnsi="Arial" w:cs="Arial"/>
          <w:noProof/>
        </w:rPr>
        <w:t>74</w:t>
      </w:r>
      <w:r>
        <w:rPr>
          <w:rFonts w:ascii="Arial" w:hAnsi="Arial" w:cs="Arial"/>
          <w:noProof/>
        </w:rPr>
        <w:tab/>
        <w:t xml:space="preserve">Tomlins PJ, Parulekar MV, Rauz S. "Triple-TEN" in the treatment of acute ocular complications from toxic epidermal necrolysis. </w:t>
      </w:r>
      <w:r w:rsidRPr="00DD469F">
        <w:rPr>
          <w:rFonts w:ascii="Arial" w:hAnsi="Arial" w:cs="Arial"/>
          <w:i/>
          <w:noProof/>
        </w:rPr>
        <w:t>Cornea</w:t>
      </w:r>
      <w:r>
        <w:rPr>
          <w:rFonts w:ascii="Arial" w:hAnsi="Arial" w:cs="Arial"/>
          <w:noProof/>
        </w:rPr>
        <w:t xml:space="preserve"> 2013; </w:t>
      </w:r>
      <w:r w:rsidRPr="00DD469F">
        <w:rPr>
          <w:rFonts w:ascii="Arial" w:hAnsi="Arial" w:cs="Arial"/>
          <w:b/>
          <w:noProof/>
        </w:rPr>
        <w:t>32</w:t>
      </w:r>
      <w:r>
        <w:rPr>
          <w:rFonts w:ascii="Arial" w:hAnsi="Arial" w:cs="Arial"/>
          <w:noProof/>
        </w:rPr>
        <w:t>:365-9.</w:t>
      </w:r>
      <w:bookmarkEnd w:id="74"/>
    </w:p>
    <w:p w:rsidR="00BD084C" w:rsidRDefault="00BD084C" w:rsidP="0085034D">
      <w:pPr>
        <w:pStyle w:val="NoSpacing"/>
        <w:ind w:left="720" w:hanging="720"/>
        <w:jc w:val="both"/>
        <w:rPr>
          <w:rFonts w:ascii="Arial" w:hAnsi="Arial" w:cs="Arial"/>
          <w:noProof/>
        </w:rPr>
      </w:pPr>
      <w:bookmarkStart w:id="75" w:name="_ENREF_75"/>
      <w:r>
        <w:rPr>
          <w:rFonts w:ascii="Arial" w:hAnsi="Arial" w:cs="Arial"/>
          <w:noProof/>
        </w:rPr>
        <w:t>75</w:t>
      </w:r>
      <w:r>
        <w:rPr>
          <w:rFonts w:ascii="Arial" w:hAnsi="Arial" w:cs="Arial"/>
          <w:noProof/>
        </w:rPr>
        <w:tab/>
        <w:t>Kolomeyer AM, Do BK, Tu Y</w:t>
      </w:r>
      <w:r w:rsidRPr="00DD469F">
        <w:rPr>
          <w:rFonts w:ascii="Arial" w:hAnsi="Arial" w:cs="Arial"/>
          <w:i/>
          <w:noProof/>
        </w:rPr>
        <w:t xml:space="preserve"> et al.</w:t>
      </w:r>
      <w:r>
        <w:rPr>
          <w:rFonts w:ascii="Arial" w:hAnsi="Arial" w:cs="Arial"/>
          <w:noProof/>
        </w:rPr>
        <w:t xml:space="preserve"> Placement of ProKera in the management of ocular manifestations of acute Stevens-Johnson syndrome in an outpatient. </w:t>
      </w:r>
      <w:r w:rsidRPr="00DD469F">
        <w:rPr>
          <w:rFonts w:ascii="Arial" w:hAnsi="Arial" w:cs="Arial"/>
          <w:i/>
          <w:noProof/>
        </w:rPr>
        <w:t>Eye Contact Lens</w:t>
      </w:r>
      <w:r>
        <w:rPr>
          <w:rFonts w:ascii="Arial" w:hAnsi="Arial" w:cs="Arial"/>
          <w:noProof/>
        </w:rPr>
        <w:t xml:space="preserve"> 2013; </w:t>
      </w:r>
      <w:r w:rsidRPr="00DD469F">
        <w:rPr>
          <w:rFonts w:ascii="Arial" w:hAnsi="Arial" w:cs="Arial"/>
          <w:b/>
          <w:noProof/>
        </w:rPr>
        <w:t>39</w:t>
      </w:r>
      <w:r>
        <w:rPr>
          <w:rFonts w:ascii="Arial" w:hAnsi="Arial" w:cs="Arial"/>
          <w:noProof/>
        </w:rPr>
        <w:t>:e7-11.</w:t>
      </w:r>
      <w:bookmarkEnd w:id="75"/>
    </w:p>
    <w:p w:rsidR="00BD084C" w:rsidRDefault="00BD084C" w:rsidP="0085034D">
      <w:pPr>
        <w:pStyle w:val="NoSpacing"/>
        <w:ind w:left="720" w:hanging="720"/>
        <w:jc w:val="both"/>
        <w:rPr>
          <w:rFonts w:ascii="Arial" w:hAnsi="Arial" w:cs="Arial"/>
          <w:noProof/>
        </w:rPr>
      </w:pPr>
      <w:bookmarkStart w:id="76" w:name="_ENREF_76"/>
      <w:r>
        <w:rPr>
          <w:rFonts w:ascii="Arial" w:hAnsi="Arial" w:cs="Arial"/>
          <w:noProof/>
        </w:rPr>
        <w:t>76</w:t>
      </w:r>
      <w:r>
        <w:rPr>
          <w:rFonts w:ascii="Arial" w:hAnsi="Arial" w:cs="Arial"/>
          <w:noProof/>
        </w:rPr>
        <w:tab/>
        <w:t>Hsu M, Jayaram A, Verner R</w:t>
      </w:r>
      <w:r w:rsidRPr="00DD469F">
        <w:rPr>
          <w:rFonts w:ascii="Arial" w:hAnsi="Arial" w:cs="Arial"/>
          <w:i/>
          <w:noProof/>
        </w:rPr>
        <w:t xml:space="preserve"> et al.</w:t>
      </w:r>
      <w:r>
        <w:rPr>
          <w:rFonts w:ascii="Arial" w:hAnsi="Arial" w:cs="Arial"/>
          <w:noProof/>
        </w:rPr>
        <w:t xml:space="preserve"> Indications and outcomes of amniotic membrane transplantation in the management of acute stevens-johnson syndrome and toxic epidermal necrolysis: a case-control study. </w:t>
      </w:r>
      <w:r w:rsidRPr="00DD469F">
        <w:rPr>
          <w:rFonts w:ascii="Arial" w:hAnsi="Arial" w:cs="Arial"/>
          <w:i/>
          <w:noProof/>
        </w:rPr>
        <w:t>Cornea</w:t>
      </w:r>
      <w:r>
        <w:rPr>
          <w:rFonts w:ascii="Arial" w:hAnsi="Arial" w:cs="Arial"/>
          <w:noProof/>
        </w:rPr>
        <w:t xml:space="preserve"> 2012; </w:t>
      </w:r>
      <w:r w:rsidRPr="00DD469F">
        <w:rPr>
          <w:rFonts w:ascii="Arial" w:hAnsi="Arial" w:cs="Arial"/>
          <w:b/>
          <w:noProof/>
        </w:rPr>
        <w:t>31</w:t>
      </w:r>
      <w:r>
        <w:rPr>
          <w:rFonts w:ascii="Arial" w:hAnsi="Arial" w:cs="Arial"/>
          <w:noProof/>
        </w:rPr>
        <w:t>:1394-402.</w:t>
      </w:r>
      <w:bookmarkEnd w:id="76"/>
    </w:p>
    <w:p w:rsidR="00BD084C" w:rsidRDefault="00BD084C" w:rsidP="0085034D">
      <w:pPr>
        <w:pStyle w:val="NoSpacing"/>
        <w:ind w:left="720" w:hanging="720"/>
        <w:jc w:val="both"/>
        <w:rPr>
          <w:rFonts w:ascii="Arial" w:hAnsi="Arial" w:cs="Arial"/>
          <w:noProof/>
        </w:rPr>
      </w:pPr>
      <w:bookmarkStart w:id="77" w:name="_ENREF_77"/>
      <w:r>
        <w:rPr>
          <w:rFonts w:ascii="Arial" w:hAnsi="Arial" w:cs="Arial"/>
          <w:noProof/>
        </w:rPr>
        <w:t>77</w:t>
      </w:r>
      <w:r>
        <w:rPr>
          <w:rFonts w:ascii="Arial" w:hAnsi="Arial" w:cs="Arial"/>
          <w:noProof/>
        </w:rPr>
        <w:tab/>
        <w:t xml:space="preserve">Ciralsky JB, Sippel KC. Prompt versus delayed amniotic membrane application in a patient with acute Stevens-Johnson syndrome. </w:t>
      </w:r>
      <w:r w:rsidRPr="00DD469F">
        <w:rPr>
          <w:rFonts w:ascii="Arial" w:hAnsi="Arial" w:cs="Arial"/>
          <w:i/>
          <w:noProof/>
        </w:rPr>
        <w:t>Clin Ophthalmol</w:t>
      </w:r>
      <w:r>
        <w:rPr>
          <w:rFonts w:ascii="Arial" w:hAnsi="Arial" w:cs="Arial"/>
          <w:noProof/>
        </w:rPr>
        <w:t xml:space="preserve"> 2013; </w:t>
      </w:r>
      <w:r w:rsidRPr="00DD469F">
        <w:rPr>
          <w:rFonts w:ascii="Arial" w:hAnsi="Arial" w:cs="Arial"/>
          <w:b/>
          <w:noProof/>
        </w:rPr>
        <w:t>7</w:t>
      </w:r>
      <w:r>
        <w:rPr>
          <w:rFonts w:ascii="Arial" w:hAnsi="Arial" w:cs="Arial"/>
          <w:noProof/>
        </w:rPr>
        <w:t>:1031-4.</w:t>
      </w:r>
      <w:bookmarkEnd w:id="77"/>
    </w:p>
    <w:p w:rsidR="00BD084C" w:rsidRDefault="00BD084C" w:rsidP="0085034D">
      <w:pPr>
        <w:pStyle w:val="NoSpacing"/>
        <w:ind w:left="720" w:hanging="720"/>
        <w:jc w:val="both"/>
        <w:rPr>
          <w:rFonts w:ascii="Arial" w:hAnsi="Arial" w:cs="Arial"/>
          <w:noProof/>
        </w:rPr>
      </w:pPr>
      <w:bookmarkStart w:id="78" w:name="_ENREF_78"/>
      <w:r>
        <w:rPr>
          <w:rFonts w:ascii="Arial" w:hAnsi="Arial" w:cs="Arial"/>
          <w:noProof/>
        </w:rPr>
        <w:t>78</w:t>
      </w:r>
      <w:r>
        <w:rPr>
          <w:rFonts w:ascii="Arial" w:hAnsi="Arial" w:cs="Arial"/>
          <w:noProof/>
        </w:rPr>
        <w:tab/>
        <w:t xml:space="preserve">Muqit MM, Ellingham RB, Daniel C. Technique of amniotic membrane transplant dressing in the management of acute Stevens-Johnson syndrome. </w:t>
      </w:r>
      <w:r w:rsidRPr="00DD469F">
        <w:rPr>
          <w:rFonts w:ascii="Arial" w:hAnsi="Arial" w:cs="Arial"/>
          <w:i/>
          <w:noProof/>
        </w:rPr>
        <w:t>Br J Ophthalmol</w:t>
      </w:r>
      <w:r>
        <w:rPr>
          <w:rFonts w:ascii="Arial" w:hAnsi="Arial" w:cs="Arial"/>
          <w:noProof/>
        </w:rPr>
        <w:t xml:space="preserve"> 2007; </w:t>
      </w:r>
      <w:r w:rsidRPr="00DD469F">
        <w:rPr>
          <w:rFonts w:ascii="Arial" w:hAnsi="Arial" w:cs="Arial"/>
          <w:b/>
          <w:noProof/>
        </w:rPr>
        <w:t>91</w:t>
      </w:r>
      <w:r>
        <w:rPr>
          <w:rFonts w:ascii="Arial" w:hAnsi="Arial" w:cs="Arial"/>
          <w:noProof/>
        </w:rPr>
        <w:t>:1536.</w:t>
      </w:r>
      <w:bookmarkEnd w:id="78"/>
    </w:p>
    <w:p w:rsidR="00BD084C" w:rsidRDefault="00BD084C" w:rsidP="0085034D">
      <w:pPr>
        <w:pStyle w:val="NoSpacing"/>
        <w:ind w:left="720" w:hanging="720"/>
        <w:jc w:val="both"/>
        <w:rPr>
          <w:rFonts w:ascii="Arial" w:hAnsi="Arial" w:cs="Arial"/>
          <w:noProof/>
        </w:rPr>
      </w:pPr>
      <w:bookmarkStart w:id="79" w:name="_ENREF_79"/>
      <w:r>
        <w:rPr>
          <w:rFonts w:ascii="Arial" w:hAnsi="Arial" w:cs="Arial"/>
          <w:noProof/>
        </w:rPr>
        <w:t>79</w:t>
      </w:r>
      <w:r>
        <w:rPr>
          <w:rFonts w:ascii="Arial" w:hAnsi="Arial" w:cs="Arial"/>
          <w:noProof/>
        </w:rPr>
        <w:tab/>
        <w:t xml:space="preserve">Patel BC, Sapp NA, Collin R. Standardized range of conformers and symblepharon rings. </w:t>
      </w:r>
      <w:r w:rsidRPr="00DD469F">
        <w:rPr>
          <w:rFonts w:ascii="Arial" w:hAnsi="Arial" w:cs="Arial"/>
          <w:i/>
          <w:noProof/>
        </w:rPr>
        <w:t>Ophthal Plast Reconstr Surg</w:t>
      </w:r>
      <w:r>
        <w:rPr>
          <w:rFonts w:ascii="Arial" w:hAnsi="Arial" w:cs="Arial"/>
          <w:noProof/>
        </w:rPr>
        <w:t xml:space="preserve"> 1998; </w:t>
      </w:r>
      <w:r w:rsidRPr="00DD469F">
        <w:rPr>
          <w:rFonts w:ascii="Arial" w:hAnsi="Arial" w:cs="Arial"/>
          <w:b/>
          <w:noProof/>
        </w:rPr>
        <w:t>14</w:t>
      </w:r>
      <w:r>
        <w:rPr>
          <w:rFonts w:ascii="Arial" w:hAnsi="Arial" w:cs="Arial"/>
          <w:noProof/>
        </w:rPr>
        <w:t>:144-5.</w:t>
      </w:r>
      <w:bookmarkEnd w:id="79"/>
    </w:p>
    <w:p w:rsidR="00BD084C" w:rsidRDefault="00BD084C" w:rsidP="0085034D">
      <w:pPr>
        <w:pStyle w:val="NoSpacing"/>
        <w:ind w:left="720" w:hanging="720"/>
        <w:jc w:val="both"/>
        <w:rPr>
          <w:rFonts w:ascii="Arial" w:hAnsi="Arial" w:cs="Arial"/>
          <w:noProof/>
        </w:rPr>
      </w:pPr>
      <w:bookmarkStart w:id="80" w:name="_ENREF_80"/>
      <w:r>
        <w:rPr>
          <w:rFonts w:ascii="Arial" w:hAnsi="Arial" w:cs="Arial"/>
          <w:noProof/>
        </w:rPr>
        <w:t>80</w:t>
      </w:r>
      <w:r>
        <w:rPr>
          <w:rFonts w:ascii="Arial" w:hAnsi="Arial" w:cs="Arial"/>
          <w:noProof/>
        </w:rPr>
        <w:tab/>
        <w:t>Liang X, Liu Z, Lin Y</w:t>
      </w:r>
      <w:r w:rsidRPr="00DD469F">
        <w:rPr>
          <w:rFonts w:ascii="Arial" w:hAnsi="Arial" w:cs="Arial"/>
          <w:i/>
          <w:noProof/>
        </w:rPr>
        <w:t xml:space="preserve"> et al.</w:t>
      </w:r>
      <w:r>
        <w:rPr>
          <w:rFonts w:ascii="Arial" w:hAnsi="Arial" w:cs="Arial"/>
          <w:noProof/>
        </w:rPr>
        <w:t xml:space="preserve"> A modified symblepharon ring for sutureless amniotic membrane patch to treat acute ocular surface burns. </w:t>
      </w:r>
      <w:r w:rsidRPr="00DD469F">
        <w:rPr>
          <w:rFonts w:ascii="Arial" w:hAnsi="Arial" w:cs="Arial"/>
          <w:i/>
          <w:noProof/>
        </w:rPr>
        <w:t>J Burn Care Res</w:t>
      </w:r>
      <w:r>
        <w:rPr>
          <w:rFonts w:ascii="Arial" w:hAnsi="Arial" w:cs="Arial"/>
          <w:noProof/>
        </w:rPr>
        <w:t xml:space="preserve"> 2012; </w:t>
      </w:r>
      <w:r w:rsidRPr="00DD469F">
        <w:rPr>
          <w:rFonts w:ascii="Arial" w:hAnsi="Arial" w:cs="Arial"/>
          <w:b/>
          <w:noProof/>
        </w:rPr>
        <w:t>33</w:t>
      </w:r>
      <w:r>
        <w:rPr>
          <w:rFonts w:ascii="Arial" w:hAnsi="Arial" w:cs="Arial"/>
          <w:noProof/>
        </w:rPr>
        <w:t>:e32-8.</w:t>
      </w:r>
      <w:bookmarkEnd w:id="80"/>
    </w:p>
    <w:p w:rsidR="00BD084C" w:rsidRDefault="00BD084C" w:rsidP="0085034D">
      <w:pPr>
        <w:pStyle w:val="NoSpacing"/>
        <w:ind w:left="720" w:hanging="720"/>
        <w:jc w:val="both"/>
        <w:rPr>
          <w:rFonts w:ascii="Arial" w:hAnsi="Arial" w:cs="Arial"/>
          <w:noProof/>
        </w:rPr>
      </w:pPr>
      <w:bookmarkStart w:id="81" w:name="_ENREF_81"/>
      <w:r>
        <w:rPr>
          <w:rFonts w:ascii="Arial" w:hAnsi="Arial" w:cs="Arial"/>
          <w:noProof/>
        </w:rPr>
        <w:lastRenderedPageBreak/>
        <w:t>81</w:t>
      </w:r>
      <w:r>
        <w:rPr>
          <w:rFonts w:ascii="Arial" w:hAnsi="Arial" w:cs="Arial"/>
          <w:noProof/>
        </w:rPr>
        <w:tab/>
        <w:t>Sedghizadeh PP, Kumar SK, Gorur A</w:t>
      </w:r>
      <w:r w:rsidRPr="00DD469F">
        <w:rPr>
          <w:rFonts w:ascii="Arial" w:hAnsi="Arial" w:cs="Arial"/>
          <w:i/>
          <w:noProof/>
        </w:rPr>
        <w:t xml:space="preserve"> et al.</w:t>
      </w:r>
      <w:r>
        <w:rPr>
          <w:rFonts w:ascii="Arial" w:hAnsi="Arial" w:cs="Arial"/>
          <w:noProof/>
        </w:rPr>
        <w:t xml:space="preserve"> Toxic epidermal necrolysis with a rare long-term oral complication requiring surgical intervention. </w:t>
      </w:r>
      <w:r w:rsidRPr="00DD469F">
        <w:rPr>
          <w:rFonts w:ascii="Arial" w:hAnsi="Arial" w:cs="Arial"/>
          <w:i/>
          <w:noProof/>
        </w:rPr>
        <w:t>Oral Surg Oral Med Oral Pathol Oral Radiol Endod</w:t>
      </w:r>
      <w:r>
        <w:rPr>
          <w:rFonts w:ascii="Arial" w:hAnsi="Arial" w:cs="Arial"/>
          <w:noProof/>
        </w:rPr>
        <w:t xml:space="preserve"> 2008; </w:t>
      </w:r>
      <w:r w:rsidRPr="00DD469F">
        <w:rPr>
          <w:rFonts w:ascii="Arial" w:hAnsi="Arial" w:cs="Arial"/>
          <w:b/>
          <w:noProof/>
        </w:rPr>
        <w:t>105</w:t>
      </w:r>
      <w:r>
        <w:rPr>
          <w:rFonts w:ascii="Arial" w:hAnsi="Arial" w:cs="Arial"/>
          <w:noProof/>
        </w:rPr>
        <w:t>:e29-33.</w:t>
      </w:r>
      <w:bookmarkEnd w:id="81"/>
    </w:p>
    <w:p w:rsidR="00BD084C" w:rsidRDefault="00BD084C" w:rsidP="0085034D">
      <w:pPr>
        <w:pStyle w:val="NoSpacing"/>
        <w:ind w:left="720" w:hanging="720"/>
        <w:jc w:val="both"/>
        <w:rPr>
          <w:rFonts w:ascii="Arial" w:hAnsi="Arial" w:cs="Arial"/>
          <w:noProof/>
        </w:rPr>
      </w:pPr>
      <w:bookmarkStart w:id="82" w:name="_ENREF_82"/>
      <w:r>
        <w:rPr>
          <w:rFonts w:ascii="Arial" w:hAnsi="Arial" w:cs="Arial"/>
          <w:noProof/>
        </w:rPr>
        <w:t>82</w:t>
      </w:r>
      <w:r>
        <w:rPr>
          <w:rFonts w:ascii="Arial" w:hAnsi="Arial" w:cs="Arial"/>
          <w:noProof/>
        </w:rPr>
        <w:tab/>
        <w:t>Roujeau JC, Phlippoteau C, Koso M</w:t>
      </w:r>
      <w:r w:rsidRPr="00DD469F">
        <w:rPr>
          <w:rFonts w:ascii="Arial" w:hAnsi="Arial" w:cs="Arial"/>
          <w:i/>
          <w:noProof/>
        </w:rPr>
        <w:t xml:space="preserve"> et al.</w:t>
      </w:r>
      <w:r>
        <w:rPr>
          <w:rFonts w:ascii="Arial" w:hAnsi="Arial" w:cs="Arial"/>
          <w:noProof/>
        </w:rPr>
        <w:t xml:space="preserve"> Sjögren-like syndrome after drug-induced toxic epidermal necrolysis. </w:t>
      </w:r>
      <w:r w:rsidRPr="00DD469F">
        <w:rPr>
          <w:rFonts w:ascii="Arial" w:hAnsi="Arial" w:cs="Arial"/>
          <w:i/>
          <w:noProof/>
        </w:rPr>
        <w:t>Lancet</w:t>
      </w:r>
      <w:r>
        <w:rPr>
          <w:rFonts w:ascii="Arial" w:hAnsi="Arial" w:cs="Arial"/>
          <w:noProof/>
        </w:rPr>
        <w:t xml:space="preserve"> 1985; </w:t>
      </w:r>
      <w:r w:rsidRPr="00DD469F">
        <w:rPr>
          <w:rFonts w:ascii="Arial" w:hAnsi="Arial" w:cs="Arial"/>
          <w:b/>
          <w:noProof/>
        </w:rPr>
        <w:t>1</w:t>
      </w:r>
      <w:r>
        <w:rPr>
          <w:rFonts w:ascii="Arial" w:hAnsi="Arial" w:cs="Arial"/>
          <w:noProof/>
        </w:rPr>
        <w:t>:609-11.</w:t>
      </w:r>
      <w:bookmarkEnd w:id="82"/>
    </w:p>
    <w:p w:rsidR="00BD084C" w:rsidRDefault="00BD084C" w:rsidP="0085034D">
      <w:pPr>
        <w:pStyle w:val="NoSpacing"/>
        <w:ind w:left="720" w:hanging="720"/>
        <w:jc w:val="both"/>
        <w:rPr>
          <w:rFonts w:ascii="Arial" w:hAnsi="Arial" w:cs="Arial"/>
          <w:noProof/>
        </w:rPr>
      </w:pPr>
      <w:bookmarkStart w:id="83" w:name="_ENREF_83"/>
      <w:r>
        <w:rPr>
          <w:rFonts w:ascii="Arial" w:hAnsi="Arial" w:cs="Arial"/>
          <w:noProof/>
        </w:rPr>
        <w:t>83</w:t>
      </w:r>
      <w:r>
        <w:rPr>
          <w:rFonts w:ascii="Arial" w:hAnsi="Arial" w:cs="Arial"/>
          <w:noProof/>
        </w:rPr>
        <w:tab/>
        <w:t xml:space="preserve">Lozada-Nur F, Huang MZ, Zhou GA. Open preliminary clinical trial of clobetasol propionate ointment in adhesive paste for treatment of chronic oral vesiculoerosive diseases. </w:t>
      </w:r>
      <w:r w:rsidRPr="00DD469F">
        <w:rPr>
          <w:rFonts w:ascii="Arial" w:hAnsi="Arial" w:cs="Arial"/>
          <w:i/>
          <w:noProof/>
        </w:rPr>
        <w:t>Oral Surg Oral Med Oral Pathol</w:t>
      </w:r>
      <w:r>
        <w:rPr>
          <w:rFonts w:ascii="Arial" w:hAnsi="Arial" w:cs="Arial"/>
          <w:noProof/>
        </w:rPr>
        <w:t xml:space="preserve"> 1991; </w:t>
      </w:r>
      <w:r w:rsidRPr="00DD469F">
        <w:rPr>
          <w:rFonts w:ascii="Arial" w:hAnsi="Arial" w:cs="Arial"/>
          <w:b/>
          <w:noProof/>
        </w:rPr>
        <w:t>71</w:t>
      </w:r>
      <w:r>
        <w:rPr>
          <w:rFonts w:ascii="Arial" w:hAnsi="Arial" w:cs="Arial"/>
          <w:noProof/>
        </w:rPr>
        <w:t>:283-7.</w:t>
      </w:r>
      <w:bookmarkEnd w:id="83"/>
    </w:p>
    <w:p w:rsidR="00BD084C" w:rsidRDefault="00BD084C" w:rsidP="0085034D">
      <w:pPr>
        <w:pStyle w:val="NoSpacing"/>
        <w:ind w:left="720" w:hanging="720"/>
        <w:jc w:val="both"/>
        <w:rPr>
          <w:rFonts w:ascii="Arial" w:hAnsi="Arial" w:cs="Arial"/>
          <w:noProof/>
        </w:rPr>
      </w:pPr>
      <w:bookmarkStart w:id="84" w:name="_ENREF_84"/>
      <w:r>
        <w:rPr>
          <w:rFonts w:ascii="Arial" w:hAnsi="Arial" w:cs="Arial"/>
          <w:noProof/>
        </w:rPr>
        <w:t>84</w:t>
      </w:r>
      <w:r>
        <w:rPr>
          <w:rFonts w:ascii="Arial" w:hAnsi="Arial" w:cs="Arial"/>
          <w:noProof/>
        </w:rPr>
        <w:tab/>
        <w:t>Sanchis JM, Bagán JV, Gavaldá C</w:t>
      </w:r>
      <w:r w:rsidRPr="00DD469F">
        <w:rPr>
          <w:rFonts w:ascii="Arial" w:hAnsi="Arial" w:cs="Arial"/>
          <w:i/>
          <w:noProof/>
        </w:rPr>
        <w:t xml:space="preserve"> et al.</w:t>
      </w:r>
      <w:r>
        <w:rPr>
          <w:rFonts w:ascii="Arial" w:hAnsi="Arial" w:cs="Arial"/>
          <w:noProof/>
        </w:rPr>
        <w:t xml:space="preserve"> Erythema multiforme: diagnosis, clinical manifestations and treatment in a retrospective study of 22 patients. </w:t>
      </w:r>
      <w:r w:rsidRPr="00DD469F">
        <w:rPr>
          <w:rFonts w:ascii="Arial" w:hAnsi="Arial" w:cs="Arial"/>
          <w:i/>
          <w:noProof/>
        </w:rPr>
        <w:t>J Oral Pathol Med</w:t>
      </w:r>
      <w:r>
        <w:rPr>
          <w:rFonts w:ascii="Arial" w:hAnsi="Arial" w:cs="Arial"/>
          <w:noProof/>
        </w:rPr>
        <w:t xml:space="preserve"> 2010; </w:t>
      </w:r>
      <w:r w:rsidRPr="00DD469F">
        <w:rPr>
          <w:rFonts w:ascii="Arial" w:hAnsi="Arial" w:cs="Arial"/>
          <w:b/>
          <w:noProof/>
        </w:rPr>
        <w:t>39</w:t>
      </w:r>
      <w:r>
        <w:rPr>
          <w:rFonts w:ascii="Arial" w:hAnsi="Arial" w:cs="Arial"/>
          <w:noProof/>
        </w:rPr>
        <w:t>:747-52.</w:t>
      </w:r>
      <w:bookmarkEnd w:id="84"/>
    </w:p>
    <w:p w:rsidR="00BD084C" w:rsidRDefault="00BD084C" w:rsidP="0085034D">
      <w:pPr>
        <w:pStyle w:val="NoSpacing"/>
        <w:ind w:left="720" w:hanging="720"/>
        <w:jc w:val="both"/>
        <w:rPr>
          <w:rFonts w:ascii="Arial" w:hAnsi="Arial" w:cs="Arial"/>
          <w:noProof/>
        </w:rPr>
      </w:pPr>
      <w:bookmarkStart w:id="85" w:name="_ENREF_85"/>
      <w:r>
        <w:rPr>
          <w:rFonts w:ascii="Arial" w:hAnsi="Arial" w:cs="Arial"/>
          <w:noProof/>
        </w:rPr>
        <w:t>85</w:t>
      </w:r>
      <w:r>
        <w:rPr>
          <w:rFonts w:ascii="Arial" w:hAnsi="Arial" w:cs="Arial"/>
          <w:noProof/>
        </w:rPr>
        <w:tab/>
        <w:t>Meneux E, Paniel BJ, Pouget F</w:t>
      </w:r>
      <w:r w:rsidRPr="00DD469F">
        <w:rPr>
          <w:rFonts w:ascii="Arial" w:hAnsi="Arial" w:cs="Arial"/>
          <w:i/>
          <w:noProof/>
        </w:rPr>
        <w:t xml:space="preserve"> et al.</w:t>
      </w:r>
      <w:r>
        <w:rPr>
          <w:rFonts w:ascii="Arial" w:hAnsi="Arial" w:cs="Arial"/>
          <w:noProof/>
        </w:rPr>
        <w:t xml:space="preserve"> Vulvovaginal sequelae in toxic epidermal necrolysis. </w:t>
      </w:r>
      <w:r w:rsidRPr="00DD469F">
        <w:rPr>
          <w:rFonts w:ascii="Arial" w:hAnsi="Arial" w:cs="Arial"/>
          <w:i/>
          <w:noProof/>
        </w:rPr>
        <w:t>J Reprod Med</w:t>
      </w:r>
      <w:r>
        <w:rPr>
          <w:rFonts w:ascii="Arial" w:hAnsi="Arial" w:cs="Arial"/>
          <w:noProof/>
        </w:rPr>
        <w:t xml:space="preserve"> 1997; </w:t>
      </w:r>
      <w:r w:rsidRPr="00DD469F">
        <w:rPr>
          <w:rFonts w:ascii="Arial" w:hAnsi="Arial" w:cs="Arial"/>
          <w:b/>
          <w:noProof/>
        </w:rPr>
        <w:t>42</w:t>
      </w:r>
      <w:r>
        <w:rPr>
          <w:rFonts w:ascii="Arial" w:hAnsi="Arial" w:cs="Arial"/>
          <w:noProof/>
        </w:rPr>
        <w:t>:153-6.</w:t>
      </w:r>
      <w:bookmarkEnd w:id="85"/>
    </w:p>
    <w:p w:rsidR="00BD084C" w:rsidRDefault="00BD084C" w:rsidP="0085034D">
      <w:pPr>
        <w:pStyle w:val="NoSpacing"/>
        <w:ind w:left="720" w:hanging="720"/>
        <w:jc w:val="both"/>
        <w:rPr>
          <w:rFonts w:ascii="Arial" w:hAnsi="Arial" w:cs="Arial"/>
          <w:noProof/>
        </w:rPr>
      </w:pPr>
      <w:bookmarkStart w:id="86" w:name="_ENREF_86"/>
      <w:r>
        <w:rPr>
          <w:rFonts w:ascii="Arial" w:hAnsi="Arial" w:cs="Arial"/>
          <w:noProof/>
        </w:rPr>
        <w:t>86</w:t>
      </w:r>
      <w:r>
        <w:rPr>
          <w:rFonts w:ascii="Arial" w:hAnsi="Arial" w:cs="Arial"/>
          <w:noProof/>
        </w:rPr>
        <w:tab/>
        <w:t>Rowan DM, Jones RW, Oakley A</w:t>
      </w:r>
      <w:r w:rsidRPr="00DD469F">
        <w:rPr>
          <w:rFonts w:ascii="Arial" w:hAnsi="Arial" w:cs="Arial"/>
          <w:i/>
          <w:noProof/>
        </w:rPr>
        <w:t xml:space="preserve"> et al.</w:t>
      </w:r>
      <w:r>
        <w:rPr>
          <w:rFonts w:ascii="Arial" w:hAnsi="Arial" w:cs="Arial"/>
          <w:noProof/>
        </w:rPr>
        <w:t xml:space="preserve"> Vaginal stenosis after toxic epidermal necrolysis. </w:t>
      </w:r>
      <w:r w:rsidRPr="00DD469F">
        <w:rPr>
          <w:rFonts w:ascii="Arial" w:hAnsi="Arial" w:cs="Arial"/>
          <w:i/>
          <w:noProof/>
        </w:rPr>
        <w:t>J Low Genit Tract Dis</w:t>
      </w:r>
      <w:r>
        <w:rPr>
          <w:rFonts w:ascii="Arial" w:hAnsi="Arial" w:cs="Arial"/>
          <w:noProof/>
        </w:rPr>
        <w:t xml:space="preserve"> 2010; </w:t>
      </w:r>
      <w:r w:rsidRPr="00DD469F">
        <w:rPr>
          <w:rFonts w:ascii="Arial" w:hAnsi="Arial" w:cs="Arial"/>
          <w:b/>
          <w:noProof/>
        </w:rPr>
        <w:t>14</w:t>
      </w:r>
      <w:r>
        <w:rPr>
          <w:rFonts w:ascii="Arial" w:hAnsi="Arial" w:cs="Arial"/>
          <w:noProof/>
        </w:rPr>
        <w:t>:390-2.</w:t>
      </w:r>
      <w:bookmarkEnd w:id="86"/>
    </w:p>
    <w:p w:rsidR="00BD084C" w:rsidRDefault="00BD084C" w:rsidP="0085034D">
      <w:pPr>
        <w:pStyle w:val="NoSpacing"/>
        <w:ind w:left="720" w:hanging="720"/>
        <w:jc w:val="both"/>
        <w:rPr>
          <w:rFonts w:ascii="Arial" w:hAnsi="Arial" w:cs="Arial"/>
          <w:noProof/>
        </w:rPr>
      </w:pPr>
      <w:bookmarkStart w:id="87" w:name="_ENREF_87"/>
      <w:r>
        <w:rPr>
          <w:rFonts w:ascii="Arial" w:hAnsi="Arial" w:cs="Arial"/>
          <w:noProof/>
        </w:rPr>
        <w:t>87</w:t>
      </w:r>
      <w:r>
        <w:rPr>
          <w:rFonts w:ascii="Arial" w:hAnsi="Arial" w:cs="Arial"/>
          <w:noProof/>
        </w:rPr>
        <w:tab/>
        <w:t xml:space="preserve">Niemeijer IC, van Praag MC, van Gemund N. Relevance and consequences of erythema multiforme, Stevens-Johnson syndrome and toxic epidermal necrolysis in gynecology. </w:t>
      </w:r>
      <w:r w:rsidRPr="00DD469F">
        <w:rPr>
          <w:rFonts w:ascii="Arial" w:hAnsi="Arial" w:cs="Arial"/>
          <w:i/>
          <w:noProof/>
        </w:rPr>
        <w:t>Arch Gynecol Obstet</w:t>
      </w:r>
      <w:r>
        <w:rPr>
          <w:rFonts w:ascii="Arial" w:hAnsi="Arial" w:cs="Arial"/>
          <w:noProof/>
        </w:rPr>
        <w:t xml:space="preserve"> 2009; </w:t>
      </w:r>
      <w:r w:rsidRPr="00DD469F">
        <w:rPr>
          <w:rFonts w:ascii="Arial" w:hAnsi="Arial" w:cs="Arial"/>
          <w:b/>
          <w:noProof/>
        </w:rPr>
        <w:t>280</w:t>
      </w:r>
      <w:r>
        <w:rPr>
          <w:rFonts w:ascii="Arial" w:hAnsi="Arial" w:cs="Arial"/>
          <w:noProof/>
        </w:rPr>
        <w:t>:851-4.</w:t>
      </w:r>
      <w:bookmarkEnd w:id="87"/>
    </w:p>
    <w:p w:rsidR="00BD084C" w:rsidRDefault="00BD084C" w:rsidP="0085034D">
      <w:pPr>
        <w:pStyle w:val="NoSpacing"/>
        <w:ind w:left="720" w:hanging="720"/>
        <w:jc w:val="both"/>
        <w:rPr>
          <w:rFonts w:ascii="Arial" w:hAnsi="Arial" w:cs="Arial"/>
          <w:noProof/>
        </w:rPr>
      </w:pPr>
      <w:bookmarkStart w:id="88" w:name="_ENREF_88"/>
      <w:r>
        <w:rPr>
          <w:rFonts w:ascii="Arial" w:hAnsi="Arial" w:cs="Arial"/>
          <w:noProof/>
        </w:rPr>
        <w:t>88</w:t>
      </w:r>
      <w:r>
        <w:rPr>
          <w:rFonts w:ascii="Arial" w:hAnsi="Arial" w:cs="Arial"/>
          <w:noProof/>
        </w:rPr>
        <w:tab/>
        <w:t>Meneux E, Wolkenstein P, Haddad B</w:t>
      </w:r>
      <w:r w:rsidRPr="00DD469F">
        <w:rPr>
          <w:rFonts w:ascii="Arial" w:hAnsi="Arial" w:cs="Arial"/>
          <w:i/>
          <w:noProof/>
        </w:rPr>
        <w:t xml:space="preserve"> et al.</w:t>
      </w:r>
      <w:r>
        <w:rPr>
          <w:rFonts w:ascii="Arial" w:hAnsi="Arial" w:cs="Arial"/>
          <w:noProof/>
        </w:rPr>
        <w:t xml:space="preserve"> Vulvovaginal involvement in toxic epidermal necrolysis: a retrospective study of 40 cases. </w:t>
      </w:r>
      <w:r w:rsidRPr="00DD469F">
        <w:rPr>
          <w:rFonts w:ascii="Arial" w:hAnsi="Arial" w:cs="Arial"/>
          <w:i/>
          <w:noProof/>
        </w:rPr>
        <w:t>Obstet Gynecol</w:t>
      </w:r>
      <w:r>
        <w:rPr>
          <w:rFonts w:ascii="Arial" w:hAnsi="Arial" w:cs="Arial"/>
          <w:noProof/>
        </w:rPr>
        <w:t xml:space="preserve"> 1998; </w:t>
      </w:r>
      <w:r w:rsidRPr="00DD469F">
        <w:rPr>
          <w:rFonts w:ascii="Arial" w:hAnsi="Arial" w:cs="Arial"/>
          <w:b/>
          <w:noProof/>
        </w:rPr>
        <w:t>91</w:t>
      </w:r>
      <w:r>
        <w:rPr>
          <w:rFonts w:ascii="Arial" w:hAnsi="Arial" w:cs="Arial"/>
          <w:noProof/>
        </w:rPr>
        <w:t>:283-7.</w:t>
      </w:r>
      <w:bookmarkEnd w:id="88"/>
    </w:p>
    <w:p w:rsidR="00BD084C" w:rsidRDefault="00BD084C" w:rsidP="0085034D">
      <w:pPr>
        <w:pStyle w:val="NoSpacing"/>
        <w:ind w:left="720" w:hanging="720"/>
        <w:jc w:val="both"/>
        <w:rPr>
          <w:rFonts w:ascii="Arial" w:hAnsi="Arial" w:cs="Arial"/>
          <w:noProof/>
        </w:rPr>
      </w:pPr>
      <w:bookmarkStart w:id="89" w:name="_ENREF_89"/>
      <w:r>
        <w:rPr>
          <w:rFonts w:ascii="Arial" w:hAnsi="Arial" w:cs="Arial"/>
          <w:noProof/>
        </w:rPr>
        <w:t>89</w:t>
      </w:r>
      <w:r>
        <w:rPr>
          <w:rFonts w:ascii="Arial" w:hAnsi="Arial" w:cs="Arial"/>
          <w:noProof/>
        </w:rPr>
        <w:tab/>
        <w:t xml:space="preserve">Kaser DJ, Reichman DE, Laufer MR. Prevention of vulvovaginal sequelae in stevens-johnson syndrome and toxic epidermal necrolysis. </w:t>
      </w:r>
      <w:r w:rsidRPr="00DD469F">
        <w:rPr>
          <w:rFonts w:ascii="Arial" w:hAnsi="Arial" w:cs="Arial"/>
          <w:i/>
          <w:noProof/>
        </w:rPr>
        <w:t>Rev Obstet Gynecol</w:t>
      </w:r>
      <w:r>
        <w:rPr>
          <w:rFonts w:ascii="Arial" w:hAnsi="Arial" w:cs="Arial"/>
          <w:noProof/>
        </w:rPr>
        <w:t xml:space="preserve"> 2011; </w:t>
      </w:r>
      <w:r w:rsidRPr="00DD469F">
        <w:rPr>
          <w:rFonts w:ascii="Arial" w:hAnsi="Arial" w:cs="Arial"/>
          <w:b/>
          <w:noProof/>
        </w:rPr>
        <w:t>4</w:t>
      </w:r>
      <w:r>
        <w:rPr>
          <w:rFonts w:ascii="Arial" w:hAnsi="Arial" w:cs="Arial"/>
          <w:noProof/>
        </w:rPr>
        <w:t>:81-5.</w:t>
      </w:r>
      <w:bookmarkEnd w:id="89"/>
    </w:p>
    <w:p w:rsidR="00BD084C" w:rsidRDefault="00BD084C" w:rsidP="0085034D">
      <w:pPr>
        <w:pStyle w:val="NoSpacing"/>
        <w:ind w:left="720" w:hanging="720"/>
        <w:jc w:val="both"/>
        <w:rPr>
          <w:rFonts w:ascii="Arial" w:hAnsi="Arial" w:cs="Arial"/>
          <w:noProof/>
        </w:rPr>
      </w:pPr>
      <w:bookmarkStart w:id="90" w:name="_ENREF_90"/>
      <w:r>
        <w:rPr>
          <w:rFonts w:ascii="Arial" w:hAnsi="Arial" w:cs="Arial"/>
          <w:noProof/>
        </w:rPr>
        <w:t>90</w:t>
      </w:r>
      <w:r>
        <w:rPr>
          <w:rFonts w:ascii="Arial" w:hAnsi="Arial" w:cs="Arial"/>
          <w:noProof/>
        </w:rPr>
        <w:tab/>
        <w:t>Lebargy F, Wolkenstein P, Gisselbrecht M</w:t>
      </w:r>
      <w:r w:rsidRPr="00DD469F">
        <w:rPr>
          <w:rFonts w:ascii="Arial" w:hAnsi="Arial" w:cs="Arial"/>
          <w:i/>
          <w:noProof/>
        </w:rPr>
        <w:t xml:space="preserve"> et al.</w:t>
      </w:r>
      <w:r>
        <w:rPr>
          <w:rFonts w:ascii="Arial" w:hAnsi="Arial" w:cs="Arial"/>
          <w:noProof/>
        </w:rPr>
        <w:t xml:space="preserve"> Pulmonary complications in toxic epidermal necrolysis: a prospective clinical study. </w:t>
      </w:r>
      <w:r w:rsidRPr="00DD469F">
        <w:rPr>
          <w:rFonts w:ascii="Arial" w:hAnsi="Arial" w:cs="Arial"/>
          <w:i/>
          <w:noProof/>
        </w:rPr>
        <w:t>Intensive Care Med</w:t>
      </w:r>
      <w:r>
        <w:rPr>
          <w:rFonts w:ascii="Arial" w:hAnsi="Arial" w:cs="Arial"/>
          <w:noProof/>
        </w:rPr>
        <w:t xml:space="preserve"> 1997; </w:t>
      </w:r>
      <w:r w:rsidRPr="00DD469F">
        <w:rPr>
          <w:rFonts w:ascii="Arial" w:hAnsi="Arial" w:cs="Arial"/>
          <w:b/>
          <w:noProof/>
        </w:rPr>
        <w:t>23</w:t>
      </w:r>
      <w:r>
        <w:rPr>
          <w:rFonts w:ascii="Arial" w:hAnsi="Arial" w:cs="Arial"/>
          <w:noProof/>
        </w:rPr>
        <w:t>:1237-44.</w:t>
      </w:r>
      <w:bookmarkEnd w:id="90"/>
    </w:p>
    <w:p w:rsidR="00BD084C" w:rsidRDefault="00BD084C" w:rsidP="0085034D">
      <w:pPr>
        <w:pStyle w:val="NoSpacing"/>
        <w:ind w:left="720" w:hanging="720"/>
        <w:jc w:val="both"/>
        <w:rPr>
          <w:rFonts w:ascii="Arial" w:hAnsi="Arial" w:cs="Arial"/>
          <w:noProof/>
        </w:rPr>
      </w:pPr>
      <w:bookmarkStart w:id="91" w:name="_ENREF_91"/>
      <w:r>
        <w:rPr>
          <w:rFonts w:ascii="Arial" w:hAnsi="Arial" w:cs="Arial"/>
          <w:noProof/>
        </w:rPr>
        <w:t>91</w:t>
      </w:r>
      <w:r>
        <w:rPr>
          <w:rFonts w:ascii="Arial" w:hAnsi="Arial" w:cs="Arial"/>
          <w:noProof/>
        </w:rPr>
        <w:tab/>
        <w:t>De Prost N. (Personal communication) Dept Intensive Care Medicine, Hopital Henri Monder, Creteil, Paris. 2013.</w:t>
      </w:r>
      <w:bookmarkEnd w:id="91"/>
    </w:p>
    <w:p w:rsidR="00BD084C" w:rsidRDefault="00BD084C" w:rsidP="0085034D">
      <w:pPr>
        <w:pStyle w:val="NoSpacing"/>
        <w:ind w:left="720" w:hanging="720"/>
        <w:jc w:val="both"/>
        <w:rPr>
          <w:rFonts w:ascii="Arial" w:hAnsi="Arial" w:cs="Arial"/>
          <w:noProof/>
        </w:rPr>
      </w:pPr>
      <w:bookmarkStart w:id="92" w:name="_ENREF_92"/>
      <w:r>
        <w:rPr>
          <w:rFonts w:ascii="Arial" w:hAnsi="Arial" w:cs="Arial"/>
          <w:noProof/>
        </w:rPr>
        <w:t>92</w:t>
      </w:r>
      <w:r>
        <w:rPr>
          <w:rFonts w:ascii="Arial" w:hAnsi="Arial" w:cs="Arial"/>
          <w:noProof/>
        </w:rPr>
        <w:tab/>
        <w:t>Kamada N, Kinoshita K, Togawa Y</w:t>
      </w:r>
      <w:r w:rsidRPr="00DD469F">
        <w:rPr>
          <w:rFonts w:ascii="Arial" w:hAnsi="Arial" w:cs="Arial"/>
          <w:i/>
          <w:noProof/>
        </w:rPr>
        <w:t xml:space="preserve"> et al.</w:t>
      </w:r>
      <w:r>
        <w:rPr>
          <w:rFonts w:ascii="Arial" w:hAnsi="Arial" w:cs="Arial"/>
          <w:noProof/>
        </w:rPr>
        <w:t xml:space="preserve"> Chronic pulmonary complications associated with toxic epidermal necrolysis: report of a severe case with anti-Ro/SS-A and a review of the published work. </w:t>
      </w:r>
      <w:r w:rsidRPr="00DD469F">
        <w:rPr>
          <w:rFonts w:ascii="Arial" w:hAnsi="Arial" w:cs="Arial"/>
          <w:i/>
          <w:noProof/>
        </w:rPr>
        <w:t>J Dermatol</w:t>
      </w:r>
      <w:r>
        <w:rPr>
          <w:rFonts w:ascii="Arial" w:hAnsi="Arial" w:cs="Arial"/>
          <w:noProof/>
        </w:rPr>
        <w:t xml:space="preserve"> 2006; </w:t>
      </w:r>
      <w:r w:rsidRPr="00DD469F">
        <w:rPr>
          <w:rFonts w:ascii="Arial" w:hAnsi="Arial" w:cs="Arial"/>
          <w:b/>
          <w:noProof/>
        </w:rPr>
        <w:t>33</w:t>
      </w:r>
      <w:r>
        <w:rPr>
          <w:rFonts w:ascii="Arial" w:hAnsi="Arial" w:cs="Arial"/>
          <w:noProof/>
        </w:rPr>
        <w:t>:616-22.</w:t>
      </w:r>
      <w:bookmarkEnd w:id="92"/>
    </w:p>
    <w:p w:rsidR="00BD084C" w:rsidRDefault="00BD084C" w:rsidP="0085034D">
      <w:pPr>
        <w:pStyle w:val="NoSpacing"/>
        <w:ind w:left="720" w:hanging="720"/>
        <w:jc w:val="both"/>
        <w:rPr>
          <w:rFonts w:ascii="Arial" w:hAnsi="Arial" w:cs="Arial"/>
          <w:noProof/>
        </w:rPr>
      </w:pPr>
      <w:bookmarkStart w:id="93" w:name="_ENREF_93"/>
      <w:r>
        <w:rPr>
          <w:rFonts w:ascii="Arial" w:hAnsi="Arial" w:cs="Arial"/>
          <w:noProof/>
        </w:rPr>
        <w:t>93</w:t>
      </w:r>
      <w:r>
        <w:rPr>
          <w:rFonts w:ascii="Arial" w:hAnsi="Arial" w:cs="Arial"/>
          <w:noProof/>
        </w:rPr>
        <w:tab/>
        <w:t>Wolkenstein P, Latarjet J, Roujeau JC</w:t>
      </w:r>
      <w:r w:rsidRPr="00DD469F">
        <w:rPr>
          <w:rFonts w:ascii="Arial" w:hAnsi="Arial" w:cs="Arial"/>
          <w:i/>
          <w:noProof/>
        </w:rPr>
        <w:t xml:space="preserve"> et al.</w:t>
      </w:r>
      <w:r>
        <w:rPr>
          <w:rFonts w:ascii="Arial" w:hAnsi="Arial" w:cs="Arial"/>
          <w:noProof/>
        </w:rPr>
        <w:t xml:space="preserve"> Randomised comparison of thalidomide versus placebo in toxic epidermal necrolysis. </w:t>
      </w:r>
      <w:r w:rsidRPr="00DD469F">
        <w:rPr>
          <w:rFonts w:ascii="Arial" w:hAnsi="Arial" w:cs="Arial"/>
          <w:i/>
          <w:noProof/>
        </w:rPr>
        <w:t>Lancet</w:t>
      </w:r>
      <w:r>
        <w:rPr>
          <w:rFonts w:ascii="Arial" w:hAnsi="Arial" w:cs="Arial"/>
          <w:noProof/>
        </w:rPr>
        <w:t xml:space="preserve"> 1998; </w:t>
      </w:r>
      <w:r w:rsidRPr="00DD469F">
        <w:rPr>
          <w:rFonts w:ascii="Arial" w:hAnsi="Arial" w:cs="Arial"/>
          <w:b/>
          <w:noProof/>
        </w:rPr>
        <w:t>352</w:t>
      </w:r>
      <w:r>
        <w:rPr>
          <w:rFonts w:ascii="Arial" w:hAnsi="Arial" w:cs="Arial"/>
          <w:noProof/>
        </w:rPr>
        <w:t>:1586-9.</w:t>
      </w:r>
      <w:bookmarkEnd w:id="93"/>
    </w:p>
    <w:p w:rsidR="00BD084C" w:rsidRDefault="00BD084C" w:rsidP="0085034D">
      <w:pPr>
        <w:pStyle w:val="NoSpacing"/>
        <w:ind w:left="720" w:hanging="720"/>
        <w:jc w:val="both"/>
        <w:rPr>
          <w:rFonts w:ascii="Arial" w:hAnsi="Arial" w:cs="Arial"/>
          <w:noProof/>
        </w:rPr>
      </w:pPr>
      <w:bookmarkStart w:id="94" w:name="_ENREF_94"/>
      <w:r>
        <w:rPr>
          <w:rFonts w:ascii="Arial" w:hAnsi="Arial" w:cs="Arial"/>
          <w:noProof/>
        </w:rPr>
        <w:t>94</w:t>
      </w:r>
      <w:r>
        <w:rPr>
          <w:rFonts w:ascii="Arial" w:hAnsi="Arial" w:cs="Arial"/>
          <w:noProof/>
        </w:rPr>
        <w:tab/>
        <w:t>Stella M, Cassano P, Bollero D</w:t>
      </w:r>
      <w:r w:rsidRPr="00DD469F">
        <w:rPr>
          <w:rFonts w:ascii="Arial" w:hAnsi="Arial" w:cs="Arial"/>
          <w:i/>
          <w:noProof/>
        </w:rPr>
        <w:t xml:space="preserve"> et al.</w:t>
      </w:r>
      <w:r>
        <w:rPr>
          <w:rFonts w:ascii="Arial" w:hAnsi="Arial" w:cs="Arial"/>
          <w:noProof/>
        </w:rPr>
        <w:t xml:space="preserve"> Toxic epidermal necrolysis treated with intravenous high-dose immunoglobulins: our experience. </w:t>
      </w:r>
      <w:r w:rsidRPr="00DD469F">
        <w:rPr>
          <w:rFonts w:ascii="Arial" w:hAnsi="Arial" w:cs="Arial"/>
          <w:i/>
          <w:noProof/>
        </w:rPr>
        <w:t>Dermatology</w:t>
      </w:r>
      <w:r>
        <w:rPr>
          <w:rFonts w:ascii="Arial" w:hAnsi="Arial" w:cs="Arial"/>
          <w:noProof/>
        </w:rPr>
        <w:t xml:space="preserve"> 2001; </w:t>
      </w:r>
      <w:r w:rsidRPr="00DD469F">
        <w:rPr>
          <w:rFonts w:ascii="Arial" w:hAnsi="Arial" w:cs="Arial"/>
          <w:b/>
          <w:noProof/>
        </w:rPr>
        <w:t>203</w:t>
      </w:r>
      <w:r>
        <w:rPr>
          <w:rFonts w:ascii="Arial" w:hAnsi="Arial" w:cs="Arial"/>
          <w:noProof/>
        </w:rPr>
        <w:t>:45-9.</w:t>
      </w:r>
      <w:bookmarkEnd w:id="94"/>
    </w:p>
    <w:p w:rsidR="00BD084C" w:rsidRDefault="00BD084C" w:rsidP="0085034D">
      <w:pPr>
        <w:pStyle w:val="NoSpacing"/>
        <w:ind w:left="720" w:hanging="720"/>
        <w:jc w:val="both"/>
        <w:rPr>
          <w:rFonts w:ascii="Arial" w:hAnsi="Arial" w:cs="Arial"/>
          <w:noProof/>
        </w:rPr>
      </w:pPr>
      <w:bookmarkStart w:id="95" w:name="_ENREF_95"/>
      <w:r>
        <w:rPr>
          <w:rFonts w:ascii="Arial" w:hAnsi="Arial" w:cs="Arial"/>
          <w:noProof/>
        </w:rPr>
        <w:t>95</w:t>
      </w:r>
      <w:r>
        <w:rPr>
          <w:rFonts w:ascii="Arial" w:hAnsi="Arial" w:cs="Arial"/>
          <w:noProof/>
        </w:rPr>
        <w:tab/>
        <w:t>Trent JT, Kirsner RS, Romanelli P</w:t>
      </w:r>
      <w:r w:rsidRPr="00DD469F">
        <w:rPr>
          <w:rFonts w:ascii="Arial" w:hAnsi="Arial" w:cs="Arial"/>
          <w:i/>
          <w:noProof/>
        </w:rPr>
        <w:t xml:space="preserve"> et al.</w:t>
      </w:r>
      <w:r>
        <w:rPr>
          <w:rFonts w:ascii="Arial" w:hAnsi="Arial" w:cs="Arial"/>
          <w:noProof/>
        </w:rPr>
        <w:t xml:space="preserve"> Analysis of intravenous immunoglobulin for the treatment of toxic epidermal necrolysis using SCORTEN: The University of Miami Experience. </w:t>
      </w:r>
      <w:r w:rsidRPr="00DD469F">
        <w:rPr>
          <w:rFonts w:ascii="Arial" w:hAnsi="Arial" w:cs="Arial"/>
          <w:i/>
          <w:noProof/>
        </w:rPr>
        <w:t>Arch Dermatol</w:t>
      </w:r>
      <w:r>
        <w:rPr>
          <w:rFonts w:ascii="Arial" w:hAnsi="Arial" w:cs="Arial"/>
          <w:noProof/>
        </w:rPr>
        <w:t xml:space="preserve"> 2003; </w:t>
      </w:r>
      <w:r w:rsidRPr="00DD469F">
        <w:rPr>
          <w:rFonts w:ascii="Arial" w:hAnsi="Arial" w:cs="Arial"/>
          <w:b/>
          <w:noProof/>
        </w:rPr>
        <w:t>139</w:t>
      </w:r>
      <w:r>
        <w:rPr>
          <w:rFonts w:ascii="Arial" w:hAnsi="Arial" w:cs="Arial"/>
          <w:noProof/>
        </w:rPr>
        <w:t>:39-43.</w:t>
      </w:r>
      <w:bookmarkEnd w:id="95"/>
    </w:p>
    <w:p w:rsidR="00BD084C" w:rsidRDefault="00BD084C" w:rsidP="0085034D">
      <w:pPr>
        <w:pStyle w:val="NoSpacing"/>
        <w:ind w:left="720" w:hanging="720"/>
        <w:jc w:val="both"/>
        <w:rPr>
          <w:rFonts w:ascii="Arial" w:hAnsi="Arial" w:cs="Arial"/>
          <w:noProof/>
        </w:rPr>
      </w:pPr>
      <w:bookmarkStart w:id="96" w:name="_ENREF_96"/>
      <w:r>
        <w:rPr>
          <w:rFonts w:ascii="Arial" w:hAnsi="Arial" w:cs="Arial"/>
          <w:noProof/>
        </w:rPr>
        <w:t>96</w:t>
      </w:r>
      <w:r>
        <w:rPr>
          <w:rFonts w:ascii="Arial" w:hAnsi="Arial" w:cs="Arial"/>
          <w:noProof/>
        </w:rPr>
        <w:tab/>
        <w:t>Prins C, Kerdel FA, Padilla RS</w:t>
      </w:r>
      <w:r w:rsidRPr="00DD469F">
        <w:rPr>
          <w:rFonts w:ascii="Arial" w:hAnsi="Arial" w:cs="Arial"/>
          <w:i/>
          <w:noProof/>
        </w:rPr>
        <w:t xml:space="preserve"> et al.</w:t>
      </w:r>
      <w:r>
        <w:rPr>
          <w:rFonts w:ascii="Arial" w:hAnsi="Arial" w:cs="Arial"/>
          <w:noProof/>
        </w:rPr>
        <w:t xml:space="preserve"> Treatment of toxic epidermal necrolysis with high-dose intravenous immunoglobulins: multicenter retrospective analysis of 48 consecutive cases. </w:t>
      </w:r>
      <w:r w:rsidRPr="00DD469F">
        <w:rPr>
          <w:rFonts w:ascii="Arial" w:hAnsi="Arial" w:cs="Arial"/>
          <w:i/>
          <w:noProof/>
        </w:rPr>
        <w:t>Arch Dermatol</w:t>
      </w:r>
      <w:r>
        <w:rPr>
          <w:rFonts w:ascii="Arial" w:hAnsi="Arial" w:cs="Arial"/>
          <w:noProof/>
        </w:rPr>
        <w:t xml:space="preserve"> 2003; </w:t>
      </w:r>
      <w:r w:rsidRPr="00DD469F">
        <w:rPr>
          <w:rFonts w:ascii="Arial" w:hAnsi="Arial" w:cs="Arial"/>
          <w:b/>
          <w:noProof/>
        </w:rPr>
        <w:t>139</w:t>
      </w:r>
      <w:r>
        <w:rPr>
          <w:rFonts w:ascii="Arial" w:hAnsi="Arial" w:cs="Arial"/>
          <w:noProof/>
        </w:rPr>
        <w:t>:26-32.</w:t>
      </w:r>
      <w:bookmarkEnd w:id="96"/>
    </w:p>
    <w:p w:rsidR="00BD084C" w:rsidRDefault="00BD084C" w:rsidP="0085034D">
      <w:pPr>
        <w:pStyle w:val="NoSpacing"/>
        <w:ind w:left="720" w:hanging="720"/>
        <w:jc w:val="both"/>
        <w:rPr>
          <w:rFonts w:ascii="Arial" w:hAnsi="Arial" w:cs="Arial"/>
          <w:noProof/>
        </w:rPr>
      </w:pPr>
      <w:bookmarkStart w:id="97" w:name="_ENREF_97"/>
      <w:r>
        <w:rPr>
          <w:rFonts w:ascii="Arial" w:hAnsi="Arial" w:cs="Arial"/>
          <w:noProof/>
        </w:rPr>
        <w:t>97</w:t>
      </w:r>
      <w:r>
        <w:rPr>
          <w:rFonts w:ascii="Arial" w:hAnsi="Arial" w:cs="Arial"/>
          <w:noProof/>
        </w:rPr>
        <w:tab/>
        <w:t xml:space="preserve">Bachot N, Revuz J, Roujeau JC. Intravenous immunoglobulin treatment for Stevens-Johnson syndrome and toxic epidermal necrolysis: a prospective noncomparative study showing no benefit on mortality or progression. </w:t>
      </w:r>
      <w:r w:rsidRPr="00DD469F">
        <w:rPr>
          <w:rFonts w:ascii="Arial" w:hAnsi="Arial" w:cs="Arial"/>
          <w:i/>
          <w:noProof/>
        </w:rPr>
        <w:t>Arch Dermatol</w:t>
      </w:r>
      <w:r>
        <w:rPr>
          <w:rFonts w:ascii="Arial" w:hAnsi="Arial" w:cs="Arial"/>
          <w:noProof/>
        </w:rPr>
        <w:t xml:space="preserve"> 2003; </w:t>
      </w:r>
      <w:r w:rsidRPr="00DD469F">
        <w:rPr>
          <w:rFonts w:ascii="Arial" w:hAnsi="Arial" w:cs="Arial"/>
          <w:b/>
          <w:noProof/>
        </w:rPr>
        <w:t>139</w:t>
      </w:r>
      <w:r>
        <w:rPr>
          <w:rFonts w:ascii="Arial" w:hAnsi="Arial" w:cs="Arial"/>
          <w:noProof/>
        </w:rPr>
        <w:t>:33-6.</w:t>
      </w:r>
      <w:bookmarkEnd w:id="97"/>
    </w:p>
    <w:p w:rsidR="00BD084C" w:rsidRDefault="00BD084C" w:rsidP="0085034D">
      <w:pPr>
        <w:pStyle w:val="NoSpacing"/>
        <w:ind w:left="720" w:hanging="720"/>
        <w:jc w:val="both"/>
        <w:rPr>
          <w:rFonts w:ascii="Arial" w:hAnsi="Arial" w:cs="Arial"/>
          <w:noProof/>
        </w:rPr>
      </w:pPr>
      <w:bookmarkStart w:id="98" w:name="_ENREF_98"/>
      <w:r>
        <w:rPr>
          <w:rFonts w:ascii="Arial" w:hAnsi="Arial" w:cs="Arial"/>
          <w:noProof/>
        </w:rPr>
        <w:t>98</w:t>
      </w:r>
      <w:r>
        <w:rPr>
          <w:rFonts w:ascii="Arial" w:hAnsi="Arial" w:cs="Arial"/>
          <w:noProof/>
        </w:rPr>
        <w:tab/>
        <w:t>Campione E, Marulli GC, Carrozzo AM</w:t>
      </w:r>
      <w:r w:rsidRPr="00DD469F">
        <w:rPr>
          <w:rFonts w:ascii="Arial" w:hAnsi="Arial" w:cs="Arial"/>
          <w:i/>
          <w:noProof/>
        </w:rPr>
        <w:t xml:space="preserve"> et al.</w:t>
      </w:r>
      <w:r>
        <w:rPr>
          <w:rFonts w:ascii="Arial" w:hAnsi="Arial" w:cs="Arial"/>
          <w:noProof/>
        </w:rPr>
        <w:t xml:space="preserve"> High-dose intravenous immunoglobulin for severe drug reactions: efficacy in toxic epidermal necrolysis. </w:t>
      </w:r>
      <w:r w:rsidRPr="00DD469F">
        <w:rPr>
          <w:rFonts w:ascii="Arial" w:hAnsi="Arial" w:cs="Arial"/>
          <w:i/>
          <w:noProof/>
        </w:rPr>
        <w:t>Acta Derm Venereol</w:t>
      </w:r>
      <w:r>
        <w:rPr>
          <w:rFonts w:ascii="Arial" w:hAnsi="Arial" w:cs="Arial"/>
          <w:noProof/>
        </w:rPr>
        <w:t xml:space="preserve"> 2003; </w:t>
      </w:r>
      <w:r w:rsidRPr="00DD469F">
        <w:rPr>
          <w:rFonts w:ascii="Arial" w:hAnsi="Arial" w:cs="Arial"/>
          <w:b/>
          <w:noProof/>
        </w:rPr>
        <w:t>83</w:t>
      </w:r>
      <w:r>
        <w:rPr>
          <w:rFonts w:ascii="Arial" w:hAnsi="Arial" w:cs="Arial"/>
          <w:noProof/>
        </w:rPr>
        <w:t>:430-2.</w:t>
      </w:r>
      <w:bookmarkEnd w:id="98"/>
    </w:p>
    <w:p w:rsidR="00BD084C" w:rsidRDefault="00BD084C" w:rsidP="0085034D">
      <w:pPr>
        <w:pStyle w:val="NoSpacing"/>
        <w:ind w:left="720" w:hanging="720"/>
        <w:jc w:val="both"/>
        <w:rPr>
          <w:rFonts w:ascii="Arial" w:hAnsi="Arial" w:cs="Arial"/>
          <w:noProof/>
        </w:rPr>
      </w:pPr>
      <w:bookmarkStart w:id="99" w:name="_ENREF_99"/>
      <w:r>
        <w:rPr>
          <w:rFonts w:ascii="Arial" w:hAnsi="Arial" w:cs="Arial"/>
          <w:noProof/>
        </w:rPr>
        <w:t>99</w:t>
      </w:r>
      <w:r>
        <w:rPr>
          <w:rFonts w:ascii="Arial" w:hAnsi="Arial" w:cs="Arial"/>
          <w:noProof/>
        </w:rPr>
        <w:tab/>
        <w:t>Al-Mutairi N, Arun J, Osama NE</w:t>
      </w:r>
      <w:r w:rsidRPr="00DD469F">
        <w:rPr>
          <w:rFonts w:ascii="Arial" w:hAnsi="Arial" w:cs="Arial"/>
          <w:i/>
          <w:noProof/>
        </w:rPr>
        <w:t xml:space="preserve"> et al.</w:t>
      </w:r>
      <w:r>
        <w:rPr>
          <w:rFonts w:ascii="Arial" w:hAnsi="Arial" w:cs="Arial"/>
          <w:noProof/>
        </w:rPr>
        <w:t xml:space="preserve"> Prospective, noncomparative open study from Kuwait of the role of intravenous immunoglobulin in the treatment of toxic epidermal necrolysis. </w:t>
      </w:r>
      <w:r w:rsidRPr="00DD469F">
        <w:rPr>
          <w:rFonts w:ascii="Arial" w:hAnsi="Arial" w:cs="Arial"/>
          <w:i/>
          <w:noProof/>
        </w:rPr>
        <w:t>Int J Dermatol</w:t>
      </w:r>
      <w:r>
        <w:rPr>
          <w:rFonts w:ascii="Arial" w:hAnsi="Arial" w:cs="Arial"/>
          <w:noProof/>
        </w:rPr>
        <w:t xml:space="preserve"> 2004; </w:t>
      </w:r>
      <w:r w:rsidRPr="00DD469F">
        <w:rPr>
          <w:rFonts w:ascii="Arial" w:hAnsi="Arial" w:cs="Arial"/>
          <w:b/>
          <w:noProof/>
        </w:rPr>
        <w:t>43</w:t>
      </w:r>
      <w:r>
        <w:rPr>
          <w:rFonts w:ascii="Arial" w:hAnsi="Arial" w:cs="Arial"/>
          <w:noProof/>
        </w:rPr>
        <w:t>:847-51.</w:t>
      </w:r>
      <w:bookmarkEnd w:id="99"/>
    </w:p>
    <w:p w:rsidR="00BD084C" w:rsidRDefault="00BD084C" w:rsidP="0085034D">
      <w:pPr>
        <w:pStyle w:val="NoSpacing"/>
        <w:ind w:left="720" w:hanging="720"/>
        <w:jc w:val="both"/>
        <w:rPr>
          <w:rFonts w:ascii="Arial" w:hAnsi="Arial" w:cs="Arial"/>
          <w:noProof/>
        </w:rPr>
      </w:pPr>
      <w:bookmarkStart w:id="100" w:name="_ENREF_100"/>
      <w:r>
        <w:rPr>
          <w:rFonts w:ascii="Arial" w:hAnsi="Arial" w:cs="Arial"/>
          <w:noProof/>
        </w:rPr>
        <w:t>100</w:t>
      </w:r>
      <w:r>
        <w:rPr>
          <w:rFonts w:ascii="Arial" w:hAnsi="Arial" w:cs="Arial"/>
          <w:noProof/>
        </w:rPr>
        <w:tab/>
        <w:t>Brown KM, Silver GM, Halerz M</w:t>
      </w:r>
      <w:r w:rsidRPr="00DD469F">
        <w:rPr>
          <w:rFonts w:ascii="Arial" w:hAnsi="Arial" w:cs="Arial"/>
          <w:i/>
          <w:noProof/>
        </w:rPr>
        <w:t xml:space="preserve"> et al.</w:t>
      </w:r>
      <w:r>
        <w:rPr>
          <w:rFonts w:ascii="Arial" w:hAnsi="Arial" w:cs="Arial"/>
          <w:noProof/>
        </w:rPr>
        <w:t xml:space="preserve"> Toxic epidermal necrolysis: does immunoglobulin make a difference? </w:t>
      </w:r>
      <w:r w:rsidRPr="00DD469F">
        <w:rPr>
          <w:rFonts w:ascii="Arial" w:hAnsi="Arial" w:cs="Arial"/>
          <w:i/>
          <w:noProof/>
        </w:rPr>
        <w:t>J Burn Care Rehabil</w:t>
      </w:r>
      <w:r>
        <w:rPr>
          <w:rFonts w:ascii="Arial" w:hAnsi="Arial" w:cs="Arial"/>
          <w:noProof/>
        </w:rPr>
        <w:t xml:space="preserve"> 2004; </w:t>
      </w:r>
      <w:r w:rsidRPr="00DD469F">
        <w:rPr>
          <w:rFonts w:ascii="Arial" w:hAnsi="Arial" w:cs="Arial"/>
          <w:b/>
          <w:noProof/>
        </w:rPr>
        <w:t>25</w:t>
      </w:r>
      <w:r>
        <w:rPr>
          <w:rFonts w:ascii="Arial" w:hAnsi="Arial" w:cs="Arial"/>
          <w:noProof/>
        </w:rPr>
        <w:t>:81-8.</w:t>
      </w:r>
      <w:bookmarkEnd w:id="100"/>
    </w:p>
    <w:p w:rsidR="00BD084C" w:rsidRDefault="00BD084C" w:rsidP="0085034D">
      <w:pPr>
        <w:pStyle w:val="NoSpacing"/>
        <w:ind w:left="720" w:hanging="720"/>
        <w:jc w:val="both"/>
        <w:rPr>
          <w:rFonts w:ascii="Arial" w:hAnsi="Arial" w:cs="Arial"/>
          <w:noProof/>
        </w:rPr>
      </w:pPr>
      <w:bookmarkStart w:id="101" w:name="_ENREF_101"/>
      <w:r>
        <w:rPr>
          <w:rFonts w:ascii="Arial" w:hAnsi="Arial" w:cs="Arial"/>
          <w:noProof/>
        </w:rPr>
        <w:lastRenderedPageBreak/>
        <w:t>101</w:t>
      </w:r>
      <w:r>
        <w:rPr>
          <w:rFonts w:ascii="Arial" w:hAnsi="Arial" w:cs="Arial"/>
          <w:noProof/>
        </w:rPr>
        <w:tab/>
        <w:t>Shortt R, Gomez M, Mittman N</w:t>
      </w:r>
      <w:r w:rsidRPr="00DD469F">
        <w:rPr>
          <w:rFonts w:ascii="Arial" w:hAnsi="Arial" w:cs="Arial"/>
          <w:i/>
          <w:noProof/>
        </w:rPr>
        <w:t xml:space="preserve"> et al.</w:t>
      </w:r>
      <w:r>
        <w:rPr>
          <w:rFonts w:ascii="Arial" w:hAnsi="Arial" w:cs="Arial"/>
          <w:noProof/>
        </w:rPr>
        <w:t xml:space="preserve"> Intravenous immunoglobulin does not improve outcome in toxic epidermal necrolysis. </w:t>
      </w:r>
      <w:r w:rsidRPr="00DD469F">
        <w:rPr>
          <w:rFonts w:ascii="Arial" w:hAnsi="Arial" w:cs="Arial"/>
          <w:i/>
          <w:noProof/>
        </w:rPr>
        <w:t>J Burn Care Rehabil</w:t>
      </w:r>
      <w:r>
        <w:rPr>
          <w:rFonts w:ascii="Arial" w:hAnsi="Arial" w:cs="Arial"/>
          <w:noProof/>
        </w:rPr>
        <w:t xml:space="preserve"> 2004; </w:t>
      </w:r>
      <w:r w:rsidRPr="00DD469F">
        <w:rPr>
          <w:rFonts w:ascii="Arial" w:hAnsi="Arial" w:cs="Arial"/>
          <w:b/>
          <w:noProof/>
        </w:rPr>
        <w:t>25</w:t>
      </w:r>
      <w:r>
        <w:rPr>
          <w:rFonts w:ascii="Arial" w:hAnsi="Arial" w:cs="Arial"/>
          <w:noProof/>
        </w:rPr>
        <w:t>:246-55.</w:t>
      </w:r>
      <w:bookmarkEnd w:id="101"/>
    </w:p>
    <w:p w:rsidR="00BD084C" w:rsidRDefault="00BD084C" w:rsidP="0085034D">
      <w:pPr>
        <w:pStyle w:val="NoSpacing"/>
        <w:ind w:left="720" w:hanging="720"/>
        <w:jc w:val="both"/>
        <w:rPr>
          <w:rFonts w:ascii="Arial" w:hAnsi="Arial" w:cs="Arial"/>
          <w:noProof/>
        </w:rPr>
      </w:pPr>
      <w:bookmarkStart w:id="102" w:name="_ENREF_102"/>
      <w:r>
        <w:rPr>
          <w:rFonts w:ascii="Arial" w:hAnsi="Arial" w:cs="Arial"/>
          <w:noProof/>
        </w:rPr>
        <w:t>102</w:t>
      </w:r>
      <w:r>
        <w:rPr>
          <w:rFonts w:ascii="Arial" w:hAnsi="Arial" w:cs="Arial"/>
          <w:noProof/>
        </w:rPr>
        <w:tab/>
        <w:t>Tan AW, Thong BY, Yip LW</w:t>
      </w:r>
      <w:r w:rsidRPr="00DD469F">
        <w:rPr>
          <w:rFonts w:ascii="Arial" w:hAnsi="Arial" w:cs="Arial"/>
          <w:i/>
          <w:noProof/>
        </w:rPr>
        <w:t xml:space="preserve"> et al.</w:t>
      </w:r>
      <w:r>
        <w:rPr>
          <w:rFonts w:ascii="Arial" w:hAnsi="Arial" w:cs="Arial"/>
          <w:noProof/>
        </w:rPr>
        <w:t xml:space="preserve"> High-dose intravenous immunoglobulins in the treatment of toxic epidermal necrolysis: an Asian series. </w:t>
      </w:r>
      <w:r w:rsidRPr="00DD469F">
        <w:rPr>
          <w:rFonts w:ascii="Arial" w:hAnsi="Arial" w:cs="Arial"/>
          <w:i/>
          <w:noProof/>
        </w:rPr>
        <w:t>J Dermatol</w:t>
      </w:r>
      <w:r>
        <w:rPr>
          <w:rFonts w:ascii="Arial" w:hAnsi="Arial" w:cs="Arial"/>
          <w:noProof/>
        </w:rPr>
        <w:t xml:space="preserve"> 2005; </w:t>
      </w:r>
      <w:r w:rsidRPr="00DD469F">
        <w:rPr>
          <w:rFonts w:ascii="Arial" w:hAnsi="Arial" w:cs="Arial"/>
          <w:b/>
          <w:noProof/>
        </w:rPr>
        <w:t>32</w:t>
      </w:r>
      <w:r>
        <w:rPr>
          <w:rFonts w:ascii="Arial" w:hAnsi="Arial" w:cs="Arial"/>
          <w:noProof/>
        </w:rPr>
        <w:t>:1-6.</w:t>
      </w:r>
      <w:bookmarkEnd w:id="102"/>
    </w:p>
    <w:p w:rsidR="00BD084C" w:rsidRDefault="00BD084C" w:rsidP="0085034D">
      <w:pPr>
        <w:pStyle w:val="NoSpacing"/>
        <w:ind w:left="720" w:hanging="720"/>
        <w:jc w:val="both"/>
        <w:rPr>
          <w:rFonts w:ascii="Arial" w:hAnsi="Arial" w:cs="Arial"/>
          <w:noProof/>
        </w:rPr>
      </w:pPr>
      <w:bookmarkStart w:id="103" w:name="_ENREF_103"/>
      <w:r>
        <w:rPr>
          <w:rFonts w:ascii="Arial" w:hAnsi="Arial" w:cs="Arial"/>
          <w:noProof/>
        </w:rPr>
        <w:t>103</w:t>
      </w:r>
      <w:r>
        <w:rPr>
          <w:rFonts w:ascii="Arial" w:hAnsi="Arial" w:cs="Arial"/>
          <w:noProof/>
        </w:rPr>
        <w:tab/>
        <w:t>Gravante G, Delogu D, Marianetti M</w:t>
      </w:r>
      <w:r w:rsidRPr="00DD469F">
        <w:rPr>
          <w:rFonts w:ascii="Arial" w:hAnsi="Arial" w:cs="Arial"/>
          <w:i/>
          <w:noProof/>
        </w:rPr>
        <w:t xml:space="preserve"> et al.</w:t>
      </w:r>
      <w:r>
        <w:rPr>
          <w:rFonts w:ascii="Arial" w:hAnsi="Arial" w:cs="Arial"/>
          <w:noProof/>
        </w:rPr>
        <w:t xml:space="preserve"> Toxic epidermal necrolysis and Steven Johnson syndrome: 11-years experience and outcome. </w:t>
      </w:r>
      <w:r w:rsidRPr="00DD469F">
        <w:rPr>
          <w:rFonts w:ascii="Arial" w:hAnsi="Arial" w:cs="Arial"/>
          <w:i/>
          <w:noProof/>
        </w:rPr>
        <w:t>Eur Rev Med Pharmacol Sci</w:t>
      </w:r>
      <w:r>
        <w:rPr>
          <w:rFonts w:ascii="Arial" w:hAnsi="Arial" w:cs="Arial"/>
          <w:noProof/>
        </w:rPr>
        <w:t xml:space="preserve"> 2007; </w:t>
      </w:r>
      <w:r w:rsidRPr="00DD469F">
        <w:rPr>
          <w:rFonts w:ascii="Arial" w:hAnsi="Arial" w:cs="Arial"/>
          <w:b/>
          <w:noProof/>
        </w:rPr>
        <w:t>11</w:t>
      </w:r>
      <w:r>
        <w:rPr>
          <w:rFonts w:ascii="Arial" w:hAnsi="Arial" w:cs="Arial"/>
          <w:noProof/>
        </w:rPr>
        <w:t>:119-27.</w:t>
      </w:r>
      <w:bookmarkEnd w:id="103"/>
    </w:p>
    <w:p w:rsidR="00BD084C" w:rsidRDefault="00BD084C" w:rsidP="0085034D">
      <w:pPr>
        <w:pStyle w:val="NoSpacing"/>
        <w:ind w:left="720" w:hanging="720"/>
        <w:jc w:val="both"/>
        <w:rPr>
          <w:rFonts w:ascii="Arial" w:hAnsi="Arial" w:cs="Arial"/>
          <w:noProof/>
        </w:rPr>
      </w:pPr>
      <w:bookmarkStart w:id="104" w:name="_ENREF_104"/>
      <w:r>
        <w:rPr>
          <w:rFonts w:ascii="Arial" w:hAnsi="Arial" w:cs="Arial"/>
          <w:noProof/>
        </w:rPr>
        <w:t>104</w:t>
      </w:r>
      <w:r>
        <w:rPr>
          <w:rFonts w:ascii="Arial" w:hAnsi="Arial" w:cs="Arial"/>
          <w:noProof/>
        </w:rPr>
        <w:tab/>
        <w:t>Firoz BF, Henning JS, Zarzabal LA</w:t>
      </w:r>
      <w:r w:rsidRPr="00DD469F">
        <w:rPr>
          <w:rFonts w:ascii="Arial" w:hAnsi="Arial" w:cs="Arial"/>
          <w:i/>
          <w:noProof/>
        </w:rPr>
        <w:t xml:space="preserve"> et al.</w:t>
      </w:r>
      <w:r>
        <w:rPr>
          <w:rFonts w:ascii="Arial" w:hAnsi="Arial" w:cs="Arial"/>
          <w:noProof/>
        </w:rPr>
        <w:t xml:space="preserve"> Toxic epidermal necrolysis: five years of treatment experience from a burn unit. </w:t>
      </w:r>
      <w:r w:rsidRPr="00DD469F">
        <w:rPr>
          <w:rFonts w:ascii="Arial" w:hAnsi="Arial" w:cs="Arial"/>
          <w:i/>
          <w:noProof/>
        </w:rPr>
        <w:t>J Am Acad Dermatol</w:t>
      </w:r>
      <w:r>
        <w:rPr>
          <w:rFonts w:ascii="Arial" w:hAnsi="Arial" w:cs="Arial"/>
          <w:noProof/>
        </w:rPr>
        <w:t xml:space="preserve"> 2012; </w:t>
      </w:r>
      <w:r w:rsidRPr="00DD469F">
        <w:rPr>
          <w:rFonts w:ascii="Arial" w:hAnsi="Arial" w:cs="Arial"/>
          <w:b/>
          <w:noProof/>
        </w:rPr>
        <w:t>67</w:t>
      </w:r>
      <w:r>
        <w:rPr>
          <w:rFonts w:ascii="Arial" w:hAnsi="Arial" w:cs="Arial"/>
          <w:noProof/>
        </w:rPr>
        <w:t>:630-5.</w:t>
      </w:r>
      <w:bookmarkEnd w:id="104"/>
    </w:p>
    <w:p w:rsidR="00BD084C" w:rsidRDefault="00BD084C" w:rsidP="0085034D">
      <w:pPr>
        <w:pStyle w:val="NoSpacing"/>
        <w:ind w:left="720" w:hanging="720"/>
        <w:jc w:val="both"/>
        <w:rPr>
          <w:rFonts w:ascii="Arial" w:hAnsi="Arial" w:cs="Arial"/>
          <w:noProof/>
        </w:rPr>
      </w:pPr>
      <w:bookmarkStart w:id="105" w:name="_ENREF_105"/>
      <w:r>
        <w:rPr>
          <w:rFonts w:ascii="Arial" w:hAnsi="Arial" w:cs="Arial"/>
          <w:noProof/>
        </w:rPr>
        <w:t>105</w:t>
      </w:r>
      <w:r>
        <w:rPr>
          <w:rFonts w:ascii="Arial" w:hAnsi="Arial" w:cs="Arial"/>
          <w:noProof/>
        </w:rPr>
        <w:tab/>
        <w:t xml:space="preserve">Huang YC, Li YC, Chen TJ. The efficacy of intravenous immunoglobulin for the treatment of toxic epidermal necrolysis: a systematic review and meta-analysis. </w:t>
      </w:r>
      <w:r w:rsidRPr="00DD469F">
        <w:rPr>
          <w:rFonts w:ascii="Arial" w:hAnsi="Arial" w:cs="Arial"/>
          <w:i/>
          <w:noProof/>
        </w:rPr>
        <w:t>Br J Dermatol</w:t>
      </w:r>
      <w:r>
        <w:rPr>
          <w:rFonts w:ascii="Arial" w:hAnsi="Arial" w:cs="Arial"/>
          <w:noProof/>
        </w:rPr>
        <w:t xml:space="preserve"> 2012; </w:t>
      </w:r>
      <w:r w:rsidRPr="00DD469F">
        <w:rPr>
          <w:rFonts w:ascii="Arial" w:hAnsi="Arial" w:cs="Arial"/>
          <w:b/>
          <w:noProof/>
        </w:rPr>
        <w:t>167</w:t>
      </w:r>
      <w:r>
        <w:rPr>
          <w:rFonts w:ascii="Arial" w:hAnsi="Arial" w:cs="Arial"/>
          <w:noProof/>
        </w:rPr>
        <w:t>:424-32.</w:t>
      </w:r>
      <w:bookmarkEnd w:id="105"/>
    </w:p>
    <w:p w:rsidR="00BD084C" w:rsidRDefault="00BD084C" w:rsidP="0085034D">
      <w:pPr>
        <w:pStyle w:val="NoSpacing"/>
        <w:ind w:left="720" w:hanging="720"/>
        <w:jc w:val="both"/>
        <w:rPr>
          <w:rFonts w:ascii="Arial" w:hAnsi="Arial" w:cs="Arial"/>
          <w:noProof/>
        </w:rPr>
      </w:pPr>
      <w:bookmarkStart w:id="106" w:name="_ENREF_106"/>
      <w:r>
        <w:rPr>
          <w:rFonts w:ascii="Arial" w:hAnsi="Arial" w:cs="Arial"/>
          <w:noProof/>
        </w:rPr>
        <w:t>106</w:t>
      </w:r>
      <w:r>
        <w:rPr>
          <w:rFonts w:ascii="Arial" w:hAnsi="Arial" w:cs="Arial"/>
          <w:noProof/>
        </w:rPr>
        <w:tab/>
        <w:t>Lee HY, Lim YL, Thirumoorthy T</w:t>
      </w:r>
      <w:r w:rsidRPr="00DD469F">
        <w:rPr>
          <w:rFonts w:ascii="Arial" w:hAnsi="Arial" w:cs="Arial"/>
          <w:i/>
          <w:noProof/>
        </w:rPr>
        <w:t xml:space="preserve"> et al.</w:t>
      </w:r>
      <w:r>
        <w:rPr>
          <w:rFonts w:ascii="Arial" w:hAnsi="Arial" w:cs="Arial"/>
          <w:noProof/>
        </w:rPr>
        <w:t xml:space="preserve"> The role of intravenous immunoglobulin in toxic epidermal necrolysis: a retrospective analysis of 64 patients managed in a specialized centre. </w:t>
      </w:r>
      <w:r w:rsidRPr="00DD469F">
        <w:rPr>
          <w:rFonts w:ascii="Arial" w:hAnsi="Arial" w:cs="Arial"/>
          <w:i/>
          <w:noProof/>
        </w:rPr>
        <w:t>Br J Dermatol</w:t>
      </w:r>
      <w:r>
        <w:rPr>
          <w:rFonts w:ascii="Arial" w:hAnsi="Arial" w:cs="Arial"/>
          <w:noProof/>
        </w:rPr>
        <w:t xml:space="preserve"> 2013; </w:t>
      </w:r>
      <w:r w:rsidRPr="00DD469F">
        <w:rPr>
          <w:rFonts w:ascii="Arial" w:hAnsi="Arial" w:cs="Arial"/>
          <w:b/>
          <w:noProof/>
        </w:rPr>
        <w:t>169</w:t>
      </w:r>
      <w:r>
        <w:rPr>
          <w:rFonts w:ascii="Arial" w:hAnsi="Arial" w:cs="Arial"/>
          <w:noProof/>
        </w:rPr>
        <w:t>:1304-9.</w:t>
      </w:r>
      <w:bookmarkEnd w:id="106"/>
    </w:p>
    <w:p w:rsidR="00BD084C" w:rsidRDefault="00BD084C" w:rsidP="0085034D">
      <w:pPr>
        <w:pStyle w:val="NoSpacing"/>
        <w:ind w:left="720" w:hanging="720"/>
        <w:jc w:val="both"/>
        <w:rPr>
          <w:rFonts w:ascii="Arial" w:hAnsi="Arial" w:cs="Arial"/>
          <w:noProof/>
        </w:rPr>
      </w:pPr>
      <w:bookmarkStart w:id="107" w:name="_ENREF_107"/>
      <w:r>
        <w:rPr>
          <w:rFonts w:ascii="Arial" w:hAnsi="Arial" w:cs="Arial"/>
          <w:noProof/>
        </w:rPr>
        <w:t>107</w:t>
      </w:r>
      <w:r>
        <w:rPr>
          <w:rFonts w:ascii="Arial" w:hAnsi="Arial" w:cs="Arial"/>
          <w:noProof/>
        </w:rPr>
        <w:tab/>
        <w:t xml:space="preserve">Kardaun SH, Jonkman MF. Dexamethasone pulse therapy for Stevens-Johnson syndrome/toxic epidermal necrolysis. </w:t>
      </w:r>
      <w:r w:rsidRPr="00DD469F">
        <w:rPr>
          <w:rFonts w:ascii="Arial" w:hAnsi="Arial" w:cs="Arial"/>
          <w:i/>
          <w:noProof/>
        </w:rPr>
        <w:t>Acta Derm Venereol</w:t>
      </w:r>
      <w:r>
        <w:rPr>
          <w:rFonts w:ascii="Arial" w:hAnsi="Arial" w:cs="Arial"/>
          <w:noProof/>
        </w:rPr>
        <w:t xml:space="preserve"> 2007; </w:t>
      </w:r>
      <w:r w:rsidRPr="00DD469F">
        <w:rPr>
          <w:rFonts w:ascii="Arial" w:hAnsi="Arial" w:cs="Arial"/>
          <w:b/>
          <w:noProof/>
        </w:rPr>
        <w:t>87</w:t>
      </w:r>
      <w:r>
        <w:rPr>
          <w:rFonts w:ascii="Arial" w:hAnsi="Arial" w:cs="Arial"/>
          <w:noProof/>
        </w:rPr>
        <w:t>:144-8.</w:t>
      </w:r>
      <w:bookmarkEnd w:id="107"/>
    </w:p>
    <w:p w:rsidR="00BD084C" w:rsidRDefault="00BD084C" w:rsidP="0085034D">
      <w:pPr>
        <w:pStyle w:val="NoSpacing"/>
        <w:ind w:left="720" w:hanging="720"/>
        <w:jc w:val="both"/>
        <w:rPr>
          <w:rFonts w:ascii="Arial" w:hAnsi="Arial" w:cs="Arial"/>
          <w:noProof/>
        </w:rPr>
      </w:pPr>
      <w:bookmarkStart w:id="108" w:name="_ENREF_108"/>
      <w:r>
        <w:rPr>
          <w:rFonts w:ascii="Arial" w:hAnsi="Arial" w:cs="Arial"/>
          <w:noProof/>
        </w:rPr>
        <w:t>108</w:t>
      </w:r>
      <w:r>
        <w:rPr>
          <w:rFonts w:ascii="Arial" w:hAnsi="Arial" w:cs="Arial"/>
          <w:noProof/>
        </w:rPr>
        <w:tab/>
        <w:t>Tripathi A, Ditto AM, Grammer LC</w:t>
      </w:r>
      <w:r w:rsidRPr="00DD469F">
        <w:rPr>
          <w:rFonts w:ascii="Arial" w:hAnsi="Arial" w:cs="Arial"/>
          <w:i/>
          <w:noProof/>
        </w:rPr>
        <w:t xml:space="preserve"> et al.</w:t>
      </w:r>
      <w:r>
        <w:rPr>
          <w:rFonts w:ascii="Arial" w:hAnsi="Arial" w:cs="Arial"/>
          <w:noProof/>
        </w:rPr>
        <w:t xml:space="preserve"> Corticosteroid therapy in an additional 13 cases of Stevens-Johnson syndrome: a total series of 67 cases. </w:t>
      </w:r>
      <w:r w:rsidRPr="00DD469F">
        <w:rPr>
          <w:rFonts w:ascii="Arial" w:hAnsi="Arial" w:cs="Arial"/>
          <w:i/>
          <w:noProof/>
        </w:rPr>
        <w:t>Allergy Asthma Proc</w:t>
      </w:r>
      <w:r>
        <w:rPr>
          <w:rFonts w:ascii="Arial" w:hAnsi="Arial" w:cs="Arial"/>
          <w:noProof/>
        </w:rPr>
        <w:t xml:space="preserve"> 2000; </w:t>
      </w:r>
      <w:r w:rsidRPr="00DD469F">
        <w:rPr>
          <w:rFonts w:ascii="Arial" w:hAnsi="Arial" w:cs="Arial"/>
          <w:b/>
          <w:noProof/>
        </w:rPr>
        <w:t>21</w:t>
      </w:r>
      <w:r>
        <w:rPr>
          <w:rFonts w:ascii="Arial" w:hAnsi="Arial" w:cs="Arial"/>
          <w:noProof/>
        </w:rPr>
        <w:t>:101-5.</w:t>
      </w:r>
      <w:bookmarkEnd w:id="108"/>
    </w:p>
    <w:p w:rsidR="00BD084C" w:rsidRDefault="00BD084C" w:rsidP="0085034D">
      <w:pPr>
        <w:pStyle w:val="NoSpacing"/>
        <w:ind w:left="720" w:hanging="720"/>
        <w:jc w:val="both"/>
        <w:rPr>
          <w:rFonts w:ascii="Arial" w:hAnsi="Arial" w:cs="Arial"/>
          <w:noProof/>
        </w:rPr>
      </w:pPr>
      <w:bookmarkStart w:id="109" w:name="_ENREF_109"/>
      <w:r>
        <w:rPr>
          <w:rFonts w:ascii="Arial" w:hAnsi="Arial" w:cs="Arial"/>
          <w:noProof/>
        </w:rPr>
        <w:t>109</w:t>
      </w:r>
      <w:r>
        <w:rPr>
          <w:rFonts w:ascii="Arial" w:hAnsi="Arial" w:cs="Arial"/>
          <w:noProof/>
        </w:rPr>
        <w:tab/>
        <w:t>Yang Y, Xu J, Li F</w:t>
      </w:r>
      <w:r w:rsidRPr="00DD469F">
        <w:rPr>
          <w:rFonts w:ascii="Arial" w:hAnsi="Arial" w:cs="Arial"/>
          <w:i/>
          <w:noProof/>
        </w:rPr>
        <w:t xml:space="preserve"> et al.</w:t>
      </w:r>
      <w:r>
        <w:rPr>
          <w:rFonts w:ascii="Arial" w:hAnsi="Arial" w:cs="Arial"/>
          <w:noProof/>
        </w:rPr>
        <w:t xml:space="preserve"> Combination therapy of intravenous immunoglobulin and corticosteroid in the treatment of toxic epidermal necrolysis and Stevens-Johnson syndrome: a retrospective comparative study in China. </w:t>
      </w:r>
      <w:r w:rsidRPr="00DD469F">
        <w:rPr>
          <w:rFonts w:ascii="Arial" w:hAnsi="Arial" w:cs="Arial"/>
          <w:i/>
          <w:noProof/>
        </w:rPr>
        <w:t>Int J Dermatol</w:t>
      </w:r>
      <w:r>
        <w:rPr>
          <w:rFonts w:ascii="Arial" w:hAnsi="Arial" w:cs="Arial"/>
          <w:noProof/>
        </w:rPr>
        <w:t xml:space="preserve"> 2009; </w:t>
      </w:r>
      <w:r w:rsidRPr="00DD469F">
        <w:rPr>
          <w:rFonts w:ascii="Arial" w:hAnsi="Arial" w:cs="Arial"/>
          <w:b/>
          <w:noProof/>
        </w:rPr>
        <w:t>48</w:t>
      </w:r>
      <w:r>
        <w:rPr>
          <w:rFonts w:ascii="Arial" w:hAnsi="Arial" w:cs="Arial"/>
          <w:noProof/>
        </w:rPr>
        <w:t>:1122-8.</w:t>
      </w:r>
      <w:bookmarkEnd w:id="109"/>
    </w:p>
    <w:p w:rsidR="00BD084C" w:rsidRDefault="00BD084C" w:rsidP="0085034D">
      <w:pPr>
        <w:pStyle w:val="NoSpacing"/>
        <w:ind w:left="720" w:hanging="720"/>
        <w:jc w:val="both"/>
        <w:rPr>
          <w:rFonts w:ascii="Arial" w:hAnsi="Arial" w:cs="Arial"/>
          <w:noProof/>
        </w:rPr>
      </w:pPr>
      <w:bookmarkStart w:id="110" w:name="_ENREF_110"/>
      <w:r>
        <w:rPr>
          <w:rFonts w:ascii="Arial" w:hAnsi="Arial" w:cs="Arial"/>
          <w:noProof/>
        </w:rPr>
        <w:t>110</w:t>
      </w:r>
      <w:r>
        <w:rPr>
          <w:rFonts w:ascii="Arial" w:hAnsi="Arial" w:cs="Arial"/>
          <w:noProof/>
        </w:rPr>
        <w:tab/>
        <w:t>Chen J, Wang B, Zeng Y</w:t>
      </w:r>
      <w:r w:rsidRPr="00DD469F">
        <w:rPr>
          <w:rFonts w:ascii="Arial" w:hAnsi="Arial" w:cs="Arial"/>
          <w:i/>
          <w:noProof/>
        </w:rPr>
        <w:t xml:space="preserve"> et al.</w:t>
      </w:r>
      <w:r>
        <w:rPr>
          <w:rFonts w:ascii="Arial" w:hAnsi="Arial" w:cs="Arial"/>
          <w:noProof/>
        </w:rPr>
        <w:t xml:space="preserve"> High-dose intravenous immunoglobulins in the treatment of Stevens-Johnson syndrome and toxic epidermal necrolysis in Chinese patients: a retrospective study of 82 cases. </w:t>
      </w:r>
      <w:r w:rsidRPr="00DD469F">
        <w:rPr>
          <w:rFonts w:ascii="Arial" w:hAnsi="Arial" w:cs="Arial"/>
          <w:i/>
          <w:noProof/>
        </w:rPr>
        <w:t>Eur J Dermatol</w:t>
      </w:r>
      <w:r>
        <w:rPr>
          <w:rFonts w:ascii="Arial" w:hAnsi="Arial" w:cs="Arial"/>
          <w:noProof/>
        </w:rPr>
        <w:t xml:space="preserve"> 2010; </w:t>
      </w:r>
      <w:r w:rsidRPr="00DD469F">
        <w:rPr>
          <w:rFonts w:ascii="Arial" w:hAnsi="Arial" w:cs="Arial"/>
          <w:b/>
          <w:noProof/>
        </w:rPr>
        <w:t>20</w:t>
      </w:r>
      <w:r>
        <w:rPr>
          <w:rFonts w:ascii="Arial" w:hAnsi="Arial" w:cs="Arial"/>
          <w:noProof/>
        </w:rPr>
        <w:t>:743-7.</w:t>
      </w:r>
      <w:bookmarkEnd w:id="110"/>
    </w:p>
    <w:p w:rsidR="00BD084C" w:rsidRDefault="00BD084C" w:rsidP="0085034D">
      <w:pPr>
        <w:pStyle w:val="NoSpacing"/>
        <w:ind w:left="720" w:hanging="720"/>
        <w:jc w:val="both"/>
        <w:rPr>
          <w:rFonts w:ascii="Arial" w:hAnsi="Arial" w:cs="Arial"/>
          <w:noProof/>
        </w:rPr>
      </w:pPr>
      <w:bookmarkStart w:id="111" w:name="_ENREF_111"/>
      <w:r>
        <w:rPr>
          <w:rFonts w:ascii="Arial" w:hAnsi="Arial" w:cs="Arial"/>
          <w:noProof/>
        </w:rPr>
        <w:t>111</w:t>
      </w:r>
      <w:r>
        <w:rPr>
          <w:rFonts w:ascii="Arial" w:hAnsi="Arial" w:cs="Arial"/>
          <w:noProof/>
        </w:rPr>
        <w:tab/>
        <w:t xml:space="preserve">Murphy JT, Purdue GF, Hunt JL. Toxic epidermal necrolysis. </w:t>
      </w:r>
      <w:r w:rsidRPr="00DD469F">
        <w:rPr>
          <w:rFonts w:ascii="Arial" w:hAnsi="Arial" w:cs="Arial"/>
          <w:i/>
          <w:noProof/>
        </w:rPr>
        <w:t>J Burn Care Rehabil</w:t>
      </w:r>
      <w:r>
        <w:rPr>
          <w:rFonts w:ascii="Arial" w:hAnsi="Arial" w:cs="Arial"/>
          <w:noProof/>
        </w:rPr>
        <w:t xml:space="preserve"> 1997; </w:t>
      </w:r>
      <w:r w:rsidRPr="00DD469F">
        <w:rPr>
          <w:rFonts w:ascii="Arial" w:hAnsi="Arial" w:cs="Arial"/>
          <w:b/>
          <w:noProof/>
        </w:rPr>
        <w:t>18</w:t>
      </w:r>
      <w:r>
        <w:rPr>
          <w:rFonts w:ascii="Arial" w:hAnsi="Arial" w:cs="Arial"/>
          <w:noProof/>
        </w:rPr>
        <w:t>:417-20.</w:t>
      </w:r>
      <w:bookmarkEnd w:id="111"/>
    </w:p>
    <w:p w:rsidR="00BD084C" w:rsidRDefault="00BD084C" w:rsidP="0085034D">
      <w:pPr>
        <w:pStyle w:val="NoSpacing"/>
        <w:ind w:left="720" w:hanging="720"/>
        <w:jc w:val="both"/>
        <w:rPr>
          <w:rFonts w:ascii="Arial" w:hAnsi="Arial" w:cs="Arial"/>
          <w:noProof/>
        </w:rPr>
      </w:pPr>
      <w:bookmarkStart w:id="112" w:name="_ENREF_112"/>
      <w:r>
        <w:rPr>
          <w:rFonts w:ascii="Arial" w:hAnsi="Arial" w:cs="Arial"/>
          <w:noProof/>
        </w:rPr>
        <w:t>112</w:t>
      </w:r>
      <w:r>
        <w:rPr>
          <w:rFonts w:ascii="Arial" w:hAnsi="Arial" w:cs="Arial"/>
          <w:noProof/>
        </w:rPr>
        <w:tab/>
        <w:t>Hirahara K, Kano Y, Sato Y</w:t>
      </w:r>
      <w:r w:rsidRPr="00DD469F">
        <w:rPr>
          <w:rFonts w:ascii="Arial" w:hAnsi="Arial" w:cs="Arial"/>
          <w:i/>
          <w:noProof/>
        </w:rPr>
        <w:t xml:space="preserve"> et al.</w:t>
      </w:r>
      <w:r>
        <w:rPr>
          <w:rFonts w:ascii="Arial" w:hAnsi="Arial" w:cs="Arial"/>
          <w:noProof/>
        </w:rPr>
        <w:t xml:space="preserve"> Methylprednisolone pulse therapy for Stevens-Johnson syndrome/toxic epidermal necrolysis: clinical evaluation and analysis of biomarkers. </w:t>
      </w:r>
      <w:r w:rsidRPr="00DD469F">
        <w:rPr>
          <w:rFonts w:ascii="Arial" w:hAnsi="Arial" w:cs="Arial"/>
          <w:i/>
          <w:noProof/>
        </w:rPr>
        <w:t>J Am Acad Dermatol</w:t>
      </w:r>
      <w:r>
        <w:rPr>
          <w:rFonts w:ascii="Arial" w:hAnsi="Arial" w:cs="Arial"/>
          <w:noProof/>
        </w:rPr>
        <w:t xml:space="preserve"> 2013; </w:t>
      </w:r>
      <w:r w:rsidRPr="00DD469F">
        <w:rPr>
          <w:rFonts w:ascii="Arial" w:hAnsi="Arial" w:cs="Arial"/>
          <w:b/>
          <w:noProof/>
        </w:rPr>
        <w:t>69</w:t>
      </w:r>
      <w:r>
        <w:rPr>
          <w:rFonts w:ascii="Arial" w:hAnsi="Arial" w:cs="Arial"/>
          <w:noProof/>
        </w:rPr>
        <w:t>:496-8.</w:t>
      </w:r>
      <w:bookmarkEnd w:id="112"/>
    </w:p>
    <w:p w:rsidR="00BD084C" w:rsidRDefault="00BD084C" w:rsidP="0085034D">
      <w:pPr>
        <w:pStyle w:val="NoSpacing"/>
        <w:ind w:left="720" w:hanging="720"/>
        <w:jc w:val="both"/>
        <w:rPr>
          <w:rFonts w:ascii="Arial" w:hAnsi="Arial" w:cs="Arial"/>
          <w:noProof/>
        </w:rPr>
      </w:pPr>
      <w:bookmarkStart w:id="113" w:name="_ENREF_113"/>
      <w:r>
        <w:rPr>
          <w:rFonts w:ascii="Arial" w:hAnsi="Arial" w:cs="Arial"/>
          <w:noProof/>
        </w:rPr>
        <w:t>113</w:t>
      </w:r>
      <w:r>
        <w:rPr>
          <w:rFonts w:ascii="Arial" w:hAnsi="Arial" w:cs="Arial"/>
          <w:noProof/>
        </w:rPr>
        <w:tab/>
        <w:t>Arévalo JM, Lorente JA, González-Herrada C</w:t>
      </w:r>
      <w:r w:rsidRPr="00DD469F">
        <w:rPr>
          <w:rFonts w:ascii="Arial" w:hAnsi="Arial" w:cs="Arial"/>
          <w:i/>
          <w:noProof/>
        </w:rPr>
        <w:t xml:space="preserve"> et al.</w:t>
      </w:r>
      <w:r>
        <w:rPr>
          <w:rFonts w:ascii="Arial" w:hAnsi="Arial" w:cs="Arial"/>
          <w:noProof/>
        </w:rPr>
        <w:t xml:space="preserve"> Treatment of toxic epidermal necrolysis with cyclosporin A. </w:t>
      </w:r>
      <w:r w:rsidRPr="00DD469F">
        <w:rPr>
          <w:rFonts w:ascii="Arial" w:hAnsi="Arial" w:cs="Arial"/>
          <w:i/>
          <w:noProof/>
        </w:rPr>
        <w:t>J Trauma</w:t>
      </w:r>
      <w:r>
        <w:rPr>
          <w:rFonts w:ascii="Arial" w:hAnsi="Arial" w:cs="Arial"/>
          <w:noProof/>
        </w:rPr>
        <w:t xml:space="preserve"> 2000; </w:t>
      </w:r>
      <w:r w:rsidRPr="00DD469F">
        <w:rPr>
          <w:rFonts w:ascii="Arial" w:hAnsi="Arial" w:cs="Arial"/>
          <w:b/>
          <w:noProof/>
        </w:rPr>
        <w:t>48</w:t>
      </w:r>
      <w:r>
        <w:rPr>
          <w:rFonts w:ascii="Arial" w:hAnsi="Arial" w:cs="Arial"/>
          <w:noProof/>
        </w:rPr>
        <w:t>:473-8.</w:t>
      </w:r>
      <w:bookmarkEnd w:id="113"/>
    </w:p>
    <w:p w:rsidR="00BD084C" w:rsidRDefault="00BD084C" w:rsidP="0085034D">
      <w:pPr>
        <w:pStyle w:val="NoSpacing"/>
        <w:ind w:left="720" w:hanging="720"/>
        <w:jc w:val="both"/>
        <w:rPr>
          <w:rFonts w:ascii="Arial" w:hAnsi="Arial" w:cs="Arial"/>
          <w:noProof/>
        </w:rPr>
      </w:pPr>
      <w:bookmarkStart w:id="114" w:name="_ENREF_114"/>
      <w:r>
        <w:rPr>
          <w:rFonts w:ascii="Arial" w:hAnsi="Arial" w:cs="Arial"/>
          <w:noProof/>
        </w:rPr>
        <w:t>114</w:t>
      </w:r>
      <w:r>
        <w:rPr>
          <w:rFonts w:ascii="Arial" w:hAnsi="Arial" w:cs="Arial"/>
          <w:noProof/>
        </w:rPr>
        <w:tab/>
        <w:t>Valeyrie-Allanore L, Wolkenstein P, Brochard L</w:t>
      </w:r>
      <w:r w:rsidRPr="00DD469F">
        <w:rPr>
          <w:rFonts w:ascii="Arial" w:hAnsi="Arial" w:cs="Arial"/>
          <w:i/>
          <w:noProof/>
        </w:rPr>
        <w:t xml:space="preserve"> et al.</w:t>
      </w:r>
      <w:r>
        <w:rPr>
          <w:rFonts w:ascii="Arial" w:hAnsi="Arial" w:cs="Arial"/>
          <w:noProof/>
        </w:rPr>
        <w:t xml:space="preserve"> Open trial of ciclosporin treatment for Stevens-Johnson syndrome and toxic epidermal necrolysis. </w:t>
      </w:r>
      <w:r w:rsidRPr="00DD469F">
        <w:rPr>
          <w:rFonts w:ascii="Arial" w:hAnsi="Arial" w:cs="Arial"/>
          <w:i/>
          <w:noProof/>
        </w:rPr>
        <w:t>Br J Dermatol</w:t>
      </w:r>
      <w:r>
        <w:rPr>
          <w:rFonts w:ascii="Arial" w:hAnsi="Arial" w:cs="Arial"/>
          <w:noProof/>
        </w:rPr>
        <w:t xml:space="preserve"> 2010; </w:t>
      </w:r>
      <w:r w:rsidRPr="00DD469F">
        <w:rPr>
          <w:rFonts w:ascii="Arial" w:hAnsi="Arial" w:cs="Arial"/>
          <w:b/>
          <w:noProof/>
        </w:rPr>
        <w:t>163</w:t>
      </w:r>
      <w:r>
        <w:rPr>
          <w:rFonts w:ascii="Arial" w:hAnsi="Arial" w:cs="Arial"/>
          <w:noProof/>
        </w:rPr>
        <w:t>:847-53.</w:t>
      </w:r>
      <w:bookmarkEnd w:id="114"/>
    </w:p>
    <w:p w:rsidR="00BD084C" w:rsidRDefault="00BD084C" w:rsidP="0085034D">
      <w:pPr>
        <w:pStyle w:val="NoSpacing"/>
        <w:ind w:left="720" w:hanging="720"/>
        <w:jc w:val="both"/>
        <w:rPr>
          <w:rFonts w:ascii="Arial" w:hAnsi="Arial" w:cs="Arial"/>
          <w:noProof/>
        </w:rPr>
      </w:pPr>
      <w:bookmarkStart w:id="115" w:name="_ENREF_115"/>
      <w:r>
        <w:rPr>
          <w:rFonts w:ascii="Arial" w:hAnsi="Arial" w:cs="Arial"/>
          <w:noProof/>
        </w:rPr>
        <w:t>115</w:t>
      </w:r>
      <w:r>
        <w:rPr>
          <w:rFonts w:ascii="Arial" w:hAnsi="Arial" w:cs="Arial"/>
          <w:noProof/>
        </w:rPr>
        <w:tab/>
        <w:t xml:space="preserve">Singh GK, Chatterjee M, Verma R. Cyclosporine in Stevens Johnson syndrome and toxic epidermal necrolysis and retrospective comparison with systemic corticosteroid. </w:t>
      </w:r>
      <w:r w:rsidRPr="00DD469F">
        <w:rPr>
          <w:rFonts w:ascii="Arial" w:hAnsi="Arial" w:cs="Arial"/>
          <w:i/>
          <w:noProof/>
        </w:rPr>
        <w:t>Indian J Dermatol Venereol Leprol</w:t>
      </w:r>
      <w:r>
        <w:rPr>
          <w:rFonts w:ascii="Arial" w:hAnsi="Arial" w:cs="Arial"/>
          <w:noProof/>
        </w:rPr>
        <w:t xml:space="preserve"> 2013; </w:t>
      </w:r>
      <w:r w:rsidRPr="00DD469F">
        <w:rPr>
          <w:rFonts w:ascii="Arial" w:hAnsi="Arial" w:cs="Arial"/>
          <w:b/>
          <w:noProof/>
        </w:rPr>
        <w:t>79</w:t>
      </w:r>
      <w:r>
        <w:rPr>
          <w:rFonts w:ascii="Arial" w:hAnsi="Arial" w:cs="Arial"/>
          <w:noProof/>
        </w:rPr>
        <w:t>:686-92.</w:t>
      </w:r>
      <w:bookmarkEnd w:id="115"/>
    </w:p>
    <w:p w:rsidR="00BD084C" w:rsidRDefault="00BD084C" w:rsidP="0085034D">
      <w:pPr>
        <w:pStyle w:val="NoSpacing"/>
        <w:ind w:left="720" w:hanging="720"/>
        <w:jc w:val="both"/>
        <w:rPr>
          <w:rFonts w:ascii="Arial" w:hAnsi="Arial" w:cs="Arial"/>
          <w:noProof/>
        </w:rPr>
      </w:pPr>
      <w:bookmarkStart w:id="116" w:name="_ENREF_116"/>
      <w:r>
        <w:rPr>
          <w:rFonts w:ascii="Arial" w:hAnsi="Arial" w:cs="Arial"/>
          <w:noProof/>
        </w:rPr>
        <w:t>116</w:t>
      </w:r>
      <w:r>
        <w:rPr>
          <w:rFonts w:ascii="Arial" w:hAnsi="Arial" w:cs="Arial"/>
          <w:noProof/>
        </w:rPr>
        <w:tab/>
        <w:t>Kirchhof MG, Miliszewski MA, Sikora S</w:t>
      </w:r>
      <w:r w:rsidRPr="00DD469F">
        <w:rPr>
          <w:rFonts w:ascii="Arial" w:hAnsi="Arial" w:cs="Arial"/>
          <w:i/>
          <w:noProof/>
        </w:rPr>
        <w:t xml:space="preserve"> et al.</w:t>
      </w:r>
      <w:r>
        <w:rPr>
          <w:rFonts w:ascii="Arial" w:hAnsi="Arial" w:cs="Arial"/>
          <w:noProof/>
        </w:rPr>
        <w:t xml:space="preserve"> Retrospective review of Stevens-Johnson syndrome/toxic epidermal necrolysis treatment comparing intravenous immunoglobulin with cyclosporine. </w:t>
      </w:r>
      <w:r w:rsidRPr="00DD469F">
        <w:rPr>
          <w:rFonts w:ascii="Arial" w:hAnsi="Arial" w:cs="Arial"/>
          <w:i/>
          <w:noProof/>
        </w:rPr>
        <w:t>J Am Acad Dermatol</w:t>
      </w:r>
      <w:r>
        <w:rPr>
          <w:rFonts w:ascii="Arial" w:hAnsi="Arial" w:cs="Arial"/>
          <w:noProof/>
        </w:rPr>
        <w:t xml:space="preserve"> 2014:epub ahead of print.</w:t>
      </w:r>
      <w:bookmarkEnd w:id="116"/>
    </w:p>
    <w:p w:rsidR="00BD084C" w:rsidRDefault="00BD084C" w:rsidP="0085034D">
      <w:pPr>
        <w:pStyle w:val="NoSpacing"/>
        <w:ind w:left="720" w:hanging="720"/>
        <w:jc w:val="both"/>
        <w:rPr>
          <w:rFonts w:ascii="Arial" w:hAnsi="Arial" w:cs="Arial"/>
          <w:noProof/>
        </w:rPr>
      </w:pPr>
      <w:bookmarkStart w:id="117" w:name="_ENREF_117"/>
      <w:r>
        <w:rPr>
          <w:rFonts w:ascii="Arial" w:hAnsi="Arial" w:cs="Arial"/>
          <w:noProof/>
        </w:rPr>
        <w:t>117</w:t>
      </w:r>
      <w:r>
        <w:rPr>
          <w:rFonts w:ascii="Arial" w:hAnsi="Arial" w:cs="Arial"/>
          <w:noProof/>
        </w:rPr>
        <w:tab/>
        <w:t>Narita YM, Hirahara K, Mizukawa Y</w:t>
      </w:r>
      <w:r w:rsidRPr="00DD469F">
        <w:rPr>
          <w:rFonts w:ascii="Arial" w:hAnsi="Arial" w:cs="Arial"/>
          <w:i/>
          <w:noProof/>
        </w:rPr>
        <w:t xml:space="preserve"> et al.</w:t>
      </w:r>
      <w:r>
        <w:rPr>
          <w:rFonts w:ascii="Arial" w:hAnsi="Arial" w:cs="Arial"/>
          <w:noProof/>
        </w:rPr>
        <w:t xml:space="preserve"> Efficacy of plasmapheresis for the treatment of severe toxic epidermal necrolysis: Is cytokine expression analysis useful in predicting its therapeutic efficacy? </w:t>
      </w:r>
      <w:r w:rsidRPr="00DD469F">
        <w:rPr>
          <w:rFonts w:ascii="Arial" w:hAnsi="Arial" w:cs="Arial"/>
          <w:i/>
          <w:noProof/>
        </w:rPr>
        <w:t>J Dermatol</w:t>
      </w:r>
      <w:r>
        <w:rPr>
          <w:rFonts w:ascii="Arial" w:hAnsi="Arial" w:cs="Arial"/>
          <w:noProof/>
        </w:rPr>
        <w:t xml:space="preserve"> 2011; </w:t>
      </w:r>
      <w:r w:rsidRPr="00DD469F">
        <w:rPr>
          <w:rFonts w:ascii="Arial" w:hAnsi="Arial" w:cs="Arial"/>
          <w:b/>
          <w:noProof/>
        </w:rPr>
        <w:t>38</w:t>
      </w:r>
      <w:r>
        <w:rPr>
          <w:rFonts w:ascii="Arial" w:hAnsi="Arial" w:cs="Arial"/>
          <w:noProof/>
        </w:rPr>
        <w:t>:236-45.</w:t>
      </w:r>
      <w:bookmarkEnd w:id="117"/>
    </w:p>
    <w:p w:rsidR="00BD084C" w:rsidRDefault="00BD084C" w:rsidP="0085034D">
      <w:pPr>
        <w:pStyle w:val="NoSpacing"/>
        <w:ind w:left="720" w:hanging="720"/>
        <w:jc w:val="both"/>
        <w:rPr>
          <w:rFonts w:ascii="Arial" w:hAnsi="Arial" w:cs="Arial"/>
          <w:noProof/>
        </w:rPr>
      </w:pPr>
      <w:bookmarkStart w:id="118" w:name="_ENREF_118"/>
      <w:r>
        <w:rPr>
          <w:rFonts w:ascii="Arial" w:hAnsi="Arial" w:cs="Arial"/>
          <w:noProof/>
        </w:rPr>
        <w:t>118</w:t>
      </w:r>
      <w:r>
        <w:rPr>
          <w:rFonts w:ascii="Arial" w:hAnsi="Arial" w:cs="Arial"/>
          <w:noProof/>
        </w:rPr>
        <w:tab/>
        <w:t>Koštál M, Bláha M, Lánská M</w:t>
      </w:r>
      <w:r w:rsidRPr="00DD469F">
        <w:rPr>
          <w:rFonts w:ascii="Arial" w:hAnsi="Arial" w:cs="Arial"/>
          <w:i/>
          <w:noProof/>
        </w:rPr>
        <w:t xml:space="preserve"> et al.</w:t>
      </w:r>
      <w:r>
        <w:rPr>
          <w:rFonts w:ascii="Arial" w:hAnsi="Arial" w:cs="Arial"/>
          <w:noProof/>
        </w:rPr>
        <w:t xml:space="preserve"> Beneficial effect of plasma exchange in the treatment of toxic epidermal necrolysis: a series of four cases. </w:t>
      </w:r>
      <w:r w:rsidRPr="00DD469F">
        <w:rPr>
          <w:rFonts w:ascii="Arial" w:hAnsi="Arial" w:cs="Arial"/>
          <w:i/>
          <w:noProof/>
        </w:rPr>
        <w:t>J Clin Apher</w:t>
      </w:r>
      <w:r>
        <w:rPr>
          <w:rFonts w:ascii="Arial" w:hAnsi="Arial" w:cs="Arial"/>
          <w:noProof/>
        </w:rPr>
        <w:t xml:space="preserve"> 2012; </w:t>
      </w:r>
      <w:r w:rsidRPr="00DD469F">
        <w:rPr>
          <w:rFonts w:ascii="Arial" w:hAnsi="Arial" w:cs="Arial"/>
          <w:b/>
          <w:noProof/>
        </w:rPr>
        <w:t>27</w:t>
      </w:r>
      <w:r>
        <w:rPr>
          <w:rFonts w:ascii="Arial" w:hAnsi="Arial" w:cs="Arial"/>
          <w:noProof/>
        </w:rPr>
        <w:t>:215-20.</w:t>
      </w:r>
      <w:bookmarkEnd w:id="118"/>
    </w:p>
    <w:p w:rsidR="00BD084C" w:rsidRDefault="00BD084C" w:rsidP="0085034D">
      <w:pPr>
        <w:pStyle w:val="NoSpacing"/>
        <w:ind w:left="720" w:hanging="720"/>
        <w:jc w:val="both"/>
        <w:rPr>
          <w:rFonts w:ascii="Arial" w:hAnsi="Arial" w:cs="Arial"/>
          <w:noProof/>
        </w:rPr>
      </w:pPr>
      <w:bookmarkStart w:id="119" w:name="_ENREF_119"/>
      <w:r>
        <w:rPr>
          <w:rFonts w:ascii="Arial" w:hAnsi="Arial" w:cs="Arial"/>
          <w:noProof/>
        </w:rPr>
        <w:t>119</w:t>
      </w:r>
      <w:r>
        <w:rPr>
          <w:rFonts w:ascii="Arial" w:hAnsi="Arial" w:cs="Arial"/>
          <w:noProof/>
        </w:rPr>
        <w:tab/>
        <w:t>Paradisi A, Abeni D, Bergamo F</w:t>
      </w:r>
      <w:r w:rsidRPr="00DD469F">
        <w:rPr>
          <w:rFonts w:ascii="Arial" w:hAnsi="Arial" w:cs="Arial"/>
          <w:i/>
          <w:noProof/>
        </w:rPr>
        <w:t xml:space="preserve"> et al.</w:t>
      </w:r>
      <w:r>
        <w:rPr>
          <w:rFonts w:ascii="Arial" w:hAnsi="Arial" w:cs="Arial"/>
          <w:noProof/>
        </w:rPr>
        <w:t xml:space="preserve"> Etanercept therapy for toxic epidermal necrolysis. </w:t>
      </w:r>
      <w:r w:rsidRPr="00DD469F">
        <w:rPr>
          <w:rFonts w:ascii="Arial" w:hAnsi="Arial" w:cs="Arial"/>
          <w:i/>
          <w:noProof/>
        </w:rPr>
        <w:t>J Am Acad Dermatol</w:t>
      </w:r>
      <w:r>
        <w:rPr>
          <w:rFonts w:ascii="Arial" w:hAnsi="Arial" w:cs="Arial"/>
          <w:noProof/>
        </w:rPr>
        <w:t xml:space="preserve"> 2014; </w:t>
      </w:r>
      <w:r w:rsidRPr="00DD469F">
        <w:rPr>
          <w:rFonts w:ascii="Arial" w:hAnsi="Arial" w:cs="Arial"/>
          <w:b/>
          <w:noProof/>
        </w:rPr>
        <w:t>71</w:t>
      </w:r>
      <w:r>
        <w:rPr>
          <w:rFonts w:ascii="Arial" w:hAnsi="Arial" w:cs="Arial"/>
          <w:noProof/>
        </w:rPr>
        <w:t>:278-83.</w:t>
      </w:r>
      <w:bookmarkEnd w:id="119"/>
    </w:p>
    <w:p w:rsidR="00BD084C" w:rsidRDefault="00BD084C" w:rsidP="0085034D">
      <w:pPr>
        <w:pStyle w:val="NoSpacing"/>
        <w:ind w:left="720" w:hanging="720"/>
        <w:jc w:val="both"/>
        <w:rPr>
          <w:rFonts w:ascii="Arial" w:hAnsi="Arial" w:cs="Arial"/>
          <w:noProof/>
        </w:rPr>
      </w:pPr>
      <w:bookmarkStart w:id="120" w:name="_ENREF_120"/>
      <w:r>
        <w:rPr>
          <w:rFonts w:ascii="Arial" w:hAnsi="Arial" w:cs="Arial"/>
          <w:noProof/>
        </w:rPr>
        <w:t>120</w:t>
      </w:r>
      <w:r>
        <w:rPr>
          <w:rFonts w:ascii="Arial" w:hAnsi="Arial" w:cs="Arial"/>
          <w:noProof/>
        </w:rPr>
        <w:tab/>
        <w:t>National Institute for Health and Care Excellence. Drug allergy: diagnosis and management of drug allergy in adults, children and young people. NICE guideline (CG183) 2014.</w:t>
      </w:r>
      <w:bookmarkEnd w:id="120"/>
    </w:p>
    <w:p w:rsidR="00BD084C" w:rsidRDefault="00BD084C" w:rsidP="0085034D">
      <w:pPr>
        <w:pStyle w:val="NoSpacing"/>
        <w:ind w:left="720" w:hanging="720"/>
        <w:jc w:val="both"/>
        <w:rPr>
          <w:rFonts w:ascii="Arial" w:hAnsi="Arial" w:cs="Arial"/>
          <w:noProof/>
        </w:rPr>
      </w:pPr>
      <w:bookmarkStart w:id="121" w:name="_ENREF_121"/>
      <w:r>
        <w:rPr>
          <w:rFonts w:ascii="Arial" w:hAnsi="Arial" w:cs="Arial"/>
          <w:noProof/>
        </w:rPr>
        <w:lastRenderedPageBreak/>
        <w:t>121</w:t>
      </w:r>
      <w:r>
        <w:rPr>
          <w:rFonts w:ascii="Arial" w:hAnsi="Arial" w:cs="Arial"/>
          <w:noProof/>
        </w:rPr>
        <w:tab/>
        <w:t>Butt TF, Cox AR, Lewis H</w:t>
      </w:r>
      <w:r w:rsidRPr="00DD469F">
        <w:rPr>
          <w:rFonts w:ascii="Arial" w:hAnsi="Arial" w:cs="Arial"/>
          <w:i/>
          <w:noProof/>
        </w:rPr>
        <w:t xml:space="preserve"> et al.</w:t>
      </w:r>
      <w:r>
        <w:rPr>
          <w:rFonts w:ascii="Arial" w:hAnsi="Arial" w:cs="Arial"/>
          <w:noProof/>
        </w:rPr>
        <w:t xml:space="preserve"> Patient experiences of serious adverse drug reactions and their attitudes to medicines: a qualitative study of survivors of Stevens-Johnson syndrome and toxic epidermal necrolysis in the UK. </w:t>
      </w:r>
      <w:r w:rsidRPr="00DD469F">
        <w:rPr>
          <w:rFonts w:ascii="Arial" w:hAnsi="Arial" w:cs="Arial"/>
          <w:i/>
          <w:noProof/>
        </w:rPr>
        <w:t>Drug Saf</w:t>
      </w:r>
      <w:r>
        <w:rPr>
          <w:rFonts w:ascii="Arial" w:hAnsi="Arial" w:cs="Arial"/>
          <w:noProof/>
        </w:rPr>
        <w:t xml:space="preserve"> 2011; </w:t>
      </w:r>
      <w:r w:rsidRPr="00DD469F">
        <w:rPr>
          <w:rFonts w:ascii="Arial" w:hAnsi="Arial" w:cs="Arial"/>
          <w:b/>
          <w:noProof/>
        </w:rPr>
        <w:t>34</w:t>
      </w:r>
      <w:r>
        <w:rPr>
          <w:rFonts w:ascii="Arial" w:hAnsi="Arial" w:cs="Arial"/>
          <w:noProof/>
        </w:rPr>
        <w:t>:319-28.</w:t>
      </w:r>
      <w:bookmarkEnd w:id="121"/>
    </w:p>
    <w:p w:rsidR="00BD084C" w:rsidRDefault="00BD084C" w:rsidP="0085034D">
      <w:pPr>
        <w:pStyle w:val="NoSpacing"/>
        <w:ind w:left="720" w:hanging="720"/>
        <w:jc w:val="both"/>
        <w:rPr>
          <w:rFonts w:ascii="Arial" w:hAnsi="Arial" w:cs="Arial"/>
          <w:noProof/>
        </w:rPr>
      </w:pPr>
      <w:bookmarkStart w:id="122" w:name="_ENREF_122"/>
      <w:r>
        <w:rPr>
          <w:rFonts w:ascii="Arial" w:hAnsi="Arial" w:cs="Arial"/>
          <w:noProof/>
        </w:rPr>
        <w:t>122</w:t>
      </w:r>
      <w:r>
        <w:rPr>
          <w:rFonts w:ascii="Arial" w:hAnsi="Arial" w:cs="Arial"/>
          <w:noProof/>
        </w:rPr>
        <w:tab/>
        <w:t>Sotozono C, Ang LP, Koizumi N</w:t>
      </w:r>
      <w:r w:rsidRPr="00DD469F">
        <w:rPr>
          <w:rFonts w:ascii="Arial" w:hAnsi="Arial" w:cs="Arial"/>
          <w:i/>
          <w:noProof/>
        </w:rPr>
        <w:t xml:space="preserve"> et al.</w:t>
      </w:r>
      <w:r>
        <w:rPr>
          <w:rFonts w:ascii="Arial" w:hAnsi="Arial" w:cs="Arial"/>
          <w:noProof/>
        </w:rPr>
        <w:t xml:space="preserve"> New grading system for the evaluation of chronic ocular manifestations in patients with Stevens-Johnson syndrome. </w:t>
      </w:r>
      <w:r w:rsidRPr="00DD469F">
        <w:rPr>
          <w:rFonts w:ascii="Arial" w:hAnsi="Arial" w:cs="Arial"/>
          <w:i/>
          <w:noProof/>
        </w:rPr>
        <w:t>Ophthalmology</w:t>
      </w:r>
      <w:r>
        <w:rPr>
          <w:rFonts w:ascii="Arial" w:hAnsi="Arial" w:cs="Arial"/>
          <w:noProof/>
        </w:rPr>
        <w:t xml:space="preserve"> 2007; </w:t>
      </w:r>
      <w:r w:rsidRPr="00DD469F">
        <w:rPr>
          <w:rFonts w:ascii="Arial" w:hAnsi="Arial" w:cs="Arial"/>
          <w:b/>
          <w:noProof/>
        </w:rPr>
        <w:t>114</w:t>
      </w:r>
      <w:r>
        <w:rPr>
          <w:rFonts w:ascii="Arial" w:hAnsi="Arial" w:cs="Arial"/>
          <w:noProof/>
        </w:rPr>
        <w:t>:1294-302.</w:t>
      </w:r>
      <w:bookmarkEnd w:id="122"/>
    </w:p>
    <w:p w:rsidR="00BD084C" w:rsidRDefault="00BD084C" w:rsidP="0085034D">
      <w:pPr>
        <w:pStyle w:val="NoSpacing"/>
        <w:ind w:left="720" w:hanging="720"/>
        <w:jc w:val="both"/>
        <w:rPr>
          <w:rFonts w:ascii="Arial" w:hAnsi="Arial" w:cs="Arial"/>
          <w:noProof/>
        </w:rPr>
      </w:pPr>
      <w:bookmarkStart w:id="123" w:name="_ENREF_123"/>
      <w:r>
        <w:rPr>
          <w:rFonts w:ascii="Arial" w:hAnsi="Arial" w:cs="Arial"/>
          <w:noProof/>
        </w:rPr>
        <w:t>123</w:t>
      </w:r>
      <w:r>
        <w:rPr>
          <w:rFonts w:ascii="Arial" w:hAnsi="Arial" w:cs="Arial"/>
          <w:noProof/>
        </w:rPr>
        <w:tab/>
        <w:t>Aihara M, Kano Y, Fujita H</w:t>
      </w:r>
      <w:r w:rsidRPr="00DD469F">
        <w:rPr>
          <w:rFonts w:ascii="Arial" w:hAnsi="Arial" w:cs="Arial"/>
          <w:i/>
          <w:noProof/>
        </w:rPr>
        <w:t xml:space="preserve"> et al.</w:t>
      </w:r>
      <w:r>
        <w:rPr>
          <w:rFonts w:ascii="Arial" w:hAnsi="Arial" w:cs="Arial"/>
          <w:noProof/>
        </w:rPr>
        <w:t xml:space="preserve"> Efficacy of additional i.v. immunoglobulin to steroid therapy in Stevens-Johnson syndrome and toxic epidermal necrolysis. </w:t>
      </w:r>
      <w:r w:rsidRPr="00DD469F">
        <w:rPr>
          <w:rFonts w:ascii="Arial" w:hAnsi="Arial" w:cs="Arial"/>
          <w:i/>
          <w:noProof/>
        </w:rPr>
        <w:t>J Dermatol</w:t>
      </w:r>
      <w:r>
        <w:rPr>
          <w:rFonts w:ascii="Arial" w:hAnsi="Arial" w:cs="Arial"/>
          <w:noProof/>
        </w:rPr>
        <w:t xml:space="preserve"> 2015.</w:t>
      </w:r>
      <w:bookmarkEnd w:id="123"/>
    </w:p>
    <w:p w:rsidR="00BD084C" w:rsidRDefault="00BD084C" w:rsidP="0085034D">
      <w:pPr>
        <w:pStyle w:val="NoSpacing"/>
        <w:ind w:left="720" w:hanging="720"/>
        <w:jc w:val="both"/>
        <w:rPr>
          <w:rFonts w:ascii="Arial" w:hAnsi="Arial" w:cs="Arial"/>
          <w:noProof/>
        </w:rPr>
      </w:pPr>
      <w:bookmarkStart w:id="124" w:name="_ENREF_124"/>
      <w:r>
        <w:rPr>
          <w:rFonts w:ascii="Arial" w:hAnsi="Arial" w:cs="Arial"/>
          <w:noProof/>
        </w:rPr>
        <w:t>124</w:t>
      </w:r>
      <w:r>
        <w:rPr>
          <w:rFonts w:ascii="Arial" w:hAnsi="Arial" w:cs="Arial"/>
          <w:noProof/>
        </w:rPr>
        <w:tab/>
        <w:t xml:space="preserve">Friedmann PS, Ardern-Jones M. Patch testing in drug allergy. </w:t>
      </w:r>
      <w:r w:rsidRPr="00DD469F">
        <w:rPr>
          <w:rFonts w:ascii="Arial" w:hAnsi="Arial" w:cs="Arial"/>
          <w:i/>
          <w:noProof/>
        </w:rPr>
        <w:t>Curr Opin Allergy Clin Immunol</w:t>
      </w:r>
      <w:r>
        <w:rPr>
          <w:rFonts w:ascii="Arial" w:hAnsi="Arial" w:cs="Arial"/>
          <w:noProof/>
        </w:rPr>
        <w:t xml:space="preserve"> 2010; </w:t>
      </w:r>
      <w:r w:rsidRPr="00DD469F">
        <w:rPr>
          <w:rFonts w:ascii="Arial" w:hAnsi="Arial" w:cs="Arial"/>
          <w:b/>
          <w:noProof/>
        </w:rPr>
        <w:t>10</w:t>
      </w:r>
      <w:r>
        <w:rPr>
          <w:rFonts w:ascii="Arial" w:hAnsi="Arial" w:cs="Arial"/>
          <w:noProof/>
        </w:rPr>
        <w:t>:291-6.</w:t>
      </w:r>
      <w:bookmarkEnd w:id="124"/>
    </w:p>
    <w:p w:rsidR="00BD084C" w:rsidRDefault="00BD084C" w:rsidP="0085034D">
      <w:pPr>
        <w:pStyle w:val="NoSpacing"/>
        <w:ind w:left="720" w:hanging="720"/>
        <w:jc w:val="both"/>
        <w:rPr>
          <w:rFonts w:ascii="Arial" w:hAnsi="Arial" w:cs="Arial"/>
          <w:noProof/>
        </w:rPr>
      </w:pPr>
      <w:bookmarkStart w:id="125" w:name="_ENREF_125"/>
      <w:r>
        <w:rPr>
          <w:rFonts w:ascii="Arial" w:hAnsi="Arial" w:cs="Arial"/>
          <w:noProof/>
        </w:rPr>
        <w:t>125</w:t>
      </w:r>
      <w:r>
        <w:rPr>
          <w:rFonts w:ascii="Arial" w:hAnsi="Arial" w:cs="Arial"/>
          <w:noProof/>
        </w:rPr>
        <w:tab/>
        <w:t>Wolkenstein P, Chosidow O, Fléchet ML</w:t>
      </w:r>
      <w:r w:rsidRPr="00DD469F">
        <w:rPr>
          <w:rFonts w:ascii="Arial" w:hAnsi="Arial" w:cs="Arial"/>
          <w:i/>
          <w:noProof/>
        </w:rPr>
        <w:t xml:space="preserve"> et al.</w:t>
      </w:r>
      <w:r>
        <w:rPr>
          <w:rFonts w:ascii="Arial" w:hAnsi="Arial" w:cs="Arial"/>
          <w:noProof/>
        </w:rPr>
        <w:t xml:space="preserve"> Patch testing in severe cutaneous adverse drug reactions, including Stevens-Johnson syndrome and toxic epidermal necrolysis. </w:t>
      </w:r>
      <w:r w:rsidRPr="00DD469F">
        <w:rPr>
          <w:rFonts w:ascii="Arial" w:hAnsi="Arial" w:cs="Arial"/>
          <w:i/>
          <w:noProof/>
        </w:rPr>
        <w:t>Contact Dermatitis</w:t>
      </w:r>
      <w:r>
        <w:rPr>
          <w:rFonts w:ascii="Arial" w:hAnsi="Arial" w:cs="Arial"/>
          <w:noProof/>
        </w:rPr>
        <w:t xml:space="preserve"> 1996; </w:t>
      </w:r>
      <w:r w:rsidRPr="00DD469F">
        <w:rPr>
          <w:rFonts w:ascii="Arial" w:hAnsi="Arial" w:cs="Arial"/>
          <w:b/>
          <w:noProof/>
        </w:rPr>
        <w:t>35</w:t>
      </w:r>
      <w:r>
        <w:rPr>
          <w:rFonts w:ascii="Arial" w:hAnsi="Arial" w:cs="Arial"/>
          <w:noProof/>
        </w:rPr>
        <w:t>:234-6.</w:t>
      </w:r>
      <w:bookmarkEnd w:id="125"/>
    </w:p>
    <w:p w:rsidR="00BD084C" w:rsidRDefault="00BD084C" w:rsidP="0085034D">
      <w:pPr>
        <w:pStyle w:val="NoSpacing"/>
        <w:ind w:left="720" w:hanging="720"/>
        <w:jc w:val="both"/>
        <w:rPr>
          <w:rFonts w:ascii="Arial" w:hAnsi="Arial" w:cs="Arial"/>
          <w:noProof/>
        </w:rPr>
      </w:pPr>
      <w:bookmarkStart w:id="126" w:name="_ENREF_126"/>
      <w:r>
        <w:rPr>
          <w:rFonts w:ascii="Arial" w:hAnsi="Arial" w:cs="Arial"/>
          <w:noProof/>
        </w:rPr>
        <w:t>126</w:t>
      </w:r>
      <w:r>
        <w:rPr>
          <w:rFonts w:ascii="Arial" w:hAnsi="Arial" w:cs="Arial"/>
          <w:noProof/>
        </w:rPr>
        <w:tab/>
        <w:t>Lin YT, Chang YC, Hui RC</w:t>
      </w:r>
      <w:r w:rsidRPr="00DD469F">
        <w:rPr>
          <w:rFonts w:ascii="Arial" w:hAnsi="Arial" w:cs="Arial"/>
          <w:i/>
          <w:noProof/>
        </w:rPr>
        <w:t xml:space="preserve"> et al.</w:t>
      </w:r>
      <w:r>
        <w:rPr>
          <w:rFonts w:ascii="Arial" w:hAnsi="Arial" w:cs="Arial"/>
          <w:noProof/>
        </w:rPr>
        <w:t xml:space="preserve"> A patch testing and cross-sensitivity study of carbamazepine-induced severe cutaneous adverse drug reactions. </w:t>
      </w:r>
      <w:r w:rsidRPr="00DD469F">
        <w:rPr>
          <w:rFonts w:ascii="Arial" w:hAnsi="Arial" w:cs="Arial"/>
          <w:i/>
          <w:noProof/>
        </w:rPr>
        <w:t>J Eur Acad Dermatol Venereol</w:t>
      </w:r>
      <w:r>
        <w:rPr>
          <w:rFonts w:ascii="Arial" w:hAnsi="Arial" w:cs="Arial"/>
          <w:noProof/>
        </w:rPr>
        <w:t xml:space="preserve"> 2013; </w:t>
      </w:r>
      <w:r w:rsidRPr="00DD469F">
        <w:rPr>
          <w:rFonts w:ascii="Arial" w:hAnsi="Arial" w:cs="Arial"/>
          <w:b/>
          <w:noProof/>
        </w:rPr>
        <w:t>27</w:t>
      </w:r>
      <w:r>
        <w:rPr>
          <w:rFonts w:ascii="Arial" w:hAnsi="Arial" w:cs="Arial"/>
          <w:noProof/>
        </w:rPr>
        <w:t>:356-64.</w:t>
      </w:r>
      <w:bookmarkEnd w:id="126"/>
    </w:p>
    <w:p w:rsidR="00BD084C" w:rsidRDefault="00BD084C" w:rsidP="0085034D">
      <w:pPr>
        <w:pStyle w:val="NoSpacing"/>
        <w:ind w:left="720" w:hanging="720"/>
        <w:jc w:val="both"/>
        <w:rPr>
          <w:rFonts w:ascii="Arial" w:hAnsi="Arial" w:cs="Arial"/>
          <w:noProof/>
        </w:rPr>
      </w:pPr>
      <w:bookmarkStart w:id="127" w:name="_ENREF_127"/>
      <w:r>
        <w:rPr>
          <w:rFonts w:ascii="Arial" w:hAnsi="Arial" w:cs="Arial"/>
          <w:noProof/>
        </w:rPr>
        <w:t>127</w:t>
      </w:r>
      <w:r>
        <w:rPr>
          <w:rFonts w:ascii="Arial" w:hAnsi="Arial" w:cs="Arial"/>
          <w:noProof/>
        </w:rPr>
        <w:tab/>
        <w:t>Barbaud A, Collet E, Milpied B</w:t>
      </w:r>
      <w:r w:rsidRPr="00DD469F">
        <w:rPr>
          <w:rFonts w:ascii="Arial" w:hAnsi="Arial" w:cs="Arial"/>
          <w:i/>
          <w:noProof/>
        </w:rPr>
        <w:t xml:space="preserve"> et al.</w:t>
      </w:r>
      <w:r>
        <w:rPr>
          <w:rFonts w:ascii="Arial" w:hAnsi="Arial" w:cs="Arial"/>
          <w:noProof/>
        </w:rPr>
        <w:t xml:space="preserve"> A multicentre study to determine the value and safety of drug patch tests for the three main classes of severe cutaneous adverse drug reactions. </w:t>
      </w:r>
      <w:r w:rsidRPr="00DD469F">
        <w:rPr>
          <w:rFonts w:ascii="Arial" w:hAnsi="Arial" w:cs="Arial"/>
          <w:i/>
          <w:noProof/>
        </w:rPr>
        <w:t>Br J Dermatol</w:t>
      </w:r>
      <w:r>
        <w:rPr>
          <w:rFonts w:ascii="Arial" w:hAnsi="Arial" w:cs="Arial"/>
          <w:noProof/>
        </w:rPr>
        <w:t xml:space="preserve"> 2013; </w:t>
      </w:r>
      <w:r w:rsidRPr="00DD469F">
        <w:rPr>
          <w:rFonts w:ascii="Arial" w:hAnsi="Arial" w:cs="Arial"/>
          <w:b/>
          <w:noProof/>
        </w:rPr>
        <w:t>168</w:t>
      </w:r>
      <w:r>
        <w:rPr>
          <w:rFonts w:ascii="Arial" w:hAnsi="Arial" w:cs="Arial"/>
          <w:noProof/>
        </w:rPr>
        <w:t>:555-62.</w:t>
      </w:r>
      <w:bookmarkEnd w:id="127"/>
    </w:p>
    <w:p w:rsidR="00BD084C" w:rsidRDefault="00BD084C" w:rsidP="0085034D">
      <w:pPr>
        <w:pStyle w:val="NoSpacing"/>
        <w:ind w:left="720" w:hanging="720"/>
        <w:jc w:val="both"/>
        <w:rPr>
          <w:rFonts w:ascii="Arial" w:hAnsi="Arial" w:cs="Arial"/>
          <w:noProof/>
        </w:rPr>
      </w:pPr>
      <w:bookmarkStart w:id="128" w:name="_ENREF_128"/>
      <w:r>
        <w:rPr>
          <w:rFonts w:ascii="Arial" w:hAnsi="Arial" w:cs="Arial"/>
          <w:noProof/>
        </w:rPr>
        <w:t>128</w:t>
      </w:r>
      <w:r>
        <w:rPr>
          <w:rFonts w:ascii="Arial" w:hAnsi="Arial" w:cs="Arial"/>
          <w:noProof/>
        </w:rPr>
        <w:tab/>
        <w:t>Neukomm CB, Yawalkar N, Helbling A</w:t>
      </w:r>
      <w:r w:rsidRPr="00DD469F">
        <w:rPr>
          <w:rFonts w:ascii="Arial" w:hAnsi="Arial" w:cs="Arial"/>
          <w:i/>
          <w:noProof/>
        </w:rPr>
        <w:t xml:space="preserve"> et al.</w:t>
      </w:r>
      <w:r>
        <w:rPr>
          <w:rFonts w:ascii="Arial" w:hAnsi="Arial" w:cs="Arial"/>
          <w:noProof/>
        </w:rPr>
        <w:t xml:space="preserve"> T-cell reactions to drugs in distinct clinical manifestations of drug allergy. </w:t>
      </w:r>
      <w:r w:rsidRPr="00DD469F">
        <w:rPr>
          <w:rFonts w:ascii="Arial" w:hAnsi="Arial" w:cs="Arial"/>
          <w:i/>
          <w:noProof/>
        </w:rPr>
        <w:t>J Investig Allergol Clin Immunol</w:t>
      </w:r>
      <w:r>
        <w:rPr>
          <w:rFonts w:ascii="Arial" w:hAnsi="Arial" w:cs="Arial"/>
          <w:noProof/>
        </w:rPr>
        <w:t xml:space="preserve"> 2001; </w:t>
      </w:r>
      <w:r w:rsidRPr="00DD469F">
        <w:rPr>
          <w:rFonts w:ascii="Arial" w:hAnsi="Arial" w:cs="Arial"/>
          <w:b/>
          <w:noProof/>
        </w:rPr>
        <w:t>11</w:t>
      </w:r>
      <w:r>
        <w:rPr>
          <w:rFonts w:ascii="Arial" w:hAnsi="Arial" w:cs="Arial"/>
          <w:noProof/>
        </w:rPr>
        <w:t>:275-84.</w:t>
      </w:r>
      <w:bookmarkEnd w:id="128"/>
    </w:p>
    <w:p w:rsidR="00BD084C" w:rsidRDefault="00BD084C" w:rsidP="0085034D">
      <w:pPr>
        <w:pStyle w:val="NoSpacing"/>
        <w:ind w:left="720" w:hanging="720"/>
        <w:jc w:val="both"/>
        <w:rPr>
          <w:rFonts w:ascii="Arial" w:hAnsi="Arial" w:cs="Arial"/>
          <w:noProof/>
        </w:rPr>
      </w:pPr>
      <w:bookmarkStart w:id="129" w:name="_ENREF_129"/>
      <w:r>
        <w:rPr>
          <w:rFonts w:ascii="Arial" w:hAnsi="Arial" w:cs="Arial"/>
          <w:noProof/>
        </w:rPr>
        <w:t>129</w:t>
      </w:r>
      <w:r>
        <w:rPr>
          <w:rFonts w:ascii="Arial" w:hAnsi="Arial" w:cs="Arial"/>
          <w:noProof/>
        </w:rPr>
        <w:tab/>
        <w:t>Hari Y, Frutig-Schnyder K, Hurni M</w:t>
      </w:r>
      <w:r w:rsidRPr="00DD469F">
        <w:rPr>
          <w:rFonts w:ascii="Arial" w:hAnsi="Arial" w:cs="Arial"/>
          <w:i/>
          <w:noProof/>
        </w:rPr>
        <w:t xml:space="preserve"> et al.</w:t>
      </w:r>
      <w:r>
        <w:rPr>
          <w:rFonts w:ascii="Arial" w:hAnsi="Arial" w:cs="Arial"/>
          <w:noProof/>
        </w:rPr>
        <w:t xml:space="preserve"> T cell involvement in cutaneous drug eruptions. </w:t>
      </w:r>
      <w:r w:rsidRPr="00DD469F">
        <w:rPr>
          <w:rFonts w:ascii="Arial" w:hAnsi="Arial" w:cs="Arial"/>
          <w:i/>
          <w:noProof/>
        </w:rPr>
        <w:t>Clin Exp Allergy</w:t>
      </w:r>
      <w:r>
        <w:rPr>
          <w:rFonts w:ascii="Arial" w:hAnsi="Arial" w:cs="Arial"/>
          <w:noProof/>
        </w:rPr>
        <w:t xml:space="preserve"> 2001; </w:t>
      </w:r>
      <w:r w:rsidRPr="00DD469F">
        <w:rPr>
          <w:rFonts w:ascii="Arial" w:hAnsi="Arial" w:cs="Arial"/>
          <w:b/>
          <w:noProof/>
        </w:rPr>
        <w:t>31</w:t>
      </w:r>
      <w:r>
        <w:rPr>
          <w:rFonts w:ascii="Arial" w:hAnsi="Arial" w:cs="Arial"/>
          <w:noProof/>
        </w:rPr>
        <w:t>:1398-408.</w:t>
      </w:r>
      <w:bookmarkEnd w:id="129"/>
    </w:p>
    <w:p w:rsidR="00BD084C" w:rsidRDefault="00BD084C" w:rsidP="0085034D">
      <w:pPr>
        <w:pStyle w:val="NoSpacing"/>
        <w:ind w:left="720" w:hanging="720"/>
        <w:jc w:val="both"/>
        <w:rPr>
          <w:rFonts w:ascii="Arial" w:hAnsi="Arial" w:cs="Arial"/>
          <w:noProof/>
        </w:rPr>
      </w:pPr>
      <w:bookmarkStart w:id="130" w:name="_ENREF_130"/>
      <w:r>
        <w:rPr>
          <w:rFonts w:ascii="Arial" w:hAnsi="Arial" w:cs="Arial"/>
          <w:noProof/>
        </w:rPr>
        <w:t>130</w:t>
      </w:r>
      <w:r>
        <w:rPr>
          <w:rFonts w:ascii="Arial" w:hAnsi="Arial" w:cs="Arial"/>
          <w:noProof/>
        </w:rPr>
        <w:tab/>
        <w:t>Kano Y, Hirahara K, Mitsuyama Y</w:t>
      </w:r>
      <w:r w:rsidRPr="00DD469F">
        <w:rPr>
          <w:rFonts w:ascii="Arial" w:hAnsi="Arial" w:cs="Arial"/>
          <w:i/>
          <w:noProof/>
        </w:rPr>
        <w:t xml:space="preserve"> et al.</w:t>
      </w:r>
      <w:r>
        <w:rPr>
          <w:rFonts w:ascii="Arial" w:hAnsi="Arial" w:cs="Arial"/>
          <w:noProof/>
        </w:rPr>
        <w:t xml:space="preserve"> Utility of the lymphocyte transformation test in the diagnosis of drug sensitivity: dependence on its timing and the type of drug eruption. </w:t>
      </w:r>
      <w:r w:rsidRPr="00DD469F">
        <w:rPr>
          <w:rFonts w:ascii="Arial" w:hAnsi="Arial" w:cs="Arial"/>
          <w:i/>
          <w:noProof/>
        </w:rPr>
        <w:t>Allergy</w:t>
      </w:r>
      <w:r>
        <w:rPr>
          <w:rFonts w:ascii="Arial" w:hAnsi="Arial" w:cs="Arial"/>
          <w:noProof/>
        </w:rPr>
        <w:t xml:space="preserve"> 2007; </w:t>
      </w:r>
      <w:r w:rsidRPr="00DD469F">
        <w:rPr>
          <w:rFonts w:ascii="Arial" w:hAnsi="Arial" w:cs="Arial"/>
          <w:b/>
          <w:noProof/>
        </w:rPr>
        <w:t>62</w:t>
      </w:r>
      <w:r>
        <w:rPr>
          <w:rFonts w:ascii="Arial" w:hAnsi="Arial" w:cs="Arial"/>
          <w:noProof/>
        </w:rPr>
        <w:t>:1439-44.</w:t>
      </w:r>
      <w:bookmarkEnd w:id="130"/>
    </w:p>
    <w:p w:rsidR="00BD084C" w:rsidRDefault="00BD084C" w:rsidP="0085034D">
      <w:pPr>
        <w:pStyle w:val="NoSpacing"/>
        <w:ind w:left="720" w:hanging="720"/>
        <w:jc w:val="both"/>
        <w:rPr>
          <w:rFonts w:ascii="Arial" w:hAnsi="Arial" w:cs="Arial"/>
          <w:noProof/>
        </w:rPr>
      </w:pPr>
      <w:bookmarkStart w:id="131" w:name="_ENREF_131"/>
      <w:r>
        <w:rPr>
          <w:rFonts w:ascii="Arial" w:hAnsi="Arial" w:cs="Arial"/>
          <w:noProof/>
        </w:rPr>
        <w:t>131</w:t>
      </w:r>
      <w:r>
        <w:rPr>
          <w:rFonts w:ascii="Arial" w:hAnsi="Arial" w:cs="Arial"/>
          <w:noProof/>
        </w:rPr>
        <w:tab/>
        <w:t>Tang YH, Mockenhaupt M, Henry A</w:t>
      </w:r>
      <w:r w:rsidRPr="00DD469F">
        <w:rPr>
          <w:rFonts w:ascii="Arial" w:hAnsi="Arial" w:cs="Arial"/>
          <w:i/>
          <w:noProof/>
        </w:rPr>
        <w:t xml:space="preserve"> et al.</w:t>
      </w:r>
      <w:r>
        <w:rPr>
          <w:rFonts w:ascii="Arial" w:hAnsi="Arial" w:cs="Arial"/>
          <w:noProof/>
        </w:rPr>
        <w:t xml:space="preserve"> Poor relevance of a lymphocyte proliferation assay in lamotrigine-induced Stevens-Johnson syndrome or toxic epidermal necrolysis. </w:t>
      </w:r>
      <w:r w:rsidRPr="00DD469F">
        <w:rPr>
          <w:rFonts w:ascii="Arial" w:hAnsi="Arial" w:cs="Arial"/>
          <w:i/>
          <w:noProof/>
        </w:rPr>
        <w:t>Clin Exp Allergy</w:t>
      </w:r>
      <w:r>
        <w:rPr>
          <w:rFonts w:ascii="Arial" w:hAnsi="Arial" w:cs="Arial"/>
          <w:noProof/>
        </w:rPr>
        <w:t xml:space="preserve"> 2012; </w:t>
      </w:r>
      <w:r w:rsidRPr="00DD469F">
        <w:rPr>
          <w:rFonts w:ascii="Arial" w:hAnsi="Arial" w:cs="Arial"/>
          <w:b/>
          <w:noProof/>
        </w:rPr>
        <w:t>42</w:t>
      </w:r>
      <w:r>
        <w:rPr>
          <w:rFonts w:ascii="Arial" w:hAnsi="Arial" w:cs="Arial"/>
          <w:noProof/>
        </w:rPr>
        <w:t>:248-54.</w:t>
      </w:r>
      <w:bookmarkEnd w:id="131"/>
    </w:p>
    <w:p w:rsidR="00BD084C" w:rsidRDefault="00BD084C" w:rsidP="0085034D">
      <w:pPr>
        <w:pStyle w:val="NoSpacing"/>
        <w:ind w:left="720" w:hanging="720"/>
        <w:jc w:val="both"/>
        <w:rPr>
          <w:rFonts w:ascii="Arial" w:hAnsi="Arial" w:cs="Arial"/>
          <w:noProof/>
        </w:rPr>
      </w:pPr>
      <w:bookmarkStart w:id="132" w:name="_ENREF_132"/>
      <w:r>
        <w:rPr>
          <w:rFonts w:ascii="Arial" w:hAnsi="Arial" w:cs="Arial"/>
          <w:noProof/>
        </w:rPr>
        <w:t>132</w:t>
      </w:r>
      <w:r>
        <w:rPr>
          <w:rFonts w:ascii="Arial" w:hAnsi="Arial" w:cs="Arial"/>
          <w:noProof/>
        </w:rPr>
        <w:tab/>
        <w:t>Roujeau JC, Albengres E, Moritz S</w:t>
      </w:r>
      <w:r w:rsidRPr="00DD469F">
        <w:rPr>
          <w:rFonts w:ascii="Arial" w:hAnsi="Arial" w:cs="Arial"/>
          <w:i/>
          <w:noProof/>
        </w:rPr>
        <w:t xml:space="preserve"> et al.</w:t>
      </w:r>
      <w:r>
        <w:rPr>
          <w:rFonts w:ascii="Arial" w:hAnsi="Arial" w:cs="Arial"/>
          <w:noProof/>
        </w:rPr>
        <w:t xml:space="preserve"> Lymphocyte transformation test in drug-induced toxic epidermal necrolysis. </w:t>
      </w:r>
      <w:r w:rsidRPr="00DD469F">
        <w:rPr>
          <w:rFonts w:ascii="Arial" w:hAnsi="Arial" w:cs="Arial"/>
          <w:i/>
          <w:noProof/>
        </w:rPr>
        <w:t>Int Arch Allergy Appl Immunol</w:t>
      </w:r>
      <w:r>
        <w:rPr>
          <w:rFonts w:ascii="Arial" w:hAnsi="Arial" w:cs="Arial"/>
          <w:noProof/>
        </w:rPr>
        <w:t xml:space="preserve"> 1985; </w:t>
      </w:r>
      <w:r w:rsidRPr="00DD469F">
        <w:rPr>
          <w:rFonts w:ascii="Arial" w:hAnsi="Arial" w:cs="Arial"/>
          <w:b/>
          <w:noProof/>
        </w:rPr>
        <w:t>78</w:t>
      </w:r>
      <w:r>
        <w:rPr>
          <w:rFonts w:ascii="Arial" w:hAnsi="Arial" w:cs="Arial"/>
          <w:noProof/>
        </w:rPr>
        <w:t>:22-4.</w:t>
      </w:r>
      <w:bookmarkEnd w:id="132"/>
    </w:p>
    <w:p w:rsidR="00BD084C" w:rsidRDefault="00BD084C" w:rsidP="0085034D">
      <w:pPr>
        <w:pStyle w:val="NoSpacing"/>
        <w:ind w:left="720" w:hanging="720"/>
        <w:jc w:val="both"/>
        <w:rPr>
          <w:rFonts w:ascii="Arial" w:hAnsi="Arial" w:cs="Arial"/>
          <w:noProof/>
        </w:rPr>
      </w:pPr>
      <w:bookmarkStart w:id="133" w:name="_ENREF_133"/>
      <w:r>
        <w:rPr>
          <w:rFonts w:ascii="Arial" w:hAnsi="Arial" w:cs="Arial"/>
          <w:noProof/>
        </w:rPr>
        <w:t>133</w:t>
      </w:r>
      <w:r>
        <w:rPr>
          <w:rFonts w:ascii="Arial" w:hAnsi="Arial" w:cs="Arial"/>
          <w:noProof/>
        </w:rPr>
        <w:tab/>
        <w:t xml:space="preserve">Nyfeler B, Pichler WJ. The lymphocyte transformation test for the diagnosis of drug allergy: sensitivity and specificity. </w:t>
      </w:r>
      <w:r w:rsidRPr="00DD469F">
        <w:rPr>
          <w:rFonts w:ascii="Arial" w:hAnsi="Arial" w:cs="Arial"/>
          <w:i/>
          <w:noProof/>
        </w:rPr>
        <w:t>Clin Exp Allergy</w:t>
      </w:r>
      <w:r>
        <w:rPr>
          <w:rFonts w:ascii="Arial" w:hAnsi="Arial" w:cs="Arial"/>
          <w:noProof/>
        </w:rPr>
        <w:t xml:space="preserve"> 1997; </w:t>
      </w:r>
      <w:r w:rsidRPr="00DD469F">
        <w:rPr>
          <w:rFonts w:ascii="Arial" w:hAnsi="Arial" w:cs="Arial"/>
          <w:b/>
          <w:noProof/>
        </w:rPr>
        <w:t>27</w:t>
      </w:r>
      <w:r>
        <w:rPr>
          <w:rFonts w:ascii="Arial" w:hAnsi="Arial" w:cs="Arial"/>
          <w:noProof/>
        </w:rPr>
        <w:t>:175-81.</w:t>
      </w:r>
      <w:bookmarkEnd w:id="133"/>
    </w:p>
    <w:p w:rsidR="00BD084C" w:rsidRDefault="00BD084C" w:rsidP="0085034D">
      <w:pPr>
        <w:pStyle w:val="NoSpacing"/>
        <w:ind w:left="720" w:hanging="720"/>
        <w:jc w:val="both"/>
        <w:rPr>
          <w:rFonts w:ascii="Arial" w:hAnsi="Arial" w:cs="Arial"/>
          <w:noProof/>
        </w:rPr>
      </w:pPr>
      <w:bookmarkStart w:id="134" w:name="_ENREF_134"/>
      <w:r>
        <w:rPr>
          <w:rFonts w:ascii="Arial" w:hAnsi="Arial" w:cs="Arial"/>
          <w:noProof/>
        </w:rPr>
        <w:t>134</w:t>
      </w:r>
      <w:r>
        <w:rPr>
          <w:rFonts w:ascii="Arial" w:hAnsi="Arial" w:cs="Arial"/>
          <w:noProof/>
        </w:rPr>
        <w:tab/>
        <w:t>Porebski G, Pecaric-Petkovic T, Groux-Keller M</w:t>
      </w:r>
      <w:r w:rsidRPr="00DD469F">
        <w:rPr>
          <w:rFonts w:ascii="Arial" w:hAnsi="Arial" w:cs="Arial"/>
          <w:i/>
          <w:noProof/>
        </w:rPr>
        <w:t xml:space="preserve"> et al.</w:t>
      </w:r>
      <w:r>
        <w:rPr>
          <w:rFonts w:ascii="Arial" w:hAnsi="Arial" w:cs="Arial"/>
          <w:noProof/>
        </w:rPr>
        <w:t xml:space="preserve"> </w:t>
      </w:r>
      <w:r w:rsidRPr="00DD469F">
        <w:rPr>
          <w:rFonts w:ascii="Arial" w:hAnsi="Arial" w:cs="Arial"/>
          <w:i/>
          <w:noProof/>
        </w:rPr>
        <w:t>In vitro</w:t>
      </w:r>
      <w:r>
        <w:rPr>
          <w:rFonts w:ascii="Arial" w:hAnsi="Arial" w:cs="Arial"/>
          <w:noProof/>
        </w:rPr>
        <w:t xml:space="preserve"> drug causality assessment in Stevens-Johnson syndrome – alternatives for lymphocyte transformation test. </w:t>
      </w:r>
      <w:r w:rsidRPr="00DD469F">
        <w:rPr>
          <w:rFonts w:ascii="Arial" w:hAnsi="Arial" w:cs="Arial"/>
          <w:i/>
          <w:noProof/>
        </w:rPr>
        <w:t>Clin Exp Allergy</w:t>
      </w:r>
      <w:r>
        <w:rPr>
          <w:rFonts w:ascii="Arial" w:hAnsi="Arial" w:cs="Arial"/>
          <w:noProof/>
        </w:rPr>
        <w:t xml:space="preserve"> 2013; </w:t>
      </w:r>
      <w:r w:rsidRPr="00DD469F">
        <w:rPr>
          <w:rFonts w:ascii="Arial" w:hAnsi="Arial" w:cs="Arial"/>
          <w:b/>
          <w:noProof/>
        </w:rPr>
        <w:t>43</w:t>
      </w:r>
      <w:r>
        <w:rPr>
          <w:rFonts w:ascii="Arial" w:hAnsi="Arial" w:cs="Arial"/>
          <w:noProof/>
        </w:rPr>
        <w:t>:1027-37.</w:t>
      </w:r>
      <w:bookmarkEnd w:id="134"/>
    </w:p>
    <w:p w:rsidR="00BD084C" w:rsidRDefault="00BD084C" w:rsidP="0085034D">
      <w:pPr>
        <w:pStyle w:val="NoSpacing"/>
        <w:ind w:left="720" w:hanging="720"/>
        <w:jc w:val="both"/>
        <w:rPr>
          <w:rFonts w:ascii="Arial" w:hAnsi="Arial" w:cs="Arial"/>
          <w:noProof/>
        </w:rPr>
      </w:pPr>
      <w:bookmarkStart w:id="135" w:name="_ENREF_135"/>
      <w:r>
        <w:rPr>
          <w:rFonts w:ascii="Arial" w:hAnsi="Arial" w:cs="Arial"/>
          <w:noProof/>
        </w:rPr>
        <w:t>135</w:t>
      </w:r>
      <w:r>
        <w:rPr>
          <w:rFonts w:ascii="Arial" w:hAnsi="Arial" w:cs="Arial"/>
          <w:noProof/>
        </w:rPr>
        <w:tab/>
        <w:t>Polak ME, Belgi G, McGuire C</w:t>
      </w:r>
      <w:r w:rsidRPr="00DD469F">
        <w:rPr>
          <w:rFonts w:ascii="Arial" w:hAnsi="Arial" w:cs="Arial"/>
          <w:i/>
          <w:noProof/>
        </w:rPr>
        <w:t xml:space="preserve"> et al.</w:t>
      </w:r>
      <w:r>
        <w:rPr>
          <w:rFonts w:ascii="Arial" w:hAnsi="Arial" w:cs="Arial"/>
          <w:noProof/>
        </w:rPr>
        <w:t xml:space="preserve"> In vitro diagnostic assays are effective during the acute phase of delayed-type drug hypersensitivity reactions. </w:t>
      </w:r>
      <w:r w:rsidRPr="00DD469F">
        <w:rPr>
          <w:rFonts w:ascii="Arial" w:hAnsi="Arial" w:cs="Arial"/>
          <w:i/>
          <w:noProof/>
        </w:rPr>
        <w:t>Br J Dermatol</w:t>
      </w:r>
      <w:r>
        <w:rPr>
          <w:rFonts w:ascii="Arial" w:hAnsi="Arial" w:cs="Arial"/>
          <w:noProof/>
        </w:rPr>
        <w:t xml:space="preserve"> 2013; </w:t>
      </w:r>
      <w:r w:rsidRPr="00DD469F">
        <w:rPr>
          <w:rFonts w:ascii="Arial" w:hAnsi="Arial" w:cs="Arial"/>
          <w:b/>
          <w:noProof/>
        </w:rPr>
        <w:t>168</w:t>
      </w:r>
      <w:r>
        <w:rPr>
          <w:rFonts w:ascii="Arial" w:hAnsi="Arial" w:cs="Arial"/>
          <w:noProof/>
        </w:rPr>
        <w:t>:539-49.</w:t>
      </w:r>
      <w:bookmarkEnd w:id="135"/>
    </w:p>
    <w:p w:rsidR="00BD084C" w:rsidRDefault="00BD084C" w:rsidP="0085034D">
      <w:pPr>
        <w:pStyle w:val="NoSpacing"/>
        <w:ind w:left="720" w:hanging="720"/>
        <w:jc w:val="both"/>
        <w:rPr>
          <w:rFonts w:ascii="Arial" w:hAnsi="Arial" w:cs="Arial"/>
          <w:noProof/>
        </w:rPr>
      </w:pPr>
      <w:bookmarkStart w:id="136" w:name="_ENREF_136"/>
      <w:r>
        <w:rPr>
          <w:rFonts w:ascii="Arial" w:hAnsi="Arial" w:cs="Arial"/>
          <w:noProof/>
        </w:rPr>
        <w:t>136</w:t>
      </w:r>
      <w:r>
        <w:rPr>
          <w:rFonts w:ascii="Arial" w:hAnsi="Arial" w:cs="Arial"/>
          <w:noProof/>
        </w:rPr>
        <w:tab/>
        <w:t>Valeyrie-Allanore L, Mockenhaupt M, Sekula P</w:t>
      </w:r>
      <w:r w:rsidRPr="00DD469F">
        <w:rPr>
          <w:rFonts w:ascii="Arial" w:hAnsi="Arial" w:cs="Arial"/>
          <w:i/>
          <w:noProof/>
        </w:rPr>
        <w:t xml:space="preserve"> et al.</w:t>
      </w:r>
      <w:r>
        <w:rPr>
          <w:rFonts w:ascii="Arial" w:hAnsi="Arial" w:cs="Arial"/>
          <w:noProof/>
        </w:rPr>
        <w:t xml:space="preserve"> Mechanisms that limit proliferative potential of drug-specific LTT in drug-induced severe cutaneous adverse reaction patients. </w:t>
      </w:r>
      <w:r w:rsidRPr="00DD469F">
        <w:rPr>
          <w:rFonts w:ascii="Arial" w:hAnsi="Arial" w:cs="Arial"/>
          <w:i/>
          <w:noProof/>
        </w:rPr>
        <w:t>Clinical and Translational Allergy</w:t>
      </w:r>
      <w:r>
        <w:rPr>
          <w:rFonts w:ascii="Arial" w:hAnsi="Arial" w:cs="Arial"/>
          <w:noProof/>
        </w:rPr>
        <w:t xml:space="preserve"> 2014; </w:t>
      </w:r>
      <w:r w:rsidRPr="00DD469F">
        <w:rPr>
          <w:rFonts w:ascii="Arial" w:hAnsi="Arial" w:cs="Arial"/>
          <w:b/>
          <w:noProof/>
        </w:rPr>
        <w:t>4</w:t>
      </w:r>
      <w:r>
        <w:rPr>
          <w:rFonts w:ascii="Arial" w:hAnsi="Arial" w:cs="Arial"/>
          <w:noProof/>
        </w:rPr>
        <w:t>:1.</w:t>
      </w:r>
      <w:bookmarkEnd w:id="136"/>
    </w:p>
    <w:p w:rsidR="00BD084C" w:rsidRDefault="00BD084C" w:rsidP="0085034D">
      <w:pPr>
        <w:pStyle w:val="NoSpacing"/>
        <w:ind w:left="720" w:hanging="720"/>
        <w:jc w:val="both"/>
        <w:rPr>
          <w:rFonts w:ascii="Arial" w:hAnsi="Arial" w:cs="Arial"/>
          <w:noProof/>
        </w:rPr>
      </w:pPr>
      <w:bookmarkStart w:id="137" w:name="_ENREF_137"/>
      <w:r>
        <w:rPr>
          <w:rFonts w:ascii="Arial" w:hAnsi="Arial" w:cs="Arial"/>
          <w:noProof/>
        </w:rPr>
        <w:t>137</w:t>
      </w:r>
      <w:r>
        <w:rPr>
          <w:rFonts w:ascii="Arial" w:hAnsi="Arial" w:cs="Arial"/>
          <w:noProof/>
        </w:rPr>
        <w:tab/>
        <w:t>Zawodniak A, Lochmatter P, Yerly D</w:t>
      </w:r>
      <w:r w:rsidRPr="00DD469F">
        <w:rPr>
          <w:rFonts w:ascii="Arial" w:hAnsi="Arial" w:cs="Arial"/>
          <w:i/>
          <w:noProof/>
        </w:rPr>
        <w:t xml:space="preserve"> et al.</w:t>
      </w:r>
      <w:r>
        <w:rPr>
          <w:rFonts w:ascii="Arial" w:hAnsi="Arial" w:cs="Arial"/>
          <w:noProof/>
        </w:rPr>
        <w:t xml:space="preserve"> In vitro detection of cytotoxic T and NK cells in peripheral blood of patients with various drug-induced skin diseases. </w:t>
      </w:r>
      <w:r w:rsidRPr="00DD469F">
        <w:rPr>
          <w:rFonts w:ascii="Arial" w:hAnsi="Arial" w:cs="Arial"/>
          <w:i/>
          <w:noProof/>
        </w:rPr>
        <w:t>Allergy</w:t>
      </w:r>
      <w:r>
        <w:rPr>
          <w:rFonts w:ascii="Arial" w:hAnsi="Arial" w:cs="Arial"/>
          <w:noProof/>
        </w:rPr>
        <w:t xml:space="preserve"> 2010; </w:t>
      </w:r>
      <w:r w:rsidRPr="00DD469F">
        <w:rPr>
          <w:rFonts w:ascii="Arial" w:hAnsi="Arial" w:cs="Arial"/>
          <w:b/>
          <w:noProof/>
        </w:rPr>
        <w:t>65</w:t>
      </w:r>
      <w:r>
        <w:rPr>
          <w:rFonts w:ascii="Arial" w:hAnsi="Arial" w:cs="Arial"/>
          <w:noProof/>
        </w:rPr>
        <w:t>:376-84.</w:t>
      </w:r>
      <w:bookmarkEnd w:id="137"/>
    </w:p>
    <w:p w:rsidR="00BD084C" w:rsidRDefault="00BD084C" w:rsidP="0085034D">
      <w:pPr>
        <w:pStyle w:val="NoSpacing"/>
        <w:ind w:left="720" w:hanging="720"/>
        <w:jc w:val="both"/>
        <w:rPr>
          <w:rFonts w:ascii="Arial" w:hAnsi="Arial" w:cs="Arial"/>
          <w:noProof/>
        </w:rPr>
      </w:pPr>
      <w:bookmarkStart w:id="138" w:name="_ENREF_138"/>
      <w:r>
        <w:rPr>
          <w:rFonts w:ascii="Arial" w:hAnsi="Arial" w:cs="Arial"/>
          <w:noProof/>
        </w:rPr>
        <w:t>138</w:t>
      </w:r>
      <w:r>
        <w:rPr>
          <w:rFonts w:ascii="Arial" w:hAnsi="Arial" w:cs="Arial"/>
          <w:noProof/>
        </w:rPr>
        <w:tab/>
        <w:t>Rozieres A, Hennino A, Rodet K</w:t>
      </w:r>
      <w:r w:rsidRPr="00DD469F">
        <w:rPr>
          <w:rFonts w:ascii="Arial" w:hAnsi="Arial" w:cs="Arial"/>
          <w:i/>
          <w:noProof/>
        </w:rPr>
        <w:t xml:space="preserve"> et al.</w:t>
      </w:r>
      <w:r>
        <w:rPr>
          <w:rFonts w:ascii="Arial" w:hAnsi="Arial" w:cs="Arial"/>
          <w:noProof/>
        </w:rPr>
        <w:t xml:space="preserve"> Detection and quantification of drug-specific T cells in penicillin allergy. </w:t>
      </w:r>
      <w:r w:rsidRPr="00DD469F">
        <w:rPr>
          <w:rFonts w:ascii="Arial" w:hAnsi="Arial" w:cs="Arial"/>
          <w:i/>
          <w:noProof/>
        </w:rPr>
        <w:t>Allergy</w:t>
      </w:r>
      <w:r>
        <w:rPr>
          <w:rFonts w:ascii="Arial" w:hAnsi="Arial" w:cs="Arial"/>
          <w:noProof/>
        </w:rPr>
        <w:t xml:space="preserve"> 2009; </w:t>
      </w:r>
      <w:r w:rsidRPr="00DD469F">
        <w:rPr>
          <w:rFonts w:ascii="Arial" w:hAnsi="Arial" w:cs="Arial"/>
          <w:b/>
          <w:noProof/>
        </w:rPr>
        <w:t>64</w:t>
      </w:r>
      <w:r>
        <w:rPr>
          <w:rFonts w:ascii="Arial" w:hAnsi="Arial" w:cs="Arial"/>
          <w:noProof/>
        </w:rPr>
        <w:t>:534-42.</w:t>
      </w:r>
      <w:bookmarkEnd w:id="138"/>
    </w:p>
    <w:p w:rsidR="00BD084C" w:rsidRDefault="00BD084C" w:rsidP="0085034D">
      <w:pPr>
        <w:pStyle w:val="NoSpacing"/>
        <w:ind w:left="720" w:hanging="720"/>
        <w:jc w:val="both"/>
        <w:rPr>
          <w:rFonts w:ascii="Arial" w:hAnsi="Arial" w:cs="Arial"/>
          <w:noProof/>
        </w:rPr>
      </w:pPr>
      <w:bookmarkStart w:id="139" w:name="_ENREF_139"/>
      <w:r>
        <w:rPr>
          <w:rFonts w:ascii="Arial" w:hAnsi="Arial" w:cs="Arial"/>
          <w:noProof/>
        </w:rPr>
        <w:t>139</w:t>
      </w:r>
      <w:r>
        <w:rPr>
          <w:rFonts w:ascii="Arial" w:hAnsi="Arial" w:cs="Arial"/>
          <w:noProof/>
        </w:rPr>
        <w:tab/>
        <w:t>Lochmatter P, Beeler A, Kawabata TT</w:t>
      </w:r>
      <w:r w:rsidRPr="00DD469F">
        <w:rPr>
          <w:rFonts w:ascii="Arial" w:hAnsi="Arial" w:cs="Arial"/>
          <w:i/>
          <w:noProof/>
        </w:rPr>
        <w:t xml:space="preserve"> et al.</w:t>
      </w:r>
      <w:r>
        <w:rPr>
          <w:rFonts w:ascii="Arial" w:hAnsi="Arial" w:cs="Arial"/>
          <w:noProof/>
        </w:rPr>
        <w:t xml:space="preserve"> Drug-specific in vitro release of IL-2, IL-5, IL-13 and IFN-gamma in patients with delayed-type drug hypersensitivity. </w:t>
      </w:r>
      <w:r w:rsidRPr="00DD469F">
        <w:rPr>
          <w:rFonts w:ascii="Arial" w:hAnsi="Arial" w:cs="Arial"/>
          <w:i/>
          <w:noProof/>
        </w:rPr>
        <w:t>Allergy</w:t>
      </w:r>
      <w:r>
        <w:rPr>
          <w:rFonts w:ascii="Arial" w:hAnsi="Arial" w:cs="Arial"/>
          <w:noProof/>
        </w:rPr>
        <w:t xml:space="preserve"> 2009; </w:t>
      </w:r>
      <w:r w:rsidRPr="00DD469F">
        <w:rPr>
          <w:rFonts w:ascii="Arial" w:hAnsi="Arial" w:cs="Arial"/>
          <w:b/>
          <w:noProof/>
        </w:rPr>
        <w:t>64</w:t>
      </w:r>
      <w:r>
        <w:rPr>
          <w:rFonts w:ascii="Arial" w:hAnsi="Arial" w:cs="Arial"/>
          <w:noProof/>
        </w:rPr>
        <w:t>:1269-78.</w:t>
      </w:r>
      <w:bookmarkEnd w:id="139"/>
    </w:p>
    <w:p w:rsidR="00BD084C" w:rsidRDefault="00BD084C" w:rsidP="0085034D">
      <w:pPr>
        <w:pStyle w:val="NoSpacing"/>
        <w:ind w:left="720" w:hanging="720"/>
        <w:jc w:val="both"/>
        <w:rPr>
          <w:rFonts w:ascii="Arial" w:hAnsi="Arial" w:cs="Arial"/>
          <w:noProof/>
        </w:rPr>
      </w:pPr>
      <w:bookmarkStart w:id="140" w:name="_ENREF_140"/>
      <w:r>
        <w:rPr>
          <w:rFonts w:ascii="Arial" w:hAnsi="Arial" w:cs="Arial"/>
          <w:noProof/>
        </w:rPr>
        <w:lastRenderedPageBreak/>
        <w:t>140</w:t>
      </w:r>
      <w:r>
        <w:rPr>
          <w:rFonts w:ascii="Arial" w:hAnsi="Arial" w:cs="Arial"/>
          <w:noProof/>
        </w:rPr>
        <w:tab/>
        <w:t>Sachs B, Erdmann S, Malte Baron J</w:t>
      </w:r>
      <w:r w:rsidRPr="00DD469F">
        <w:rPr>
          <w:rFonts w:ascii="Arial" w:hAnsi="Arial" w:cs="Arial"/>
          <w:i/>
          <w:noProof/>
        </w:rPr>
        <w:t xml:space="preserve"> et al.</w:t>
      </w:r>
      <w:r>
        <w:rPr>
          <w:rFonts w:ascii="Arial" w:hAnsi="Arial" w:cs="Arial"/>
          <w:noProof/>
        </w:rPr>
        <w:t xml:space="preserve"> Determination of interleukin-5 secretion from drug-specific activated ex vivo peripheral blood mononuclear cells as a test system for the in vitro detection of drug sensitization. </w:t>
      </w:r>
      <w:r w:rsidRPr="00DD469F">
        <w:rPr>
          <w:rFonts w:ascii="Arial" w:hAnsi="Arial" w:cs="Arial"/>
          <w:i/>
          <w:noProof/>
        </w:rPr>
        <w:t>Clin Exp Allergy</w:t>
      </w:r>
      <w:r>
        <w:rPr>
          <w:rFonts w:ascii="Arial" w:hAnsi="Arial" w:cs="Arial"/>
          <w:noProof/>
        </w:rPr>
        <w:t xml:space="preserve"> 2002; </w:t>
      </w:r>
      <w:r w:rsidRPr="00DD469F">
        <w:rPr>
          <w:rFonts w:ascii="Arial" w:hAnsi="Arial" w:cs="Arial"/>
          <w:b/>
          <w:noProof/>
        </w:rPr>
        <w:t>32</w:t>
      </w:r>
      <w:r>
        <w:rPr>
          <w:rFonts w:ascii="Arial" w:hAnsi="Arial" w:cs="Arial"/>
          <w:noProof/>
        </w:rPr>
        <w:t>:736-44.</w:t>
      </w:r>
      <w:bookmarkEnd w:id="140"/>
    </w:p>
    <w:p w:rsidR="00BD084C" w:rsidRDefault="00BD084C" w:rsidP="0085034D">
      <w:pPr>
        <w:pStyle w:val="NoSpacing"/>
        <w:ind w:left="720" w:hanging="720"/>
        <w:jc w:val="both"/>
        <w:rPr>
          <w:rFonts w:ascii="Arial" w:hAnsi="Arial" w:cs="Arial"/>
          <w:noProof/>
        </w:rPr>
      </w:pPr>
      <w:bookmarkStart w:id="141" w:name="_ENREF_141"/>
      <w:r>
        <w:rPr>
          <w:rFonts w:ascii="Arial" w:hAnsi="Arial" w:cs="Arial"/>
          <w:noProof/>
        </w:rPr>
        <w:t>141</w:t>
      </w:r>
      <w:r>
        <w:rPr>
          <w:rFonts w:ascii="Arial" w:hAnsi="Arial" w:cs="Arial"/>
          <w:noProof/>
        </w:rPr>
        <w:tab/>
        <w:t xml:space="preserve">Halevy S, Grossman N. Multiple drug allergy in patients with cutaneous adverse drug reactions diagnosed by in vitro drug-induced interferon-gamma release. </w:t>
      </w:r>
      <w:r w:rsidRPr="00DD469F">
        <w:rPr>
          <w:rFonts w:ascii="Arial" w:hAnsi="Arial" w:cs="Arial"/>
          <w:i/>
          <w:noProof/>
        </w:rPr>
        <w:t>Isr Med Assoc J</w:t>
      </w:r>
      <w:r>
        <w:rPr>
          <w:rFonts w:ascii="Arial" w:hAnsi="Arial" w:cs="Arial"/>
          <w:noProof/>
        </w:rPr>
        <w:t xml:space="preserve"> 2008; </w:t>
      </w:r>
      <w:r w:rsidRPr="00DD469F">
        <w:rPr>
          <w:rFonts w:ascii="Arial" w:hAnsi="Arial" w:cs="Arial"/>
          <w:b/>
          <w:noProof/>
        </w:rPr>
        <w:t>10</w:t>
      </w:r>
      <w:r>
        <w:rPr>
          <w:rFonts w:ascii="Arial" w:hAnsi="Arial" w:cs="Arial"/>
          <w:noProof/>
        </w:rPr>
        <w:t>:865-8.</w:t>
      </w:r>
      <w:bookmarkEnd w:id="141"/>
    </w:p>
    <w:p w:rsidR="00BD084C" w:rsidRDefault="00BD084C" w:rsidP="0085034D">
      <w:pPr>
        <w:pStyle w:val="NoSpacing"/>
        <w:ind w:left="720" w:hanging="720"/>
        <w:jc w:val="both"/>
        <w:rPr>
          <w:rFonts w:ascii="Arial" w:hAnsi="Arial" w:cs="Arial"/>
          <w:noProof/>
        </w:rPr>
      </w:pPr>
      <w:bookmarkStart w:id="142" w:name="_ENREF_142"/>
      <w:r>
        <w:rPr>
          <w:rFonts w:ascii="Arial" w:hAnsi="Arial" w:cs="Arial"/>
          <w:noProof/>
        </w:rPr>
        <w:t>142</w:t>
      </w:r>
      <w:r>
        <w:rPr>
          <w:rFonts w:ascii="Arial" w:hAnsi="Arial" w:cs="Arial"/>
          <w:noProof/>
        </w:rPr>
        <w:tab/>
        <w:t>Fu M, Gao Y, Pan Y</w:t>
      </w:r>
      <w:r w:rsidRPr="00DD469F">
        <w:rPr>
          <w:rFonts w:ascii="Arial" w:hAnsi="Arial" w:cs="Arial"/>
          <w:i/>
          <w:noProof/>
        </w:rPr>
        <w:t xml:space="preserve"> et al.</w:t>
      </w:r>
      <w:r>
        <w:rPr>
          <w:rFonts w:ascii="Arial" w:hAnsi="Arial" w:cs="Arial"/>
          <w:noProof/>
        </w:rPr>
        <w:t xml:space="preserve"> Recovered patients with Stevens-Johson syndrome and toxic epidermal necrolysis maintain long-lived IFN-gamma and sFasL memory response. </w:t>
      </w:r>
      <w:r w:rsidRPr="00DD469F">
        <w:rPr>
          <w:rFonts w:ascii="Arial" w:hAnsi="Arial" w:cs="Arial"/>
          <w:i/>
          <w:noProof/>
        </w:rPr>
        <w:t>PLoS One</w:t>
      </w:r>
      <w:r>
        <w:rPr>
          <w:rFonts w:ascii="Arial" w:hAnsi="Arial" w:cs="Arial"/>
          <w:noProof/>
        </w:rPr>
        <w:t xml:space="preserve"> 2012; </w:t>
      </w:r>
      <w:r w:rsidRPr="00DD469F">
        <w:rPr>
          <w:rFonts w:ascii="Arial" w:hAnsi="Arial" w:cs="Arial"/>
          <w:b/>
          <w:noProof/>
        </w:rPr>
        <w:t>7</w:t>
      </w:r>
      <w:r>
        <w:rPr>
          <w:rFonts w:ascii="Arial" w:hAnsi="Arial" w:cs="Arial"/>
          <w:noProof/>
        </w:rPr>
        <w:t>:e45516.</w:t>
      </w:r>
      <w:bookmarkEnd w:id="142"/>
    </w:p>
    <w:p w:rsidR="00BD084C" w:rsidRDefault="00BD084C" w:rsidP="0085034D">
      <w:pPr>
        <w:pStyle w:val="NoSpacing"/>
        <w:ind w:left="720" w:hanging="720"/>
        <w:jc w:val="both"/>
        <w:rPr>
          <w:rFonts w:ascii="Arial" w:hAnsi="Arial" w:cs="Arial"/>
          <w:noProof/>
        </w:rPr>
      </w:pPr>
      <w:bookmarkStart w:id="143" w:name="_ENREF_143"/>
      <w:r>
        <w:rPr>
          <w:rFonts w:ascii="Arial" w:hAnsi="Arial" w:cs="Arial"/>
          <w:noProof/>
        </w:rPr>
        <w:t>143</w:t>
      </w:r>
      <w:r>
        <w:rPr>
          <w:rFonts w:ascii="Arial" w:hAnsi="Arial" w:cs="Arial"/>
          <w:noProof/>
        </w:rPr>
        <w:tab/>
        <w:t>Haute Autorité de Santé. Nécrolyse épidermique toxique (syndromes de Stevens-Johnson et de Lyell): Protocole national de diagnostic et de soins. 2010:</w:t>
      </w:r>
    </w:p>
    <w:p w:rsidR="00BD084C" w:rsidRDefault="00BD084C" w:rsidP="0085034D">
      <w:pPr>
        <w:pStyle w:val="NoSpacing"/>
        <w:ind w:left="720" w:hanging="720"/>
        <w:jc w:val="both"/>
        <w:rPr>
          <w:rFonts w:ascii="Arial" w:hAnsi="Arial" w:cs="Arial"/>
          <w:noProof/>
        </w:rPr>
      </w:pPr>
      <w:r w:rsidRPr="00BD084C">
        <w:rPr>
          <w:rFonts w:ascii="Arial" w:hAnsi="Arial" w:cs="Arial"/>
          <w:noProof/>
        </w:rPr>
        <w:t>http://www.has-sante.fr/portail/upload/docs/application/pdf/2011-01/ald_31_pnds_sjs_lyell_web.pdf</w:t>
      </w:r>
      <w:r>
        <w:rPr>
          <w:rFonts w:ascii="Arial" w:hAnsi="Arial" w:cs="Arial"/>
          <w:noProof/>
        </w:rPr>
        <w:t>.</w:t>
      </w:r>
      <w:bookmarkEnd w:id="143"/>
    </w:p>
    <w:p w:rsidR="00BD084C" w:rsidRDefault="00BD084C" w:rsidP="0085034D">
      <w:pPr>
        <w:pStyle w:val="NoSpacing"/>
        <w:jc w:val="both"/>
        <w:rPr>
          <w:rFonts w:ascii="Arial" w:hAnsi="Arial" w:cs="Arial"/>
          <w:noProof/>
        </w:rPr>
      </w:pPr>
    </w:p>
    <w:p w:rsidR="00BD084C" w:rsidRPr="008407F0" w:rsidRDefault="00BD084C" w:rsidP="0085034D">
      <w:pPr>
        <w:pStyle w:val="NoSpacing"/>
        <w:spacing w:line="276" w:lineRule="auto"/>
        <w:jc w:val="both"/>
        <w:rPr>
          <w:rFonts w:ascii="Arial" w:hAnsi="Arial" w:cs="Arial"/>
        </w:rPr>
      </w:pPr>
      <w:proofErr w:type="gramStart"/>
      <w:r w:rsidRPr="008407F0">
        <w:rPr>
          <w:rFonts w:ascii="Arial" w:hAnsi="Arial" w:cs="Arial"/>
        </w:rPr>
        <w:t>Fig 1.</w:t>
      </w:r>
      <w:proofErr w:type="gramEnd"/>
      <w:r w:rsidRPr="008407F0">
        <w:rPr>
          <w:rFonts w:ascii="Arial" w:hAnsi="Arial" w:cs="Arial"/>
        </w:rPr>
        <w:t xml:space="preserve"> </w:t>
      </w:r>
      <w:proofErr w:type="gramStart"/>
      <w:r w:rsidRPr="008407F0">
        <w:rPr>
          <w:rFonts w:ascii="Arial" w:hAnsi="Arial" w:cs="Arial"/>
        </w:rPr>
        <w:t>Atypical targets.</w:t>
      </w:r>
      <w:proofErr w:type="gramEnd"/>
      <w:r w:rsidRPr="008407F0">
        <w:rPr>
          <w:rFonts w:ascii="Arial" w:hAnsi="Arial" w:cs="Arial"/>
        </w:rPr>
        <w:t xml:space="preserve"> On the palm of this patient with SJS/TEN there are numerous circular lesions; most are characterised by a dark red centre surrounded by a pink ring, </w:t>
      </w:r>
      <w:proofErr w:type="gramStart"/>
      <w:r w:rsidRPr="008407F0">
        <w:rPr>
          <w:rFonts w:ascii="Arial" w:hAnsi="Arial" w:cs="Arial"/>
        </w:rPr>
        <w:t>In</w:t>
      </w:r>
      <w:proofErr w:type="gramEnd"/>
      <w:r w:rsidRPr="008407F0">
        <w:rPr>
          <w:rFonts w:ascii="Arial" w:hAnsi="Arial" w:cs="Arial"/>
        </w:rPr>
        <w:t xml:space="preserve"> areas, the lesions are confluent.</w:t>
      </w:r>
    </w:p>
    <w:p w:rsidR="00BD084C" w:rsidRPr="008407F0" w:rsidRDefault="00BD084C" w:rsidP="0085034D">
      <w:pPr>
        <w:pStyle w:val="NoSpacing"/>
        <w:spacing w:line="276" w:lineRule="auto"/>
        <w:jc w:val="both"/>
        <w:rPr>
          <w:rFonts w:ascii="Arial" w:hAnsi="Arial" w:cs="Arial"/>
        </w:rPr>
      </w:pPr>
    </w:p>
    <w:p w:rsidR="00BD084C" w:rsidRPr="008407F0" w:rsidRDefault="00BD084C" w:rsidP="0085034D">
      <w:pPr>
        <w:pStyle w:val="NoSpacing"/>
        <w:spacing w:line="276" w:lineRule="auto"/>
        <w:jc w:val="both"/>
        <w:rPr>
          <w:rFonts w:ascii="Arial" w:hAnsi="Arial" w:cs="Arial"/>
        </w:rPr>
      </w:pPr>
      <w:proofErr w:type="gramStart"/>
      <w:r w:rsidRPr="008407F0">
        <w:rPr>
          <w:rFonts w:ascii="Arial" w:hAnsi="Arial" w:cs="Arial"/>
        </w:rPr>
        <w:t>Fig 2.</w:t>
      </w:r>
      <w:proofErr w:type="gramEnd"/>
      <w:r w:rsidRPr="008407F0">
        <w:rPr>
          <w:rFonts w:ascii="Arial" w:hAnsi="Arial" w:cs="Arial"/>
        </w:rPr>
        <w:t xml:space="preserve"> Purpuric macules. This patient with SJS/TEN developed numerous dark red, flat lesions on the torso and back. Over a few days the lesions had joined to produce large areas of dusky erythema.</w:t>
      </w:r>
    </w:p>
    <w:p w:rsidR="00BD084C" w:rsidRPr="008407F0" w:rsidRDefault="00BD084C" w:rsidP="0085034D">
      <w:pPr>
        <w:pStyle w:val="NoSpacing"/>
        <w:spacing w:line="276" w:lineRule="auto"/>
        <w:jc w:val="both"/>
        <w:rPr>
          <w:rFonts w:ascii="Arial" w:hAnsi="Arial" w:cs="Arial"/>
        </w:rPr>
      </w:pPr>
    </w:p>
    <w:p w:rsidR="00BD084C" w:rsidRPr="008407F0" w:rsidRDefault="00BD084C" w:rsidP="0085034D">
      <w:pPr>
        <w:pStyle w:val="NoSpacing"/>
        <w:spacing w:line="276" w:lineRule="auto"/>
        <w:jc w:val="both"/>
        <w:rPr>
          <w:rFonts w:ascii="Arial" w:hAnsi="Arial" w:cs="Arial"/>
        </w:rPr>
      </w:pPr>
      <w:proofErr w:type="gramStart"/>
      <w:r w:rsidRPr="008407F0">
        <w:rPr>
          <w:rFonts w:ascii="Arial" w:hAnsi="Arial" w:cs="Arial"/>
        </w:rPr>
        <w:t>Fig 3.</w:t>
      </w:r>
      <w:proofErr w:type="gramEnd"/>
      <w:r w:rsidRPr="008407F0">
        <w:rPr>
          <w:rFonts w:ascii="Arial" w:hAnsi="Arial" w:cs="Arial"/>
        </w:rPr>
        <w:t xml:space="preserve"> </w:t>
      </w:r>
      <w:proofErr w:type="gramStart"/>
      <w:r w:rsidRPr="008407F0">
        <w:rPr>
          <w:rFonts w:ascii="Arial" w:hAnsi="Arial" w:cs="Arial"/>
        </w:rPr>
        <w:t>Scattered lesions.</w:t>
      </w:r>
      <w:proofErr w:type="gramEnd"/>
      <w:r w:rsidRPr="008407F0">
        <w:rPr>
          <w:rFonts w:ascii="Arial" w:hAnsi="Arial" w:cs="Arial"/>
        </w:rPr>
        <w:t xml:space="preserve"> Discrete lesions in SJS/TEN may be disseminated widely over the torso and limbs. In this case, the patient developed numerous dusky and blistering lesions on the neck, chest and abdomen.</w:t>
      </w:r>
      <w:r>
        <w:rPr>
          <w:rFonts w:ascii="Arial" w:hAnsi="Arial" w:cs="Arial"/>
        </w:rPr>
        <w:t xml:space="preserve"> She also has severe mouth involvement and is being fed through a </w:t>
      </w:r>
      <w:proofErr w:type="spellStart"/>
      <w:r>
        <w:rPr>
          <w:rFonts w:ascii="Arial" w:hAnsi="Arial" w:cs="Arial"/>
        </w:rPr>
        <w:t>naso</w:t>
      </w:r>
      <w:proofErr w:type="spellEnd"/>
      <w:r>
        <w:rPr>
          <w:rFonts w:ascii="Arial" w:hAnsi="Arial" w:cs="Arial"/>
        </w:rPr>
        <w:t>-gastric tube.</w:t>
      </w:r>
    </w:p>
    <w:p w:rsidR="00BD084C" w:rsidRPr="008407F0" w:rsidRDefault="00BD084C" w:rsidP="0085034D">
      <w:pPr>
        <w:pStyle w:val="NoSpacing"/>
        <w:spacing w:line="276" w:lineRule="auto"/>
        <w:jc w:val="both"/>
        <w:rPr>
          <w:rFonts w:ascii="Arial" w:hAnsi="Arial" w:cs="Arial"/>
        </w:rPr>
      </w:pPr>
    </w:p>
    <w:p w:rsidR="00BD084C" w:rsidRPr="008407F0" w:rsidRDefault="00BD084C" w:rsidP="0085034D">
      <w:pPr>
        <w:pStyle w:val="NoSpacing"/>
        <w:spacing w:line="276" w:lineRule="auto"/>
        <w:jc w:val="both"/>
        <w:rPr>
          <w:rFonts w:ascii="Arial" w:hAnsi="Arial" w:cs="Arial"/>
        </w:rPr>
      </w:pPr>
      <w:proofErr w:type="gramStart"/>
      <w:r w:rsidRPr="008407F0">
        <w:rPr>
          <w:rFonts w:ascii="Arial" w:hAnsi="Arial" w:cs="Arial"/>
        </w:rPr>
        <w:t>Fig 4.</w:t>
      </w:r>
      <w:proofErr w:type="gramEnd"/>
      <w:r w:rsidRPr="008407F0">
        <w:rPr>
          <w:rFonts w:ascii="Arial" w:hAnsi="Arial" w:cs="Arial"/>
        </w:rPr>
        <w:t xml:space="preserve"> </w:t>
      </w:r>
      <w:proofErr w:type="gramStart"/>
      <w:r>
        <w:rPr>
          <w:rFonts w:ascii="Arial" w:hAnsi="Arial" w:cs="Arial"/>
        </w:rPr>
        <w:t>I</w:t>
      </w:r>
      <w:r w:rsidRPr="008407F0">
        <w:rPr>
          <w:rFonts w:ascii="Arial" w:hAnsi="Arial" w:cs="Arial"/>
        </w:rPr>
        <w:t>nvolvement</w:t>
      </w:r>
      <w:r>
        <w:rPr>
          <w:rFonts w:ascii="Arial" w:hAnsi="Arial" w:cs="Arial"/>
        </w:rPr>
        <w:t xml:space="preserve"> of plantar skin</w:t>
      </w:r>
      <w:r w:rsidRPr="008407F0">
        <w:rPr>
          <w:rFonts w:ascii="Arial" w:hAnsi="Arial" w:cs="Arial"/>
        </w:rPr>
        <w:t>.</w:t>
      </w:r>
      <w:proofErr w:type="gramEnd"/>
      <w:r w:rsidRPr="008407F0">
        <w:rPr>
          <w:rFonts w:ascii="Arial" w:hAnsi="Arial" w:cs="Arial"/>
        </w:rPr>
        <w:t xml:space="preserve"> Involvement of palms and soles in SJS/TEN can be prominent and, as at other sites, may blister.</w:t>
      </w:r>
    </w:p>
    <w:p w:rsidR="00BD084C" w:rsidRPr="008407F0" w:rsidRDefault="00BD084C" w:rsidP="0085034D">
      <w:pPr>
        <w:pStyle w:val="NoSpacing"/>
        <w:spacing w:line="276" w:lineRule="auto"/>
        <w:jc w:val="both"/>
        <w:rPr>
          <w:rFonts w:ascii="Arial" w:hAnsi="Arial" w:cs="Arial"/>
        </w:rPr>
      </w:pPr>
    </w:p>
    <w:p w:rsidR="00BD084C" w:rsidRPr="008407F0" w:rsidRDefault="00BD084C" w:rsidP="0085034D">
      <w:pPr>
        <w:pStyle w:val="NoSpacing"/>
        <w:spacing w:line="276" w:lineRule="auto"/>
        <w:jc w:val="both"/>
        <w:rPr>
          <w:rFonts w:ascii="Arial" w:hAnsi="Arial" w:cs="Arial"/>
        </w:rPr>
      </w:pPr>
      <w:proofErr w:type="gramStart"/>
      <w:r w:rsidRPr="008407F0">
        <w:rPr>
          <w:rFonts w:ascii="Arial" w:hAnsi="Arial" w:cs="Arial"/>
        </w:rPr>
        <w:t>Fig 5.</w:t>
      </w:r>
      <w:proofErr w:type="gramEnd"/>
      <w:r w:rsidRPr="008407F0">
        <w:rPr>
          <w:rFonts w:ascii="Arial" w:hAnsi="Arial" w:cs="Arial"/>
        </w:rPr>
        <w:t xml:space="preserve"> </w:t>
      </w:r>
      <w:proofErr w:type="gramStart"/>
      <w:r w:rsidRPr="008407F0">
        <w:rPr>
          <w:rFonts w:ascii="Arial" w:hAnsi="Arial" w:cs="Arial"/>
        </w:rPr>
        <w:t>Confluent erythema.</w:t>
      </w:r>
      <w:proofErr w:type="gramEnd"/>
      <w:r w:rsidRPr="008407F0">
        <w:rPr>
          <w:rFonts w:ascii="Arial" w:hAnsi="Arial" w:cs="Arial"/>
        </w:rPr>
        <w:t xml:space="preserve"> Confluent erythema is covering the back; there are small eroded areas of epidermal detachment on the upper back.</w:t>
      </w:r>
    </w:p>
    <w:p w:rsidR="00BD084C" w:rsidRPr="008407F0" w:rsidRDefault="00BD084C" w:rsidP="0085034D">
      <w:pPr>
        <w:pStyle w:val="NoSpacing"/>
        <w:spacing w:line="276" w:lineRule="auto"/>
        <w:jc w:val="both"/>
        <w:rPr>
          <w:rFonts w:ascii="Arial" w:hAnsi="Arial" w:cs="Arial"/>
        </w:rPr>
      </w:pPr>
    </w:p>
    <w:p w:rsidR="00BD084C" w:rsidRPr="008407F0" w:rsidRDefault="00BD084C" w:rsidP="0085034D">
      <w:pPr>
        <w:pStyle w:val="NoSpacing"/>
        <w:spacing w:line="276" w:lineRule="auto"/>
        <w:jc w:val="both"/>
        <w:rPr>
          <w:rFonts w:ascii="Arial" w:hAnsi="Arial" w:cs="Arial"/>
        </w:rPr>
      </w:pPr>
      <w:proofErr w:type="gramStart"/>
      <w:r w:rsidRPr="008407F0">
        <w:rPr>
          <w:rFonts w:ascii="Arial" w:hAnsi="Arial" w:cs="Arial"/>
        </w:rPr>
        <w:t>Fig 6.</w:t>
      </w:r>
      <w:proofErr w:type="gramEnd"/>
      <w:r w:rsidRPr="008407F0">
        <w:rPr>
          <w:rFonts w:ascii="Arial" w:hAnsi="Arial" w:cs="Arial"/>
        </w:rPr>
        <w:t xml:space="preserve"> </w:t>
      </w:r>
      <w:proofErr w:type="gramStart"/>
      <w:r w:rsidRPr="008407F0">
        <w:rPr>
          <w:rFonts w:ascii="Arial" w:hAnsi="Arial" w:cs="Arial"/>
        </w:rPr>
        <w:t>Skin shearing.</w:t>
      </w:r>
      <w:proofErr w:type="gramEnd"/>
      <w:r w:rsidRPr="008407F0">
        <w:rPr>
          <w:rFonts w:ascii="Arial" w:hAnsi="Arial" w:cs="Arial"/>
        </w:rPr>
        <w:t xml:space="preserve"> The epidermis within an area of </w:t>
      </w:r>
      <w:proofErr w:type="spellStart"/>
      <w:r w:rsidRPr="008407F0">
        <w:rPr>
          <w:rFonts w:ascii="Arial" w:hAnsi="Arial" w:cs="Arial"/>
        </w:rPr>
        <w:t>lesional</w:t>
      </w:r>
      <w:proofErr w:type="spellEnd"/>
      <w:r w:rsidRPr="008407F0">
        <w:rPr>
          <w:rFonts w:ascii="Arial" w:hAnsi="Arial" w:cs="Arial"/>
        </w:rPr>
        <w:t xml:space="preserve"> skin on this man’s thigh has peeled away following minimal trauma.</w:t>
      </w:r>
    </w:p>
    <w:p w:rsidR="00BD084C" w:rsidRPr="008407F0" w:rsidRDefault="00BD084C" w:rsidP="0085034D">
      <w:pPr>
        <w:pStyle w:val="NoSpacing"/>
        <w:spacing w:line="276" w:lineRule="auto"/>
        <w:jc w:val="both"/>
        <w:rPr>
          <w:rFonts w:ascii="Arial" w:hAnsi="Arial" w:cs="Arial"/>
        </w:rPr>
      </w:pPr>
    </w:p>
    <w:p w:rsidR="00BD084C" w:rsidRPr="008407F0" w:rsidRDefault="00BD084C" w:rsidP="0085034D">
      <w:pPr>
        <w:pStyle w:val="NoSpacing"/>
        <w:spacing w:line="276" w:lineRule="auto"/>
        <w:jc w:val="both"/>
        <w:rPr>
          <w:rFonts w:ascii="Arial" w:hAnsi="Arial" w:cs="Arial"/>
        </w:rPr>
      </w:pPr>
      <w:proofErr w:type="gramStart"/>
      <w:r w:rsidRPr="008407F0">
        <w:rPr>
          <w:rFonts w:ascii="Arial" w:hAnsi="Arial" w:cs="Arial"/>
        </w:rPr>
        <w:t>Fig 7.</w:t>
      </w:r>
      <w:proofErr w:type="gramEnd"/>
      <w:r w:rsidRPr="008407F0">
        <w:rPr>
          <w:rFonts w:ascii="Arial" w:hAnsi="Arial" w:cs="Arial"/>
        </w:rPr>
        <w:t xml:space="preserve"> </w:t>
      </w:r>
      <w:proofErr w:type="gramStart"/>
      <w:r w:rsidRPr="008407F0">
        <w:rPr>
          <w:rFonts w:ascii="Arial" w:hAnsi="Arial" w:cs="Arial"/>
        </w:rPr>
        <w:t>Blisters.</w:t>
      </w:r>
      <w:proofErr w:type="gramEnd"/>
      <w:r w:rsidRPr="008407F0">
        <w:rPr>
          <w:rFonts w:ascii="Arial" w:hAnsi="Arial" w:cs="Arial"/>
        </w:rPr>
        <w:t xml:space="preserve"> Numerous large, flaccid blisters developed on the back of this woman who had SJS-TEN overlap.  In her case there was epidermal detachment of 20% of her body surface area (BSA).</w:t>
      </w:r>
    </w:p>
    <w:p w:rsidR="00BD084C" w:rsidRPr="008407F0" w:rsidRDefault="00BD084C" w:rsidP="0085034D">
      <w:pPr>
        <w:pStyle w:val="NoSpacing"/>
        <w:spacing w:line="276" w:lineRule="auto"/>
        <w:jc w:val="both"/>
        <w:rPr>
          <w:rFonts w:ascii="Arial" w:hAnsi="Arial" w:cs="Arial"/>
        </w:rPr>
      </w:pPr>
    </w:p>
    <w:p w:rsidR="00BD084C" w:rsidRPr="008407F0" w:rsidRDefault="00BD084C" w:rsidP="0085034D">
      <w:pPr>
        <w:pStyle w:val="NoSpacing"/>
        <w:spacing w:line="276" w:lineRule="auto"/>
        <w:jc w:val="both"/>
        <w:rPr>
          <w:rFonts w:ascii="Arial" w:hAnsi="Arial" w:cs="Arial"/>
        </w:rPr>
      </w:pPr>
      <w:proofErr w:type="gramStart"/>
      <w:r w:rsidRPr="008407F0">
        <w:rPr>
          <w:rFonts w:ascii="Arial" w:hAnsi="Arial" w:cs="Arial"/>
        </w:rPr>
        <w:t>Fig 8.</w:t>
      </w:r>
      <w:proofErr w:type="gramEnd"/>
      <w:r w:rsidRPr="008407F0">
        <w:rPr>
          <w:rFonts w:ascii="Arial" w:hAnsi="Arial" w:cs="Arial"/>
        </w:rPr>
        <w:t xml:space="preserve"> </w:t>
      </w:r>
      <w:proofErr w:type="gramStart"/>
      <w:r w:rsidRPr="008407F0">
        <w:rPr>
          <w:rFonts w:ascii="Arial" w:hAnsi="Arial" w:cs="Arial"/>
        </w:rPr>
        <w:t>Epidermal loss.</w:t>
      </w:r>
      <w:proofErr w:type="gramEnd"/>
      <w:r w:rsidRPr="008407F0">
        <w:rPr>
          <w:rFonts w:ascii="Arial" w:hAnsi="Arial" w:cs="Arial"/>
        </w:rPr>
        <w:t xml:space="preserve"> Extensive necrolysis results in the detachment of sheets of epidermis and exposure of large areas of denuded dermis. This patient with TEN had epidermal detachment of </w:t>
      </w:r>
      <w:r>
        <w:rPr>
          <w:rFonts w:ascii="Arial" w:hAnsi="Arial" w:cs="Arial"/>
        </w:rPr>
        <w:t>60</w:t>
      </w:r>
      <w:r w:rsidRPr="008407F0">
        <w:rPr>
          <w:rFonts w:ascii="Arial" w:hAnsi="Arial" w:cs="Arial"/>
        </w:rPr>
        <w:t>% BSA.</w:t>
      </w:r>
    </w:p>
    <w:p w:rsidR="00BD084C" w:rsidRPr="008407F0" w:rsidRDefault="00BD084C" w:rsidP="0085034D">
      <w:pPr>
        <w:pStyle w:val="NoSpacing"/>
        <w:spacing w:line="276" w:lineRule="auto"/>
        <w:jc w:val="both"/>
        <w:rPr>
          <w:rFonts w:ascii="Arial" w:hAnsi="Arial" w:cs="Arial"/>
        </w:rPr>
      </w:pPr>
    </w:p>
    <w:p w:rsidR="00BD084C" w:rsidRPr="008407F0" w:rsidRDefault="00BD084C" w:rsidP="0085034D">
      <w:pPr>
        <w:pStyle w:val="NoSpacing"/>
        <w:spacing w:line="276" w:lineRule="auto"/>
        <w:jc w:val="both"/>
        <w:rPr>
          <w:rFonts w:ascii="Arial" w:hAnsi="Arial" w:cs="Arial"/>
        </w:rPr>
      </w:pPr>
      <w:proofErr w:type="gramStart"/>
      <w:r w:rsidRPr="008407F0">
        <w:rPr>
          <w:rFonts w:ascii="Arial" w:hAnsi="Arial" w:cs="Arial"/>
        </w:rPr>
        <w:t>Fig 9.</w:t>
      </w:r>
      <w:proofErr w:type="gramEnd"/>
      <w:r w:rsidRPr="008407F0">
        <w:rPr>
          <w:rFonts w:ascii="Arial" w:hAnsi="Arial" w:cs="Arial"/>
        </w:rPr>
        <w:t xml:space="preserve"> </w:t>
      </w:r>
      <w:proofErr w:type="gramStart"/>
      <w:r w:rsidRPr="008407F0">
        <w:rPr>
          <w:rFonts w:ascii="Arial" w:hAnsi="Arial" w:cs="Arial"/>
        </w:rPr>
        <w:t>Eye involvement.</w:t>
      </w:r>
      <w:proofErr w:type="gramEnd"/>
      <w:r w:rsidRPr="008407F0">
        <w:rPr>
          <w:rFonts w:ascii="Arial" w:hAnsi="Arial" w:cs="Arial"/>
        </w:rPr>
        <w:t xml:space="preserve"> Upper panel: early in the acute phase of SJS/TEN there is a purulent </w:t>
      </w:r>
      <w:proofErr w:type="spellStart"/>
      <w:r w:rsidRPr="008407F0">
        <w:rPr>
          <w:rFonts w:ascii="Arial" w:hAnsi="Arial" w:cs="Arial"/>
        </w:rPr>
        <w:t>kerato</w:t>
      </w:r>
      <w:proofErr w:type="spellEnd"/>
      <w:r w:rsidRPr="008407F0">
        <w:rPr>
          <w:rFonts w:ascii="Arial" w:hAnsi="Arial" w:cs="Arial"/>
        </w:rPr>
        <w:t xml:space="preserve">-conjunctivitis and eyelid oedema. Lower panel: the same patient 3 days later, there is persistent ocular inflammation and </w:t>
      </w:r>
      <w:r>
        <w:rPr>
          <w:rFonts w:ascii="Arial" w:hAnsi="Arial" w:cs="Arial"/>
        </w:rPr>
        <w:t xml:space="preserve">involvement of </w:t>
      </w:r>
      <w:r w:rsidRPr="008407F0">
        <w:rPr>
          <w:rFonts w:ascii="Arial" w:hAnsi="Arial" w:cs="Arial"/>
        </w:rPr>
        <w:t>eyelid skin.</w:t>
      </w:r>
    </w:p>
    <w:p w:rsidR="00BD084C" w:rsidRPr="008407F0" w:rsidRDefault="00BD084C" w:rsidP="0085034D">
      <w:pPr>
        <w:pStyle w:val="NoSpacing"/>
        <w:spacing w:line="276" w:lineRule="auto"/>
        <w:jc w:val="both"/>
        <w:rPr>
          <w:rFonts w:ascii="Arial" w:hAnsi="Arial" w:cs="Arial"/>
        </w:rPr>
      </w:pPr>
    </w:p>
    <w:p w:rsidR="00BD084C" w:rsidRPr="008407F0" w:rsidRDefault="00BD084C" w:rsidP="0085034D">
      <w:pPr>
        <w:pStyle w:val="NoSpacing"/>
        <w:spacing w:line="276" w:lineRule="auto"/>
        <w:jc w:val="both"/>
        <w:rPr>
          <w:rFonts w:ascii="Arial" w:hAnsi="Arial" w:cs="Arial"/>
        </w:rPr>
      </w:pPr>
      <w:proofErr w:type="gramStart"/>
      <w:r w:rsidRPr="008407F0">
        <w:rPr>
          <w:rFonts w:ascii="Arial" w:hAnsi="Arial" w:cs="Arial"/>
        </w:rPr>
        <w:lastRenderedPageBreak/>
        <w:t>Fig 10.</w:t>
      </w:r>
      <w:proofErr w:type="gramEnd"/>
      <w:r w:rsidRPr="008407F0">
        <w:rPr>
          <w:rFonts w:ascii="Arial" w:hAnsi="Arial" w:cs="Arial"/>
        </w:rPr>
        <w:t xml:space="preserve"> </w:t>
      </w:r>
      <w:proofErr w:type="gramStart"/>
      <w:r w:rsidRPr="008407F0">
        <w:rPr>
          <w:rFonts w:ascii="Arial" w:hAnsi="Arial" w:cs="Arial"/>
        </w:rPr>
        <w:t>Mouth involvement.</w:t>
      </w:r>
      <w:proofErr w:type="gramEnd"/>
      <w:r w:rsidRPr="008407F0">
        <w:rPr>
          <w:rFonts w:ascii="Arial" w:hAnsi="Arial" w:cs="Arial"/>
        </w:rPr>
        <w:t xml:space="preserve"> Upper panel: a severe exudative and erosive </w:t>
      </w:r>
      <w:proofErr w:type="spellStart"/>
      <w:r w:rsidRPr="008407F0">
        <w:rPr>
          <w:rFonts w:ascii="Arial" w:hAnsi="Arial" w:cs="Arial"/>
        </w:rPr>
        <w:t>cheilitis</w:t>
      </w:r>
      <w:proofErr w:type="spellEnd"/>
      <w:r w:rsidRPr="008407F0">
        <w:rPr>
          <w:rFonts w:ascii="Arial" w:hAnsi="Arial" w:cs="Arial"/>
        </w:rPr>
        <w:t xml:space="preserve"> is typical. Lower panel: erosions may occur at any buccal site within the mouth including, as in this case, the palate.</w:t>
      </w:r>
    </w:p>
    <w:p w:rsidR="00BD084C" w:rsidRPr="008407F0" w:rsidRDefault="00BD084C" w:rsidP="0085034D">
      <w:pPr>
        <w:pStyle w:val="NoSpacing"/>
        <w:spacing w:line="276" w:lineRule="auto"/>
        <w:jc w:val="both"/>
        <w:rPr>
          <w:rFonts w:ascii="Arial" w:hAnsi="Arial" w:cs="Arial"/>
        </w:rPr>
      </w:pPr>
    </w:p>
    <w:p w:rsidR="00BD084C" w:rsidRPr="008407F0" w:rsidRDefault="00BD084C" w:rsidP="0085034D">
      <w:pPr>
        <w:pStyle w:val="NoSpacing"/>
        <w:spacing w:line="276" w:lineRule="auto"/>
        <w:jc w:val="both"/>
        <w:rPr>
          <w:rFonts w:ascii="Arial" w:hAnsi="Arial" w:cs="Arial"/>
        </w:rPr>
      </w:pPr>
      <w:proofErr w:type="gramStart"/>
      <w:r w:rsidRPr="008407F0">
        <w:rPr>
          <w:rFonts w:ascii="Arial" w:hAnsi="Arial" w:cs="Arial"/>
        </w:rPr>
        <w:t>Fig 11.</w:t>
      </w:r>
      <w:proofErr w:type="gramEnd"/>
      <w:r w:rsidRPr="008407F0">
        <w:rPr>
          <w:rFonts w:ascii="Arial" w:hAnsi="Arial" w:cs="Arial"/>
        </w:rPr>
        <w:t xml:space="preserve"> </w:t>
      </w:r>
      <w:proofErr w:type="gramStart"/>
      <w:r w:rsidRPr="008407F0">
        <w:rPr>
          <w:rFonts w:ascii="Arial" w:hAnsi="Arial" w:cs="Arial"/>
        </w:rPr>
        <w:t>Genital involvement.</w:t>
      </w:r>
      <w:proofErr w:type="gramEnd"/>
      <w:r w:rsidRPr="008407F0">
        <w:rPr>
          <w:rFonts w:ascii="Arial" w:hAnsi="Arial" w:cs="Arial"/>
        </w:rPr>
        <w:t xml:space="preserve"> Involvement of the urethral meatus is visible, along with lesions elsewhere on the penis and confluent involvement of the scrotum. In this patient, the mucositis also affected the distal urethra.</w:t>
      </w:r>
    </w:p>
    <w:p w:rsidR="00BD084C" w:rsidRPr="008407F0" w:rsidRDefault="00BD084C" w:rsidP="0085034D">
      <w:pPr>
        <w:pStyle w:val="NoSpacing"/>
        <w:spacing w:line="276" w:lineRule="auto"/>
        <w:jc w:val="both"/>
        <w:rPr>
          <w:rFonts w:ascii="Arial" w:hAnsi="Arial" w:cs="Arial"/>
        </w:rPr>
      </w:pPr>
    </w:p>
    <w:p w:rsidR="00BD084C" w:rsidRPr="008407F0" w:rsidRDefault="00BD084C" w:rsidP="0085034D">
      <w:pPr>
        <w:pStyle w:val="NoSpacing"/>
        <w:spacing w:line="276" w:lineRule="auto"/>
        <w:jc w:val="both"/>
        <w:rPr>
          <w:rFonts w:ascii="Arial" w:hAnsi="Arial" w:cs="Arial"/>
        </w:rPr>
      </w:pPr>
      <w:proofErr w:type="gramStart"/>
      <w:r w:rsidRPr="008407F0">
        <w:rPr>
          <w:rFonts w:ascii="Arial" w:hAnsi="Arial" w:cs="Arial"/>
        </w:rPr>
        <w:t>Fig 12.</w:t>
      </w:r>
      <w:proofErr w:type="gramEnd"/>
      <w:r w:rsidRPr="008407F0">
        <w:rPr>
          <w:rFonts w:ascii="Arial" w:hAnsi="Arial" w:cs="Arial"/>
        </w:rPr>
        <w:t xml:space="preserve"> </w:t>
      </w:r>
      <w:proofErr w:type="gramStart"/>
      <w:r w:rsidRPr="008407F0">
        <w:rPr>
          <w:rFonts w:ascii="Arial" w:hAnsi="Arial" w:cs="Arial"/>
        </w:rPr>
        <w:t>Histopathology of SJS/TEN.</w:t>
      </w:r>
      <w:proofErr w:type="gramEnd"/>
      <w:r w:rsidRPr="008407F0">
        <w:rPr>
          <w:rFonts w:ascii="Arial" w:hAnsi="Arial" w:cs="Arial"/>
        </w:rPr>
        <w:t xml:space="preserve"> There are multiple apoptotic keratinocytes throughout the full-thickness of the epidermis, and a </w:t>
      </w:r>
      <w:proofErr w:type="spellStart"/>
      <w:r w:rsidRPr="008407F0">
        <w:rPr>
          <w:rFonts w:ascii="Arial" w:hAnsi="Arial" w:cs="Arial"/>
        </w:rPr>
        <w:t>subepidermal</w:t>
      </w:r>
      <w:proofErr w:type="spellEnd"/>
      <w:r w:rsidRPr="008407F0">
        <w:rPr>
          <w:rFonts w:ascii="Arial" w:hAnsi="Arial" w:cs="Arial"/>
        </w:rPr>
        <w:t xml:space="preserve"> split forming a bulla. </w:t>
      </w:r>
      <w:r>
        <w:rPr>
          <w:rFonts w:ascii="Arial" w:hAnsi="Arial" w:cs="Arial"/>
        </w:rPr>
        <w:t>There is a</w:t>
      </w:r>
      <w:r w:rsidRPr="008407F0">
        <w:rPr>
          <w:rFonts w:ascii="Arial" w:hAnsi="Arial" w:cs="Arial"/>
        </w:rPr>
        <w:t xml:space="preserve"> perivascular lymphocytic infiltrate within the dermis.</w:t>
      </w:r>
    </w:p>
    <w:p w:rsidR="00BD084C" w:rsidRPr="008407F0" w:rsidRDefault="00BD084C" w:rsidP="0085034D">
      <w:pPr>
        <w:pStyle w:val="NoSpacing"/>
        <w:spacing w:line="276" w:lineRule="auto"/>
        <w:jc w:val="both"/>
        <w:rPr>
          <w:rFonts w:ascii="Arial" w:hAnsi="Arial" w:cs="Arial"/>
        </w:rPr>
      </w:pPr>
    </w:p>
    <w:p w:rsidR="00BD084C" w:rsidRDefault="00BD084C" w:rsidP="0085034D">
      <w:pPr>
        <w:pStyle w:val="NoSpacing"/>
        <w:spacing w:line="276" w:lineRule="auto"/>
        <w:jc w:val="both"/>
        <w:rPr>
          <w:rFonts w:ascii="Arial" w:hAnsi="Arial" w:cs="Arial"/>
        </w:rPr>
      </w:pPr>
      <w:proofErr w:type="gramStart"/>
      <w:r w:rsidRPr="008407F0">
        <w:rPr>
          <w:rFonts w:ascii="Arial" w:hAnsi="Arial" w:cs="Arial"/>
        </w:rPr>
        <w:t>Fig 13.</w:t>
      </w:r>
      <w:proofErr w:type="gramEnd"/>
      <w:r w:rsidRPr="008407F0">
        <w:rPr>
          <w:rFonts w:ascii="Arial" w:hAnsi="Arial" w:cs="Arial"/>
        </w:rPr>
        <w:t xml:space="preserve">  </w:t>
      </w:r>
      <w:proofErr w:type="gramStart"/>
      <w:r w:rsidRPr="008407F0">
        <w:rPr>
          <w:rFonts w:ascii="Arial" w:hAnsi="Arial" w:cs="Arial"/>
        </w:rPr>
        <w:t>Body map schematics of skin involvement in SJS/TEN.</w:t>
      </w:r>
      <w:proofErr w:type="gramEnd"/>
      <w:r w:rsidRPr="008407F0">
        <w:rPr>
          <w:rFonts w:ascii="Arial" w:hAnsi="Arial" w:cs="Arial"/>
        </w:rPr>
        <w:t xml:space="preserve"> 13 A: </w:t>
      </w:r>
      <w:r>
        <w:rPr>
          <w:rFonts w:ascii="Arial" w:hAnsi="Arial" w:cs="Arial"/>
        </w:rPr>
        <w:t>extent of skin erythema (in pink) =</w:t>
      </w:r>
      <w:r w:rsidRPr="008407F0">
        <w:rPr>
          <w:rFonts w:ascii="Arial" w:hAnsi="Arial" w:cs="Arial"/>
        </w:rPr>
        <w:t xml:space="preserve"> 65% body surface area (BSA); </w:t>
      </w:r>
      <w:r>
        <w:rPr>
          <w:rFonts w:ascii="Arial" w:hAnsi="Arial" w:cs="Arial"/>
        </w:rPr>
        <w:t>extent of epidermal detachment (in red) =</w:t>
      </w:r>
      <w:r w:rsidRPr="008407F0">
        <w:rPr>
          <w:rFonts w:ascii="Arial" w:hAnsi="Arial" w:cs="Arial"/>
        </w:rPr>
        <w:t xml:space="preserve"> 10% BSA. 13 B: </w:t>
      </w:r>
      <w:r>
        <w:rPr>
          <w:rFonts w:ascii="Arial" w:hAnsi="Arial" w:cs="Arial"/>
        </w:rPr>
        <w:t xml:space="preserve">extent of erythema (in pink) = </w:t>
      </w:r>
      <w:r w:rsidRPr="008407F0">
        <w:rPr>
          <w:rFonts w:ascii="Arial" w:hAnsi="Arial" w:cs="Arial"/>
        </w:rPr>
        <w:t xml:space="preserve">90% BSA; </w:t>
      </w:r>
      <w:r>
        <w:rPr>
          <w:rFonts w:ascii="Arial" w:hAnsi="Arial" w:cs="Arial"/>
        </w:rPr>
        <w:t>extent of epidermal detachment (in red) =</w:t>
      </w:r>
      <w:r w:rsidRPr="008407F0">
        <w:rPr>
          <w:rFonts w:ascii="Arial" w:hAnsi="Arial" w:cs="Arial"/>
        </w:rPr>
        <w:t xml:space="preserve"> 45% BSA.</w:t>
      </w:r>
    </w:p>
    <w:p w:rsidR="00BD084C" w:rsidRDefault="00BD084C" w:rsidP="0085034D">
      <w:pPr>
        <w:pStyle w:val="NoSpacing"/>
        <w:spacing w:line="276" w:lineRule="auto"/>
        <w:jc w:val="both"/>
        <w:rPr>
          <w:rFonts w:ascii="Arial" w:hAnsi="Arial" w:cs="Arial"/>
        </w:rPr>
      </w:pPr>
    </w:p>
    <w:p w:rsidR="00BD084C" w:rsidRPr="008407F0" w:rsidRDefault="00BD084C" w:rsidP="0085034D">
      <w:pPr>
        <w:pStyle w:val="NoSpacing"/>
        <w:spacing w:line="276" w:lineRule="auto"/>
        <w:jc w:val="both"/>
        <w:rPr>
          <w:rFonts w:ascii="Arial" w:hAnsi="Arial" w:cs="Arial"/>
        </w:rPr>
      </w:pPr>
      <w:proofErr w:type="gramStart"/>
      <w:r>
        <w:rPr>
          <w:rFonts w:ascii="Arial" w:hAnsi="Arial" w:cs="Arial"/>
        </w:rPr>
        <w:t>Fig 14.</w:t>
      </w:r>
      <w:proofErr w:type="gramEnd"/>
      <w:r>
        <w:rPr>
          <w:rFonts w:ascii="Arial" w:hAnsi="Arial" w:cs="Arial"/>
        </w:rPr>
        <w:t xml:space="preserve"> </w:t>
      </w:r>
      <w:r w:rsidRPr="008407F0">
        <w:rPr>
          <w:rFonts w:ascii="Arial" w:hAnsi="Arial" w:cs="Arial"/>
        </w:rPr>
        <w:t>SJS/TEN Pathway of Care</w:t>
      </w:r>
    </w:p>
    <w:p w:rsidR="00C92AE4" w:rsidRDefault="00C92AE4"/>
    <w:sectPr w:rsidR="00C92AE4" w:rsidSect="0085034D">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75D" w:rsidRDefault="00F1675D" w:rsidP="00BD084C">
      <w:pPr>
        <w:spacing w:after="0" w:line="240" w:lineRule="auto"/>
      </w:pPr>
      <w:r>
        <w:separator/>
      </w:r>
    </w:p>
  </w:endnote>
  <w:endnote w:type="continuationSeparator" w:id="0">
    <w:p w:rsidR="00F1675D" w:rsidRDefault="00F1675D" w:rsidP="00BD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34D" w:rsidRPr="00B60E8C" w:rsidRDefault="0085034D">
    <w:pPr>
      <w:pStyle w:val="Footer"/>
      <w:jc w:val="center"/>
      <w:rPr>
        <w:rFonts w:ascii="Arial" w:hAnsi="Arial" w:cs="Arial"/>
      </w:rPr>
    </w:pPr>
    <w:r w:rsidRPr="00B60E8C">
      <w:rPr>
        <w:rFonts w:ascii="Arial" w:hAnsi="Arial" w:cs="Arial"/>
      </w:rPr>
      <w:fldChar w:fldCharType="begin"/>
    </w:r>
    <w:r w:rsidRPr="00B60E8C">
      <w:rPr>
        <w:rFonts w:ascii="Arial" w:hAnsi="Arial" w:cs="Arial"/>
      </w:rPr>
      <w:instrText xml:space="preserve"> PAGE   \* MERGEFORMAT </w:instrText>
    </w:r>
    <w:r w:rsidRPr="00B60E8C">
      <w:rPr>
        <w:rFonts w:ascii="Arial" w:hAnsi="Arial" w:cs="Arial"/>
      </w:rPr>
      <w:fldChar w:fldCharType="separate"/>
    </w:r>
    <w:r w:rsidR="002E7807">
      <w:rPr>
        <w:rFonts w:ascii="Arial" w:hAnsi="Arial" w:cs="Arial"/>
        <w:noProof/>
      </w:rPr>
      <w:t>1</w:t>
    </w:r>
    <w:r w:rsidRPr="00B60E8C">
      <w:rPr>
        <w:rFonts w:ascii="Arial" w:hAnsi="Arial" w:cs="Arial"/>
      </w:rPr>
      <w:fldChar w:fldCharType="end"/>
    </w:r>
  </w:p>
  <w:p w:rsidR="0085034D" w:rsidRDefault="008503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75D" w:rsidRDefault="00F1675D" w:rsidP="00BD084C">
      <w:pPr>
        <w:spacing w:after="0" w:line="240" w:lineRule="auto"/>
      </w:pPr>
      <w:r>
        <w:separator/>
      </w:r>
    </w:p>
  </w:footnote>
  <w:footnote w:type="continuationSeparator" w:id="0">
    <w:p w:rsidR="00F1675D" w:rsidRDefault="00F1675D" w:rsidP="00BD084C">
      <w:pPr>
        <w:spacing w:after="0" w:line="240" w:lineRule="auto"/>
      </w:pPr>
      <w:r>
        <w:continuationSeparator/>
      </w:r>
    </w:p>
  </w:footnote>
  <w:footnote w:id="1">
    <w:p w:rsidR="0085034D" w:rsidRDefault="0085034D" w:rsidP="0085034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C5E"/>
    <w:multiLevelType w:val="hybridMultilevel"/>
    <w:tmpl w:val="5420D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023E3205"/>
    <w:multiLevelType w:val="hybridMultilevel"/>
    <w:tmpl w:val="A6B4C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B6056A"/>
    <w:multiLevelType w:val="hybridMultilevel"/>
    <w:tmpl w:val="D34A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42B31"/>
    <w:multiLevelType w:val="hybridMultilevel"/>
    <w:tmpl w:val="4BE27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040804"/>
    <w:multiLevelType w:val="hybridMultilevel"/>
    <w:tmpl w:val="62FCB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E120A0"/>
    <w:multiLevelType w:val="hybridMultilevel"/>
    <w:tmpl w:val="991E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147612"/>
    <w:multiLevelType w:val="hybridMultilevel"/>
    <w:tmpl w:val="B75E33B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12B27"/>
    <w:multiLevelType w:val="hybridMultilevel"/>
    <w:tmpl w:val="6366D22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2AA0C1B"/>
    <w:multiLevelType w:val="hybridMultilevel"/>
    <w:tmpl w:val="3D24E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36F17F7"/>
    <w:multiLevelType w:val="hybridMultilevel"/>
    <w:tmpl w:val="1BD2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2410B"/>
    <w:multiLevelType w:val="hybridMultilevel"/>
    <w:tmpl w:val="F4D07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F11599"/>
    <w:multiLevelType w:val="hybridMultilevel"/>
    <w:tmpl w:val="75C21828"/>
    <w:lvl w:ilvl="0" w:tplc="0809000F">
      <w:start w:val="1"/>
      <w:numFmt w:val="decimal"/>
      <w:lvlText w:val="%1."/>
      <w:lvlJc w:val="left"/>
      <w:pPr>
        <w:ind w:left="720" w:hanging="360"/>
      </w:pPr>
    </w:lvl>
    <w:lvl w:ilvl="1" w:tplc="1CAC5654">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911290"/>
    <w:multiLevelType w:val="hybridMultilevel"/>
    <w:tmpl w:val="1B528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C46401A"/>
    <w:multiLevelType w:val="hybridMultilevel"/>
    <w:tmpl w:val="C96C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355E31"/>
    <w:multiLevelType w:val="hybridMultilevel"/>
    <w:tmpl w:val="8370B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1EA2304"/>
    <w:multiLevelType w:val="hybridMultilevel"/>
    <w:tmpl w:val="257A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EC2E76"/>
    <w:multiLevelType w:val="hybridMultilevel"/>
    <w:tmpl w:val="3DB84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7">
    <w:nsid w:val="34D45D8E"/>
    <w:multiLevelType w:val="hybridMultilevel"/>
    <w:tmpl w:val="6292D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614372"/>
    <w:multiLevelType w:val="hybridMultilevel"/>
    <w:tmpl w:val="70E6A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79D5259"/>
    <w:multiLevelType w:val="hybridMultilevel"/>
    <w:tmpl w:val="BC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E62F17"/>
    <w:multiLevelType w:val="hybridMultilevel"/>
    <w:tmpl w:val="A3AC7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703082E"/>
    <w:multiLevelType w:val="hybridMultilevel"/>
    <w:tmpl w:val="1A16FDAC"/>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7BB03AA"/>
    <w:multiLevelType w:val="hybridMultilevel"/>
    <w:tmpl w:val="968AC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8BF100C"/>
    <w:multiLevelType w:val="hybridMultilevel"/>
    <w:tmpl w:val="BE78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465169"/>
    <w:multiLevelType w:val="hybridMultilevel"/>
    <w:tmpl w:val="EFE00FB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98231BB"/>
    <w:multiLevelType w:val="hybridMultilevel"/>
    <w:tmpl w:val="1210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C9704CE"/>
    <w:multiLevelType w:val="hybridMultilevel"/>
    <w:tmpl w:val="0876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360E5A"/>
    <w:multiLevelType w:val="hybridMultilevel"/>
    <w:tmpl w:val="653A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7732460"/>
    <w:multiLevelType w:val="hybridMultilevel"/>
    <w:tmpl w:val="67C0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F76840"/>
    <w:multiLevelType w:val="hybridMultilevel"/>
    <w:tmpl w:val="40F8F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0B12C44"/>
    <w:multiLevelType w:val="hybridMultilevel"/>
    <w:tmpl w:val="CAA23EB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084835"/>
    <w:multiLevelType w:val="hybridMultilevel"/>
    <w:tmpl w:val="CDE0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B70197"/>
    <w:multiLevelType w:val="hybridMultilevel"/>
    <w:tmpl w:val="3A5A1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2B049D8"/>
    <w:multiLevelType w:val="hybridMultilevel"/>
    <w:tmpl w:val="386ACD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63755AEA"/>
    <w:multiLevelType w:val="hybridMultilevel"/>
    <w:tmpl w:val="36F0F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606C9F"/>
    <w:multiLevelType w:val="hybridMultilevel"/>
    <w:tmpl w:val="BB46F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7E4AEE"/>
    <w:multiLevelType w:val="hybridMultilevel"/>
    <w:tmpl w:val="3042D9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896E00"/>
    <w:multiLevelType w:val="hybridMultilevel"/>
    <w:tmpl w:val="421C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3C26CF"/>
    <w:multiLevelType w:val="hybridMultilevel"/>
    <w:tmpl w:val="352C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E43FE2"/>
    <w:multiLevelType w:val="hybridMultilevel"/>
    <w:tmpl w:val="E214C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AD47AB0"/>
    <w:multiLevelType w:val="hybridMultilevel"/>
    <w:tmpl w:val="61522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890B7A"/>
    <w:multiLevelType w:val="hybridMultilevel"/>
    <w:tmpl w:val="D45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0"/>
  </w:num>
  <w:num w:numId="2">
    <w:abstractNumId w:val="2"/>
  </w:num>
  <w:num w:numId="3">
    <w:abstractNumId w:val="34"/>
  </w:num>
  <w:num w:numId="4">
    <w:abstractNumId w:val="9"/>
  </w:num>
  <w:num w:numId="5">
    <w:abstractNumId w:val="26"/>
  </w:num>
  <w:num w:numId="6">
    <w:abstractNumId w:val="37"/>
  </w:num>
  <w:num w:numId="7">
    <w:abstractNumId w:val="16"/>
  </w:num>
  <w:num w:numId="8">
    <w:abstractNumId w:val="0"/>
  </w:num>
  <w:num w:numId="9">
    <w:abstractNumId w:val="38"/>
  </w:num>
  <w:num w:numId="10">
    <w:abstractNumId w:val="19"/>
  </w:num>
  <w:num w:numId="11">
    <w:abstractNumId w:val="31"/>
  </w:num>
  <w:num w:numId="12">
    <w:abstractNumId w:val="12"/>
  </w:num>
  <w:num w:numId="13">
    <w:abstractNumId w:val="28"/>
  </w:num>
  <w:num w:numId="14">
    <w:abstractNumId w:val="35"/>
  </w:num>
  <w:num w:numId="15">
    <w:abstractNumId w:val="15"/>
  </w:num>
  <w:num w:numId="16">
    <w:abstractNumId w:val="36"/>
  </w:num>
  <w:num w:numId="17">
    <w:abstractNumId w:val="17"/>
  </w:num>
  <w:num w:numId="18">
    <w:abstractNumId w:val="22"/>
  </w:num>
  <w:num w:numId="19">
    <w:abstractNumId w:val="20"/>
  </w:num>
  <w:num w:numId="20">
    <w:abstractNumId w:val="41"/>
  </w:num>
  <w:num w:numId="21">
    <w:abstractNumId w:val="29"/>
  </w:num>
  <w:num w:numId="22">
    <w:abstractNumId w:val="32"/>
  </w:num>
  <w:num w:numId="23">
    <w:abstractNumId w:val="4"/>
  </w:num>
  <w:num w:numId="24">
    <w:abstractNumId w:val="39"/>
  </w:num>
  <w:num w:numId="25">
    <w:abstractNumId w:val="14"/>
  </w:num>
  <w:num w:numId="26">
    <w:abstractNumId w:val="3"/>
  </w:num>
  <w:num w:numId="27">
    <w:abstractNumId w:val="21"/>
  </w:num>
  <w:num w:numId="28">
    <w:abstractNumId w:val="8"/>
  </w:num>
  <w:num w:numId="29">
    <w:abstractNumId w:val="10"/>
  </w:num>
  <w:num w:numId="30">
    <w:abstractNumId w:val="18"/>
  </w:num>
  <w:num w:numId="31">
    <w:abstractNumId w:val="13"/>
  </w:num>
  <w:num w:numId="32">
    <w:abstractNumId w:val="6"/>
  </w:num>
  <w:num w:numId="33">
    <w:abstractNumId w:val="11"/>
  </w:num>
  <w:num w:numId="34">
    <w:abstractNumId w:val="30"/>
  </w:num>
  <w:num w:numId="35">
    <w:abstractNumId w:val="33"/>
  </w:num>
  <w:num w:numId="36">
    <w:abstractNumId w:val="1"/>
  </w:num>
  <w:num w:numId="37">
    <w:abstractNumId w:val="27"/>
  </w:num>
  <w:num w:numId="38">
    <w:abstractNumId w:val="23"/>
  </w:num>
  <w:num w:numId="39">
    <w:abstractNumId w:val="25"/>
  </w:num>
  <w:num w:numId="40">
    <w:abstractNumId w:val="5"/>
  </w:num>
  <w:num w:numId="41">
    <w:abstractNumId w:val="24"/>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D084C"/>
    <w:rsid w:val="002E7807"/>
    <w:rsid w:val="00624825"/>
    <w:rsid w:val="006410B2"/>
    <w:rsid w:val="006F010A"/>
    <w:rsid w:val="007A6547"/>
    <w:rsid w:val="00845BF8"/>
    <w:rsid w:val="0085034D"/>
    <w:rsid w:val="00A15878"/>
    <w:rsid w:val="00A97313"/>
    <w:rsid w:val="00B46CF3"/>
    <w:rsid w:val="00B93C99"/>
    <w:rsid w:val="00BD084C"/>
    <w:rsid w:val="00C712E9"/>
    <w:rsid w:val="00C92AE4"/>
    <w:rsid w:val="00DB2817"/>
    <w:rsid w:val="00E100FC"/>
    <w:rsid w:val="00E76EC2"/>
    <w:rsid w:val="00F167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8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84C"/>
    <w:pPr>
      <w:ind w:left="720"/>
      <w:contextualSpacing/>
    </w:pPr>
  </w:style>
  <w:style w:type="character" w:styleId="Hyperlink">
    <w:name w:val="Hyperlink"/>
    <w:uiPriority w:val="99"/>
    <w:unhideWhenUsed/>
    <w:rsid w:val="00BD084C"/>
    <w:rPr>
      <w:color w:val="0000FF"/>
      <w:u w:val="single"/>
    </w:rPr>
  </w:style>
  <w:style w:type="table" w:styleId="TableGrid">
    <w:name w:val="Table Grid"/>
    <w:basedOn w:val="TableNormal"/>
    <w:uiPriority w:val="59"/>
    <w:rsid w:val="00BD084C"/>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D084C"/>
  </w:style>
  <w:style w:type="paragraph" w:customStyle="1" w:styleId="Title1">
    <w:name w:val="Title1"/>
    <w:basedOn w:val="Normal"/>
    <w:rsid w:val="00BD084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sc">
    <w:name w:val="desc"/>
    <w:basedOn w:val="Normal"/>
    <w:rsid w:val="00BD084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tails">
    <w:name w:val="details"/>
    <w:basedOn w:val="Normal"/>
    <w:rsid w:val="00BD084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jrnl">
    <w:name w:val="jrnl"/>
    <w:basedOn w:val="DefaultParagraphFont"/>
    <w:rsid w:val="00BD084C"/>
  </w:style>
  <w:style w:type="paragraph" w:styleId="Header">
    <w:name w:val="header"/>
    <w:basedOn w:val="Normal"/>
    <w:link w:val="HeaderChar"/>
    <w:uiPriority w:val="99"/>
    <w:unhideWhenUsed/>
    <w:rsid w:val="00BD084C"/>
    <w:pPr>
      <w:tabs>
        <w:tab w:val="center" w:pos="4513"/>
        <w:tab w:val="right" w:pos="9026"/>
      </w:tabs>
    </w:pPr>
  </w:style>
  <w:style w:type="character" w:customStyle="1" w:styleId="HeaderChar">
    <w:name w:val="Header Char"/>
    <w:link w:val="Header"/>
    <w:uiPriority w:val="99"/>
    <w:rsid w:val="00BD084C"/>
    <w:rPr>
      <w:rFonts w:ascii="Calibri" w:eastAsia="Calibri" w:hAnsi="Calibri" w:cs="Times New Roman"/>
    </w:rPr>
  </w:style>
  <w:style w:type="paragraph" w:styleId="Footer">
    <w:name w:val="footer"/>
    <w:basedOn w:val="Normal"/>
    <w:link w:val="FooterChar"/>
    <w:uiPriority w:val="99"/>
    <w:unhideWhenUsed/>
    <w:rsid w:val="00BD084C"/>
    <w:pPr>
      <w:tabs>
        <w:tab w:val="center" w:pos="4513"/>
        <w:tab w:val="right" w:pos="9026"/>
      </w:tabs>
    </w:pPr>
  </w:style>
  <w:style w:type="character" w:customStyle="1" w:styleId="FooterChar">
    <w:name w:val="Footer Char"/>
    <w:link w:val="Footer"/>
    <w:uiPriority w:val="99"/>
    <w:rsid w:val="00BD084C"/>
    <w:rPr>
      <w:rFonts w:ascii="Calibri" w:eastAsia="Calibri" w:hAnsi="Calibri" w:cs="Times New Roman"/>
    </w:rPr>
  </w:style>
  <w:style w:type="paragraph" w:styleId="NoSpacing">
    <w:name w:val="No Spacing"/>
    <w:uiPriority w:val="1"/>
    <w:qFormat/>
    <w:rsid w:val="00BD084C"/>
    <w:pPr>
      <w:spacing w:after="0" w:line="240" w:lineRule="auto"/>
    </w:pPr>
    <w:rPr>
      <w:rFonts w:ascii="Calibri" w:eastAsia="Calibri" w:hAnsi="Calibri" w:cs="Times New Roman"/>
    </w:rPr>
  </w:style>
  <w:style w:type="character" w:styleId="CommentReference">
    <w:name w:val="annotation reference"/>
    <w:uiPriority w:val="99"/>
    <w:semiHidden/>
    <w:unhideWhenUsed/>
    <w:rsid w:val="00BD084C"/>
    <w:rPr>
      <w:sz w:val="18"/>
      <w:szCs w:val="18"/>
    </w:rPr>
  </w:style>
  <w:style w:type="paragraph" w:styleId="CommentText">
    <w:name w:val="annotation text"/>
    <w:basedOn w:val="Normal"/>
    <w:link w:val="CommentTextChar"/>
    <w:uiPriority w:val="99"/>
    <w:unhideWhenUsed/>
    <w:rsid w:val="00BD084C"/>
    <w:pPr>
      <w:spacing w:after="0" w:line="240" w:lineRule="auto"/>
    </w:pPr>
    <w:rPr>
      <w:rFonts w:ascii="Arial" w:eastAsia="MS Mincho" w:hAnsi="Arial" w:cs="Arial"/>
      <w:sz w:val="24"/>
      <w:szCs w:val="24"/>
      <w:lang w:val="en-US" w:eastAsia="ja-JP"/>
    </w:rPr>
  </w:style>
  <w:style w:type="character" w:customStyle="1" w:styleId="CommentTextChar">
    <w:name w:val="Comment Text Char"/>
    <w:link w:val="CommentText"/>
    <w:uiPriority w:val="99"/>
    <w:rsid w:val="00BD084C"/>
    <w:rPr>
      <w:rFonts w:ascii="Arial" w:eastAsia="MS Mincho" w:hAnsi="Arial" w:cs="Arial"/>
      <w:sz w:val="24"/>
      <w:szCs w:val="24"/>
      <w:lang w:val="en-US" w:eastAsia="ja-JP"/>
    </w:rPr>
  </w:style>
  <w:style w:type="character" w:customStyle="1" w:styleId="apple-style-span">
    <w:name w:val="apple-style-span"/>
    <w:basedOn w:val="DefaultParagraphFont"/>
    <w:rsid w:val="00BD084C"/>
  </w:style>
  <w:style w:type="paragraph" w:styleId="PlainText">
    <w:name w:val="Plain Text"/>
    <w:basedOn w:val="Normal"/>
    <w:link w:val="PlainTextChar"/>
    <w:uiPriority w:val="99"/>
    <w:semiHidden/>
    <w:unhideWhenUsed/>
    <w:rsid w:val="00BD084C"/>
    <w:pPr>
      <w:spacing w:after="0" w:line="240" w:lineRule="auto"/>
    </w:pPr>
    <w:rPr>
      <w:rFonts w:ascii="Consolas" w:hAnsi="Consolas"/>
      <w:sz w:val="21"/>
      <w:szCs w:val="21"/>
      <w:lang w:val="en-US"/>
    </w:rPr>
  </w:style>
  <w:style w:type="character" w:customStyle="1" w:styleId="PlainTextChar">
    <w:name w:val="Plain Text Char"/>
    <w:link w:val="PlainText"/>
    <w:uiPriority w:val="99"/>
    <w:semiHidden/>
    <w:rsid w:val="00BD084C"/>
    <w:rPr>
      <w:rFonts w:ascii="Consolas" w:eastAsia="Calibri" w:hAnsi="Consolas" w:cs="Times New Roman"/>
      <w:sz w:val="21"/>
      <w:szCs w:val="21"/>
      <w:lang w:val="en-US"/>
    </w:rPr>
  </w:style>
  <w:style w:type="paragraph" w:styleId="BalloonText">
    <w:name w:val="Balloon Text"/>
    <w:basedOn w:val="Normal"/>
    <w:link w:val="BalloonTextChar"/>
    <w:uiPriority w:val="99"/>
    <w:semiHidden/>
    <w:unhideWhenUsed/>
    <w:rsid w:val="00BD084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084C"/>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BD084C"/>
    <w:pPr>
      <w:spacing w:after="200" w:line="276" w:lineRule="auto"/>
    </w:pPr>
    <w:rPr>
      <w:rFonts w:ascii="Calibri" w:eastAsia="Calibri" w:hAnsi="Calibri"/>
      <w:b/>
      <w:bCs/>
      <w:sz w:val="20"/>
      <w:szCs w:val="20"/>
      <w:lang w:val="en-GB" w:eastAsia="en-US"/>
    </w:rPr>
  </w:style>
  <w:style w:type="character" w:customStyle="1" w:styleId="CommentSubjectChar">
    <w:name w:val="Comment Subject Char"/>
    <w:link w:val="CommentSubject"/>
    <w:uiPriority w:val="99"/>
    <w:semiHidden/>
    <w:rsid w:val="00BD084C"/>
    <w:rPr>
      <w:rFonts w:ascii="Calibri" w:eastAsia="Calibri" w:hAnsi="Calibri" w:cs="Arial"/>
      <w:b/>
      <w:bCs/>
      <w:sz w:val="20"/>
      <w:szCs w:val="20"/>
    </w:rPr>
  </w:style>
  <w:style w:type="paragraph" w:styleId="FootnoteText">
    <w:name w:val="footnote text"/>
    <w:basedOn w:val="Normal"/>
    <w:link w:val="FootnoteTextChar"/>
    <w:uiPriority w:val="99"/>
    <w:semiHidden/>
    <w:unhideWhenUsed/>
    <w:rsid w:val="00BD084C"/>
    <w:pPr>
      <w:spacing w:after="0" w:line="240" w:lineRule="auto"/>
    </w:pPr>
    <w:rPr>
      <w:sz w:val="20"/>
      <w:szCs w:val="20"/>
    </w:rPr>
  </w:style>
  <w:style w:type="character" w:customStyle="1" w:styleId="FootnoteTextChar">
    <w:name w:val="Footnote Text Char"/>
    <w:link w:val="FootnoteText"/>
    <w:uiPriority w:val="99"/>
    <w:semiHidden/>
    <w:rsid w:val="00BD084C"/>
    <w:rPr>
      <w:rFonts w:ascii="Calibri" w:eastAsia="Calibri" w:hAnsi="Calibri" w:cs="Times New Roman"/>
      <w:sz w:val="20"/>
      <w:szCs w:val="20"/>
    </w:rPr>
  </w:style>
  <w:style w:type="character" w:styleId="FootnoteReference">
    <w:name w:val="footnote reference"/>
    <w:uiPriority w:val="99"/>
    <w:semiHidden/>
    <w:unhideWhenUsed/>
    <w:rsid w:val="00BD084C"/>
    <w:rPr>
      <w:vertAlign w:val="superscript"/>
    </w:rPr>
  </w:style>
  <w:style w:type="paragraph" w:styleId="Revision">
    <w:name w:val="Revision"/>
    <w:hidden/>
    <w:uiPriority w:val="99"/>
    <w:semiHidden/>
    <w:rsid w:val="00BD084C"/>
    <w:pPr>
      <w:spacing w:after="0" w:line="240" w:lineRule="auto"/>
    </w:pPr>
    <w:rPr>
      <w:rFonts w:ascii="Calibri" w:eastAsia="Calibri" w:hAnsi="Calibri" w:cs="Times New Roman"/>
    </w:rPr>
  </w:style>
  <w:style w:type="paragraph" w:customStyle="1" w:styleId="title10">
    <w:name w:val="title1"/>
    <w:basedOn w:val="Normal"/>
    <w:rsid w:val="00BD084C"/>
    <w:pPr>
      <w:spacing w:after="0" w:line="240" w:lineRule="auto"/>
    </w:pPr>
    <w:rPr>
      <w:rFonts w:ascii="Times New Roman" w:eastAsia="Times New Roman" w:hAnsi="Times New Roman"/>
      <w:sz w:val="27"/>
      <w:szCs w:val="27"/>
      <w:lang w:eastAsia="en-GB"/>
    </w:rPr>
  </w:style>
  <w:style w:type="paragraph" w:customStyle="1" w:styleId="desc2">
    <w:name w:val="desc2"/>
    <w:basedOn w:val="Normal"/>
    <w:rsid w:val="00BD084C"/>
    <w:pPr>
      <w:spacing w:after="0" w:line="240" w:lineRule="auto"/>
    </w:pPr>
    <w:rPr>
      <w:rFonts w:ascii="Times New Roman" w:eastAsia="Times New Roman" w:hAnsi="Times New Roman"/>
      <w:sz w:val="26"/>
      <w:szCs w:val="26"/>
      <w:lang w:eastAsia="en-GB"/>
    </w:rPr>
  </w:style>
  <w:style w:type="paragraph" w:customStyle="1" w:styleId="details1">
    <w:name w:val="details1"/>
    <w:basedOn w:val="Normal"/>
    <w:rsid w:val="00BD084C"/>
    <w:pPr>
      <w:spacing w:after="0" w:line="240" w:lineRule="auto"/>
    </w:pPr>
    <w:rPr>
      <w:rFonts w:ascii="Times New Roman" w:eastAsia="Times New Roman" w:hAnsi="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8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84C"/>
    <w:pPr>
      <w:ind w:left="720"/>
      <w:contextualSpacing/>
    </w:pPr>
  </w:style>
  <w:style w:type="character" w:styleId="Hyperlink">
    <w:name w:val="Hyperlink"/>
    <w:uiPriority w:val="99"/>
    <w:unhideWhenUsed/>
    <w:rsid w:val="00BD084C"/>
    <w:rPr>
      <w:color w:val="0000FF"/>
      <w:u w:val="single"/>
    </w:rPr>
  </w:style>
  <w:style w:type="table" w:styleId="TableGrid">
    <w:name w:val="Table Grid"/>
    <w:basedOn w:val="TableNormal"/>
    <w:uiPriority w:val="59"/>
    <w:rsid w:val="00BD084C"/>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D084C"/>
  </w:style>
  <w:style w:type="paragraph" w:customStyle="1" w:styleId="Title1">
    <w:name w:val="Title1"/>
    <w:basedOn w:val="Normal"/>
    <w:rsid w:val="00BD084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sc">
    <w:name w:val="desc"/>
    <w:basedOn w:val="Normal"/>
    <w:rsid w:val="00BD084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tails">
    <w:name w:val="details"/>
    <w:basedOn w:val="Normal"/>
    <w:rsid w:val="00BD084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jrnl">
    <w:name w:val="jrnl"/>
    <w:basedOn w:val="DefaultParagraphFont"/>
    <w:rsid w:val="00BD084C"/>
  </w:style>
  <w:style w:type="paragraph" w:styleId="Header">
    <w:name w:val="header"/>
    <w:basedOn w:val="Normal"/>
    <w:link w:val="HeaderChar"/>
    <w:uiPriority w:val="99"/>
    <w:unhideWhenUsed/>
    <w:rsid w:val="00BD084C"/>
    <w:pPr>
      <w:tabs>
        <w:tab w:val="center" w:pos="4513"/>
        <w:tab w:val="right" w:pos="9026"/>
      </w:tabs>
    </w:pPr>
  </w:style>
  <w:style w:type="character" w:customStyle="1" w:styleId="HeaderChar">
    <w:name w:val="Header Char"/>
    <w:link w:val="Header"/>
    <w:uiPriority w:val="99"/>
    <w:rsid w:val="00BD084C"/>
    <w:rPr>
      <w:rFonts w:ascii="Calibri" w:eastAsia="Calibri" w:hAnsi="Calibri" w:cs="Times New Roman"/>
    </w:rPr>
  </w:style>
  <w:style w:type="paragraph" w:styleId="Footer">
    <w:name w:val="footer"/>
    <w:basedOn w:val="Normal"/>
    <w:link w:val="FooterChar"/>
    <w:uiPriority w:val="99"/>
    <w:unhideWhenUsed/>
    <w:rsid w:val="00BD084C"/>
    <w:pPr>
      <w:tabs>
        <w:tab w:val="center" w:pos="4513"/>
        <w:tab w:val="right" w:pos="9026"/>
      </w:tabs>
    </w:pPr>
  </w:style>
  <w:style w:type="character" w:customStyle="1" w:styleId="FooterChar">
    <w:name w:val="Footer Char"/>
    <w:link w:val="Footer"/>
    <w:uiPriority w:val="99"/>
    <w:rsid w:val="00BD084C"/>
    <w:rPr>
      <w:rFonts w:ascii="Calibri" w:eastAsia="Calibri" w:hAnsi="Calibri" w:cs="Times New Roman"/>
    </w:rPr>
  </w:style>
  <w:style w:type="paragraph" w:styleId="NoSpacing">
    <w:name w:val="No Spacing"/>
    <w:uiPriority w:val="1"/>
    <w:qFormat/>
    <w:rsid w:val="00BD084C"/>
    <w:pPr>
      <w:spacing w:after="0" w:line="240" w:lineRule="auto"/>
    </w:pPr>
    <w:rPr>
      <w:rFonts w:ascii="Calibri" w:eastAsia="Calibri" w:hAnsi="Calibri" w:cs="Times New Roman"/>
    </w:rPr>
  </w:style>
  <w:style w:type="character" w:styleId="CommentReference">
    <w:name w:val="annotation reference"/>
    <w:uiPriority w:val="99"/>
    <w:semiHidden/>
    <w:unhideWhenUsed/>
    <w:rsid w:val="00BD084C"/>
    <w:rPr>
      <w:sz w:val="18"/>
      <w:szCs w:val="18"/>
    </w:rPr>
  </w:style>
  <w:style w:type="paragraph" w:styleId="CommentText">
    <w:name w:val="annotation text"/>
    <w:basedOn w:val="Normal"/>
    <w:link w:val="CommentTextChar"/>
    <w:uiPriority w:val="99"/>
    <w:unhideWhenUsed/>
    <w:rsid w:val="00BD084C"/>
    <w:pPr>
      <w:spacing w:after="0" w:line="240" w:lineRule="auto"/>
    </w:pPr>
    <w:rPr>
      <w:rFonts w:ascii="Arial" w:eastAsia="MS Mincho" w:hAnsi="Arial" w:cs="Arial"/>
      <w:sz w:val="24"/>
      <w:szCs w:val="24"/>
      <w:lang w:val="en-US" w:eastAsia="ja-JP"/>
    </w:rPr>
  </w:style>
  <w:style w:type="character" w:customStyle="1" w:styleId="CommentTextChar">
    <w:name w:val="Comment Text Char"/>
    <w:link w:val="CommentText"/>
    <w:uiPriority w:val="99"/>
    <w:rsid w:val="00BD084C"/>
    <w:rPr>
      <w:rFonts w:ascii="Arial" w:eastAsia="MS Mincho" w:hAnsi="Arial" w:cs="Arial"/>
      <w:sz w:val="24"/>
      <w:szCs w:val="24"/>
      <w:lang w:val="en-US" w:eastAsia="ja-JP"/>
    </w:rPr>
  </w:style>
  <w:style w:type="character" w:customStyle="1" w:styleId="apple-style-span">
    <w:name w:val="apple-style-span"/>
    <w:basedOn w:val="DefaultParagraphFont"/>
    <w:rsid w:val="00BD084C"/>
  </w:style>
  <w:style w:type="paragraph" w:styleId="PlainText">
    <w:name w:val="Plain Text"/>
    <w:basedOn w:val="Normal"/>
    <w:link w:val="PlainTextChar"/>
    <w:uiPriority w:val="99"/>
    <w:semiHidden/>
    <w:unhideWhenUsed/>
    <w:rsid w:val="00BD084C"/>
    <w:pPr>
      <w:spacing w:after="0" w:line="240" w:lineRule="auto"/>
    </w:pPr>
    <w:rPr>
      <w:rFonts w:ascii="Consolas" w:hAnsi="Consolas"/>
      <w:sz w:val="21"/>
      <w:szCs w:val="21"/>
      <w:lang w:val="en-US"/>
    </w:rPr>
  </w:style>
  <w:style w:type="character" w:customStyle="1" w:styleId="PlainTextChar">
    <w:name w:val="Plain Text Char"/>
    <w:link w:val="PlainText"/>
    <w:uiPriority w:val="99"/>
    <w:semiHidden/>
    <w:rsid w:val="00BD084C"/>
    <w:rPr>
      <w:rFonts w:ascii="Consolas" w:eastAsia="Calibri" w:hAnsi="Consolas" w:cs="Times New Roman"/>
      <w:sz w:val="21"/>
      <w:szCs w:val="21"/>
      <w:lang w:val="en-US"/>
    </w:rPr>
  </w:style>
  <w:style w:type="paragraph" w:styleId="BalloonText">
    <w:name w:val="Balloon Text"/>
    <w:basedOn w:val="Normal"/>
    <w:link w:val="BalloonTextChar"/>
    <w:uiPriority w:val="99"/>
    <w:semiHidden/>
    <w:unhideWhenUsed/>
    <w:rsid w:val="00BD084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084C"/>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BD084C"/>
    <w:pPr>
      <w:spacing w:after="200" w:line="276" w:lineRule="auto"/>
    </w:pPr>
    <w:rPr>
      <w:rFonts w:ascii="Calibri" w:eastAsia="Calibri" w:hAnsi="Calibri"/>
      <w:b/>
      <w:bCs/>
      <w:sz w:val="20"/>
      <w:szCs w:val="20"/>
      <w:lang w:val="en-GB" w:eastAsia="en-US"/>
    </w:rPr>
  </w:style>
  <w:style w:type="character" w:customStyle="1" w:styleId="CommentSubjectChar">
    <w:name w:val="Comment Subject Char"/>
    <w:link w:val="CommentSubject"/>
    <w:uiPriority w:val="99"/>
    <w:semiHidden/>
    <w:rsid w:val="00BD084C"/>
    <w:rPr>
      <w:rFonts w:ascii="Calibri" w:eastAsia="Calibri" w:hAnsi="Calibri" w:cs="Arial"/>
      <w:b/>
      <w:bCs/>
      <w:sz w:val="20"/>
      <w:szCs w:val="20"/>
    </w:rPr>
  </w:style>
  <w:style w:type="paragraph" w:styleId="FootnoteText">
    <w:name w:val="footnote text"/>
    <w:basedOn w:val="Normal"/>
    <w:link w:val="FootnoteTextChar"/>
    <w:uiPriority w:val="99"/>
    <w:semiHidden/>
    <w:unhideWhenUsed/>
    <w:rsid w:val="00BD084C"/>
    <w:pPr>
      <w:spacing w:after="0" w:line="240" w:lineRule="auto"/>
    </w:pPr>
    <w:rPr>
      <w:sz w:val="20"/>
      <w:szCs w:val="20"/>
    </w:rPr>
  </w:style>
  <w:style w:type="character" w:customStyle="1" w:styleId="FootnoteTextChar">
    <w:name w:val="Footnote Text Char"/>
    <w:link w:val="FootnoteText"/>
    <w:uiPriority w:val="99"/>
    <w:semiHidden/>
    <w:rsid w:val="00BD084C"/>
    <w:rPr>
      <w:rFonts w:ascii="Calibri" w:eastAsia="Calibri" w:hAnsi="Calibri" w:cs="Times New Roman"/>
      <w:sz w:val="20"/>
      <w:szCs w:val="20"/>
    </w:rPr>
  </w:style>
  <w:style w:type="character" w:styleId="FootnoteReference">
    <w:name w:val="footnote reference"/>
    <w:uiPriority w:val="99"/>
    <w:semiHidden/>
    <w:unhideWhenUsed/>
    <w:rsid w:val="00BD084C"/>
    <w:rPr>
      <w:vertAlign w:val="superscript"/>
    </w:rPr>
  </w:style>
  <w:style w:type="paragraph" w:styleId="Revision">
    <w:name w:val="Revision"/>
    <w:hidden/>
    <w:uiPriority w:val="99"/>
    <w:semiHidden/>
    <w:rsid w:val="00BD084C"/>
    <w:pPr>
      <w:spacing w:after="0" w:line="240" w:lineRule="auto"/>
    </w:pPr>
    <w:rPr>
      <w:rFonts w:ascii="Calibri" w:eastAsia="Calibri" w:hAnsi="Calibri" w:cs="Times New Roman"/>
    </w:rPr>
  </w:style>
  <w:style w:type="paragraph" w:customStyle="1" w:styleId="title10">
    <w:name w:val="title1"/>
    <w:basedOn w:val="Normal"/>
    <w:rsid w:val="00BD084C"/>
    <w:pPr>
      <w:spacing w:after="0" w:line="240" w:lineRule="auto"/>
    </w:pPr>
    <w:rPr>
      <w:rFonts w:ascii="Times New Roman" w:eastAsia="Times New Roman" w:hAnsi="Times New Roman"/>
      <w:sz w:val="27"/>
      <w:szCs w:val="27"/>
      <w:lang w:eastAsia="en-GB"/>
    </w:rPr>
  </w:style>
  <w:style w:type="paragraph" w:customStyle="1" w:styleId="desc2">
    <w:name w:val="desc2"/>
    <w:basedOn w:val="Normal"/>
    <w:rsid w:val="00BD084C"/>
    <w:pPr>
      <w:spacing w:after="0" w:line="240" w:lineRule="auto"/>
    </w:pPr>
    <w:rPr>
      <w:rFonts w:ascii="Times New Roman" w:eastAsia="Times New Roman" w:hAnsi="Times New Roman"/>
      <w:sz w:val="26"/>
      <w:szCs w:val="26"/>
      <w:lang w:eastAsia="en-GB"/>
    </w:rPr>
  </w:style>
  <w:style w:type="paragraph" w:customStyle="1" w:styleId="details1">
    <w:name w:val="details1"/>
    <w:basedOn w:val="Normal"/>
    <w:rsid w:val="00BD084C"/>
    <w:pPr>
      <w:spacing w:after="0" w:line="240" w:lineRule="auto"/>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creamer@nhs.net" TargetMode="External"/><Relationship Id="rId13" Type="http://schemas.openxmlformats.org/officeDocument/2006/relationships/hyperlink" Target="http://www.nice.org.uk/accreditation" TargetMode="External"/><Relationship Id="rId18" Type="http://schemas.openxmlformats.org/officeDocument/2006/relationships/hyperlink" Target="http://www.mhra.gov.uk"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ice.org.uk/accreditation" TargetMode="External"/><Relationship Id="rId17" Type="http://schemas.openxmlformats.org/officeDocument/2006/relationships/hyperlink" Target="http://www.who.int/cancer/palliative/painladder/en/" TargetMode="External"/><Relationship Id="rId2" Type="http://schemas.openxmlformats.org/officeDocument/2006/relationships/styles" Target="styles.xml"/><Relationship Id="rId16" Type="http://schemas.openxmlformats.org/officeDocument/2006/relationships/hyperlink" Target="http://www.drugrash.co.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agreetrust.org" TargetMode="External"/><Relationship Id="rId10" Type="http://schemas.openxmlformats.org/officeDocument/2006/relationships/hyperlink" Target="http://www.drugrash.co.uk" TargetMode="External"/><Relationship Id="rId19" Type="http://schemas.openxmlformats.org/officeDocument/2006/relationships/hyperlink" Target="http://www.yellowcard.gov.uk" TargetMode="External"/><Relationship Id="rId4" Type="http://schemas.openxmlformats.org/officeDocument/2006/relationships/settings" Target="settings.xml"/><Relationship Id="rId9" Type="http://schemas.openxmlformats.org/officeDocument/2006/relationships/hyperlink" Target="mailto:guidelines@bad.org.uk" TargetMode="External"/><Relationship Id="rId14" Type="http://schemas.openxmlformats.org/officeDocument/2006/relationships/hyperlink" Target="http://www.bad.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22023</Words>
  <Characters>125534</Characters>
  <Application>Microsoft Office Word</Application>
  <DocSecurity>4</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Kings College Hospital</Company>
  <LinksUpToDate>false</LinksUpToDate>
  <CharactersWithSpaces>147263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Firouz Mohd Mustapa</dc:creator>
  <cp:lastModifiedBy>Whalley T.</cp:lastModifiedBy>
  <cp:revision>2</cp:revision>
  <dcterms:created xsi:type="dcterms:W3CDTF">2016-06-30T10:01:00Z</dcterms:created>
  <dcterms:modified xsi:type="dcterms:W3CDTF">2016-06-30T10:01:00Z</dcterms:modified>
</cp:coreProperties>
</file>