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3D53" w14:textId="3763B1C7" w:rsidR="007B0865" w:rsidRDefault="007B0865" w:rsidP="007B0865">
      <w:pPr>
        <w:pStyle w:val="Heading1"/>
      </w:pPr>
      <w:bookmarkStart w:id="0" w:name="_GoBack"/>
      <w:bookmarkEnd w:id="0"/>
      <w:r>
        <w:t>DO EXPOSURE LIMITS FOR HAND-TRANSMITTED VIBRATION PREVENT CARPAL TUNNEL SYNDROME?</w:t>
      </w:r>
    </w:p>
    <w:p w14:paraId="6DA53C97" w14:textId="77777777" w:rsidR="007B0865" w:rsidRDefault="007B0865" w:rsidP="007B0865">
      <w:pPr>
        <w:pStyle w:val="Heading1"/>
      </w:pPr>
    </w:p>
    <w:p w14:paraId="771269D5" w14:textId="77777777" w:rsidR="007B0865" w:rsidRPr="006E4247" w:rsidRDefault="007B0865" w:rsidP="006E4247">
      <w:pPr>
        <w:spacing w:line="360" w:lineRule="auto"/>
        <w:jc w:val="center"/>
        <w:rPr>
          <w:b/>
          <w:vertAlign w:val="superscript"/>
        </w:rPr>
      </w:pPr>
      <w:r w:rsidRPr="006E4247">
        <w:rPr>
          <w:b/>
        </w:rPr>
        <w:t xml:space="preserve">Susanna </w:t>
      </w:r>
      <w:proofErr w:type="spellStart"/>
      <w:r w:rsidRPr="006E4247">
        <w:rPr>
          <w:b/>
        </w:rPr>
        <w:t>Gillibrand</w:t>
      </w:r>
      <w:r w:rsidRPr="006E4247">
        <w:rPr>
          <w:b/>
          <w:vertAlign w:val="superscript"/>
        </w:rPr>
        <w:t>a</w:t>
      </w:r>
      <w:proofErr w:type="spellEnd"/>
    </w:p>
    <w:p w14:paraId="18730FAF" w14:textId="77777777" w:rsidR="006E4247" w:rsidRPr="006E4247" w:rsidRDefault="007B0865" w:rsidP="006E4247">
      <w:pPr>
        <w:spacing w:line="360" w:lineRule="auto"/>
        <w:jc w:val="center"/>
        <w:rPr>
          <w:b/>
        </w:rPr>
      </w:pPr>
      <w:r w:rsidRPr="006E4247">
        <w:rPr>
          <w:b/>
        </w:rPr>
        <w:t xml:space="preserve">Georgia </w:t>
      </w:r>
      <w:proofErr w:type="spellStart"/>
      <w:r w:rsidRPr="006E4247">
        <w:rPr>
          <w:b/>
        </w:rPr>
        <w:t>Ntani</w:t>
      </w:r>
      <w:r w:rsidRPr="006E4247">
        <w:rPr>
          <w:b/>
          <w:vertAlign w:val="superscript"/>
        </w:rPr>
        <w:t>b</w:t>
      </w:r>
      <w:proofErr w:type="gramStart"/>
      <w:r w:rsidR="006E4247">
        <w:rPr>
          <w:b/>
          <w:vertAlign w:val="superscript"/>
        </w:rPr>
        <w:t>,c</w:t>
      </w:r>
      <w:proofErr w:type="spellEnd"/>
      <w:proofErr w:type="gramEnd"/>
    </w:p>
    <w:p w14:paraId="112D776E" w14:textId="77777777" w:rsidR="006E4247" w:rsidRDefault="006E4247" w:rsidP="006E4247">
      <w:pPr>
        <w:spacing w:line="360" w:lineRule="auto"/>
        <w:jc w:val="center"/>
        <w:rPr>
          <w:b/>
          <w:vertAlign w:val="superscript"/>
        </w:rPr>
      </w:pPr>
      <w:r w:rsidRPr="006E4247">
        <w:rPr>
          <w:b/>
        </w:rPr>
        <w:t xml:space="preserve">David </w:t>
      </w:r>
      <w:proofErr w:type="spellStart"/>
      <w:r w:rsidRPr="006E4247">
        <w:rPr>
          <w:b/>
        </w:rPr>
        <w:t>Coggon</w:t>
      </w:r>
      <w:r w:rsidRPr="006E4247">
        <w:rPr>
          <w:b/>
          <w:vertAlign w:val="superscript"/>
        </w:rPr>
        <w:t>b</w:t>
      </w:r>
      <w:proofErr w:type="gramStart"/>
      <w:r>
        <w:rPr>
          <w:b/>
          <w:vertAlign w:val="superscript"/>
        </w:rPr>
        <w:t>,c</w:t>
      </w:r>
      <w:proofErr w:type="spellEnd"/>
      <w:proofErr w:type="gramEnd"/>
    </w:p>
    <w:p w14:paraId="184B7C0C" w14:textId="77777777" w:rsidR="006E4247" w:rsidRDefault="006E4247" w:rsidP="006E4247">
      <w:pPr>
        <w:spacing w:line="360" w:lineRule="auto"/>
        <w:jc w:val="center"/>
        <w:rPr>
          <w:b/>
          <w:vertAlign w:val="superscript"/>
        </w:rPr>
      </w:pPr>
    </w:p>
    <w:p w14:paraId="22E29DF8" w14:textId="77777777" w:rsidR="006E4247" w:rsidRDefault="006E4247" w:rsidP="006E4247">
      <w:pPr>
        <w:spacing w:line="360" w:lineRule="auto"/>
        <w:jc w:val="center"/>
        <w:rPr>
          <w:b/>
          <w:vertAlign w:val="superscript"/>
        </w:rPr>
      </w:pPr>
    </w:p>
    <w:p w14:paraId="6AD3031D" w14:textId="77777777" w:rsidR="00A607E7" w:rsidRDefault="00A607E7" w:rsidP="006E4247">
      <w:pPr>
        <w:spacing w:line="360" w:lineRule="auto"/>
        <w:jc w:val="center"/>
        <w:rPr>
          <w:b/>
          <w:vertAlign w:val="superscript"/>
        </w:rPr>
      </w:pPr>
    </w:p>
    <w:p w14:paraId="3C2B6F70" w14:textId="77777777" w:rsidR="006E4247" w:rsidRDefault="006E4247" w:rsidP="006E4247">
      <w:pPr>
        <w:spacing w:line="360" w:lineRule="auto"/>
      </w:pPr>
      <w:proofErr w:type="spellStart"/>
      <w:proofErr w:type="gramStart"/>
      <w:r w:rsidRPr="006E4247">
        <w:rPr>
          <w:vertAlign w:val="superscript"/>
        </w:rPr>
        <w:t>a</w:t>
      </w:r>
      <w:r w:rsidR="00A607E7">
        <w:t>Independent</w:t>
      </w:r>
      <w:proofErr w:type="spellEnd"/>
      <w:proofErr w:type="gramEnd"/>
      <w:r w:rsidR="00A607E7">
        <w:t xml:space="preserve"> occupational physician, Southampton, UK</w:t>
      </w:r>
    </w:p>
    <w:p w14:paraId="695EF7EC" w14:textId="77777777" w:rsidR="006E4247" w:rsidRDefault="006E4247" w:rsidP="006E4247">
      <w:pPr>
        <w:spacing w:line="360" w:lineRule="auto"/>
      </w:pPr>
      <w:proofErr w:type="spellStart"/>
      <w:r>
        <w:rPr>
          <w:vertAlign w:val="superscript"/>
        </w:rPr>
        <w:t>b</w:t>
      </w:r>
      <w:r>
        <w:t>Arthritis</w:t>
      </w:r>
      <w:proofErr w:type="spellEnd"/>
      <w:r>
        <w:t xml:space="preserve"> Research-UK/MRC Centre for Musculoskeletal Health and Work, University of Southampton, Southampton, UK</w:t>
      </w:r>
    </w:p>
    <w:p w14:paraId="7B5A0993" w14:textId="77777777" w:rsidR="006E4247" w:rsidRDefault="006E4247" w:rsidP="006E4247">
      <w:pPr>
        <w:spacing w:line="360" w:lineRule="auto"/>
      </w:pPr>
      <w:proofErr w:type="spellStart"/>
      <w:proofErr w:type="gramStart"/>
      <w:r>
        <w:rPr>
          <w:vertAlign w:val="superscript"/>
        </w:rPr>
        <w:t>c</w:t>
      </w:r>
      <w:r>
        <w:t>MRC</w:t>
      </w:r>
      <w:proofErr w:type="spellEnd"/>
      <w:proofErr w:type="gramEnd"/>
      <w:r>
        <w:t xml:space="preserve"> Lifecourse Epidemiology Unit, University of Southampton, Southampton, UK</w:t>
      </w:r>
    </w:p>
    <w:p w14:paraId="482E3B5F" w14:textId="77777777" w:rsidR="006E4247" w:rsidRDefault="006E4247" w:rsidP="006E4247">
      <w:pPr>
        <w:spacing w:line="360" w:lineRule="auto"/>
      </w:pPr>
    </w:p>
    <w:p w14:paraId="30A885CD" w14:textId="77777777" w:rsidR="006E4247" w:rsidRDefault="006E4247" w:rsidP="006E4247">
      <w:pPr>
        <w:spacing w:line="360" w:lineRule="auto"/>
      </w:pPr>
    </w:p>
    <w:p w14:paraId="4C21DE97" w14:textId="77777777" w:rsidR="00A607E7" w:rsidRDefault="00A607E7" w:rsidP="006E4247">
      <w:pPr>
        <w:spacing w:line="360" w:lineRule="auto"/>
      </w:pPr>
    </w:p>
    <w:p w14:paraId="4A652DE2" w14:textId="77777777" w:rsidR="006E4247" w:rsidRDefault="006E4247" w:rsidP="006E4247">
      <w:pPr>
        <w:spacing w:line="360" w:lineRule="auto"/>
      </w:pPr>
    </w:p>
    <w:p w14:paraId="269E0794" w14:textId="77777777" w:rsidR="006E4247" w:rsidRDefault="006E4247" w:rsidP="006E4247">
      <w:pPr>
        <w:spacing w:line="360" w:lineRule="auto"/>
      </w:pPr>
    </w:p>
    <w:p w14:paraId="17956F64" w14:textId="77777777" w:rsidR="006E4247" w:rsidRPr="006E4247" w:rsidRDefault="006E4247" w:rsidP="006E4247">
      <w:pPr>
        <w:spacing w:line="360" w:lineRule="auto"/>
        <w:rPr>
          <w:b/>
        </w:rPr>
      </w:pPr>
      <w:r w:rsidRPr="006E4247">
        <w:rPr>
          <w:b/>
        </w:rPr>
        <w:t>Correspondence to:</w:t>
      </w:r>
    </w:p>
    <w:p w14:paraId="5ADF12C3" w14:textId="77777777" w:rsidR="00A607E7" w:rsidRDefault="00A607E7" w:rsidP="00A607E7">
      <w:r>
        <w:t>Professor David Coggon</w:t>
      </w:r>
    </w:p>
    <w:p w14:paraId="3ADFAEF6" w14:textId="77777777" w:rsidR="00A607E7" w:rsidRDefault="00A607E7" w:rsidP="00A607E7">
      <w:r>
        <w:t>MRC Lifecourse Epidemiology Unit</w:t>
      </w:r>
    </w:p>
    <w:p w14:paraId="3247F154" w14:textId="77777777" w:rsidR="00A607E7" w:rsidRDefault="00A607E7" w:rsidP="00A607E7">
      <w:r>
        <w:t>Southampton General Hospital</w:t>
      </w:r>
    </w:p>
    <w:p w14:paraId="0D01F4D1" w14:textId="77777777" w:rsidR="00A607E7" w:rsidRDefault="00A607E7" w:rsidP="00A607E7">
      <w:r>
        <w:t xml:space="preserve">Southampton </w:t>
      </w:r>
    </w:p>
    <w:p w14:paraId="1F19AC7A" w14:textId="77777777" w:rsidR="00A607E7" w:rsidRDefault="00A607E7" w:rsidP="00A607E7">
      <w:r>
        <w:t>SO16 6YD</w:t>
      </w:r>
    </w:p>
    <w:p w14:paraId="36FA80CA" w14:textId="6F9FF307" w:rsidR="00C51DA5" w:rsidRDefault="00A607E7" w:rsidP="00A607E7">
      <w:r>
        <w:t>UK</w:t>
      </w:r>
    </w:p>
    <w:p w14:paraId="432B8F43" w14:textId="77777777" w:rsidR="00C51DA5" w:rsidRDefault="00C51DA5" w:rsidP="00A607E7"/>
    <w:p w14:paraId="7923DAEC" w14:textId="77777777" w:rsidR="006E4247" w:rsidRPr="00B52D9C" w:rsidRDefault="007B0865" w:rsidP="00B52D9C">
      <w:pPr>
        <w:spacing w:line="480" w:lineRule="auto"/>
      </w:pPr>
      <w:r w:rsidRPr="006E4247">
        <w:br w:type="page"/>
      </w:r>
      <w:r w:rsidR="006E4247" w:rsidRPr="00B52D9C">
        <w:rPr>
          <w:b/>
        </w:rPr>
        <w:lastRenderedPageBreak/>
        <w:t>Abstract</w:t>
      </w:r>
    </w:p>
    <w:p w14:paraId="6F928AEA" w14:textId="77777777" w:rsidR="006E4247" w:rsidRDefault="006E4247" w:rsidP="00B52D9C">
      <w:pPr>
        <w:spacing w:line="480" w:lineRule="auto"/>
      </w:pPr>
    </w:p>
    <w:p w14:paraId="63E82486" w14:textId="663B49C7" w:rsidR="006E4247" w:rsidRDefault="006E4247" w:rsidP="00B52D9C">
      <w:pPr>
        <w:spacing w:line="480" w:lineRule="auto"/>
        <w:jc w:val="both"/>
      </w:pPr>
      <w:r w:rsidRPr="00B52D9C">
        <w:rPr>
          <w:b/>
          <w:i/>
        </w:rPr>
        <w:t>Background</w:t>
      </w:r>
      <w:r w:rsidR="00C51DA5">
        <w:rPr>
          <w:b/>
          <w:i/>
        </w:rPr>
        <w:t xml:space="preserve">;  </w:t>
      </w:r>
      <w:r>
        <w:t>A</w:t>
      </w:r>
      <w:r w:rsidR="00922CC1">
        <w:t>n apparently</w:t>
      </w:r>
      <w:r>
        <w:t xml:space="preserve"> high frequency of carpal tunnel syndrome (CTS) among </w:t>
      </w:r>
      <w:r w:rsidR="00155C3C">
        <w:t xml:space="preserve">shipyard </w:t>
      </w:r>
      <w:r>
        <w:t>workers undergoing health surveillance because of exposure to hand-transmitted vibration (HTV)</w:t>
      </w:r>
      <w:r w:rsidR="00922CC1">
        <w:t xml:space="preserve"> prompted concerns that current regulatory limits on exposure might not protect adequately against the disorder.</w:t>
      </w:r>
    </w:p>
    <w:p w14:paraId="5BCE09B6" w14:textId="77777777" w:rsidR="008613AD" w:rsidRDefault="008613AD" w:rsidP="00B52D9C">
      <w:pPr>
        <w:spacing w:line="480" w:lineRule="auto"/>
        <w:jc w:val="both"/>
      </w:pPr>
    </w:p>
    <w:p w14:paraId="0A576D94" w14:textId="0B8A496A" w:rsidR="008613AD" w:rsidRPr="00B74E4A" w:rsidRDefault="008613AD" w:rsidP="00B52D9C">
      <w:pPr>
        <w:spacing w:line="480" w:lineRule="auto"/>
        <w:jc w:val="both"/>
      </w:pPr>
      <w:r w:rsidRPr="00B52D9C">
        <w:rPr>
          <w:b/>
          <w:i/>
        </w:rPr>
        <w:t>Aims</w:t>
      </w:r>
      <w:r w:rsidR="00C51DA5" w:rsidRPr="00C51DA5">
        <w:rPr>
          <w:b/>
          <w:i/>
        </w:rPr>
        <w:t>:</w:t>
      </w:r>
      <w:r w:rsidR="00C51DA5">
        <w:rPr>
          <w:i/>
        </w:rPr>
        <w:t xml:space="preserve">  </w:t>
      </w:r>
      <w:r>
        <w:t>To explore whether within regulatory limits, higher exposures to HTV predispose to CTS.</w:t>
      </w:r>
    </w:p>
    <w:p w14:paraId="57136DCD" w14:textId="77777777" w:rsidR="008613AD" w:rsidRDefault="008613AD" w:rsidP="00B52D9C">
      <w:pPr>
        <w:spacing w:line="480" w:lineRule="auto"/>
        <w:jc w:val="both"/>
        <w:rPr>
          <w:i/>
        </w:rPr>
      </w:pPr>
    </w:p>
    <w:p w14:paraId="46AD0D27" w14:textId="792AA6C2" w:rsidR="006E4247" w:rsidRPr="006E4247" w:rsidRDefault="006E4247" w:rsidP="00B52D9C">
      <w:pPr>
        <w:spacing w:line="480" w:lineRule="auto"/>
        <w:jc w:val="both"/>
      </w:pPr>
      <w:r w:rsidRPr="00B52D9C">
        <w:rPr>
          <w:b/>
          <w:i/>
        </w:rPr>
        <w:t>Methods</w:t>
      </w:r>
      <w:r w:rsidR="00C51DA5" w:rsidRPr="00C51DA5">
        <w:rPr>
          <w:b/>
          <w:i/>
        </w:rPr>
        <w:t>:</w:t>
      </w:r>
      <w:r w:rsidR="00C51DA5">
        <w:rPr>
          <w:b/>
          <w:i/>
        </w:rPr>
        <w:t xml:space="preserve">  </w:t>
      </w:r>
      <w:r w:rsidR="00922CC1">
        <w:t xml:space="preserve">As part of a retrospective audit, we compared duration and current intensity of exposure to HTV in </w:t>
      </w:r>
      <w:r w:rsidR="000F6342">
        <w:t>cases</w:t>
      </w:r>
      <w:r w:rsidR="00922CC1">
        <w:t xml:space="preserve"> with new onset CTS and controls matched for age.  Conditional logistic regression was used to </w:t>
      </w:r>
      <w:r w:rsidR="00155C3C">
        <w:t>quantify</w:t>
      </w:r>
      <w:r w:rsidR="00922CC1">
        <w:t xml:space="preserve"> associations, which were summarised by odds ratios (ORs) and 95% confidence intervals (CIs). </w:t>
      </w:r>
    </w:p>
    <w:p w14:paraId="77DE6635" w14:textId="77777777" w:rsidR="006E4247" w:rsidRDefault="006E4247" w:rsidP="00B52D9C">
      <w:pPr>
        <w:spacing w:line="480" w:lineRule="auto"/>
        <w:jc w:val="both"/>
        <w:rPr>
          <w:i/>
        </w:rPr>
      </w:pPr>
    </w:p>
    <w:p w14:paraId="2A0405AD" w14:textId="744C4E05" w:rsidR="006E4247" w:rsidRDefault="006E4247" w:rsidP="00B52D9C">
      <w:pPr>
        <w:spacing w:line="480" w:lineRule="auto"/>
        <w:jc w:val="both"/>
      </w:pPr>
      <w:r w:rsidRPr="00B52D9C">
        <w:rPr>
          <w:b/>
          <w:i/>
        </w:rPr>
        <w:t>Results</w:t>
      </w:r>
      <w:r w:rsidR="00C51DA5">
        <w:rPr>
          <w:b/>
          <w:i/>
        </w:rPr>
        <w:t xml:space="preserve">:  </w:t>
      </w:r>
      <w:r w:rsidR="000F6342" w:rsidRPr="005836D2">
        <w:t xml:space="preserve">There were 23 cases and 55 controls. </w:t>
      </w:r>
      <w:r>
        <w:t>After adjustment for body mass index and previous diagnosis of diabetes, no clear associations were observed either with duration of exposure to HTV or with current intensity of exposure</w:t>
      </w:r>
      <w:r w:rsidR="00922CC1">
        <w:t xml:space="preserve">. </w:t>
      </w:r>
      <w:r>
        <w:t xml:space="preserve"> Risk was non-significantly elevated in men with ≥30 years</w:t>
      </w:r>
      <w:r w:rsidR="00155C3C">
        <w:t>’</w:t>
      </w:r>
      <w:r>
        <w:t xml:space="preserve"> exposure to HTV (OR 1.6), but in the highest category of current exposure (</w:t>
      </w:r>
      <w:r w:rsidR="00C1747F">
        <w:t>8-hour energy-equivalent frequency-weighted acceleration (</w:t>
      </w:r>
      <w:r>
        <w:t>A8</w:t>
      </w:r>
      <w:r w:rsidR="00C1747F">
        <w:t>)</w:t>
      </w:r>
      <w:r>
        <w:t xml:space="preserve"> ≥ 4.0</w:t>
      </w:r>
      <w:r w:rsidRPr="00CA2A92">
        <w:rPr>
          <w:bCs/>
        </w:rPr>
        <w:t xml:space="preserve"> </w:t>
      </w:r>
      <w:r w:rsidRPr="00CA2A92">
        <w:t>m/s</w:t>
      </w:r>
      <w:r w:rsidRPr="00CA2A92">
        <w:rPr>
          <w:vertAlign w:val="superscript"/>
        </w:rPr>
        <w:t>2</w:t>
      </w:r>
      <w:r>
        <w:t>) risk was lower than in the reference category (A8 &lt; 2.5</w:t>
      </w:r>
      <w:r w:rsidRPr="00CA2A92">
        <w:rPr>
          <w:bCs/>
        </w:rPr>
        <w:t xml:space="preserve"> </w:t>
      </w:r>
      <w:r w:rsidRPr="00CA2A92">
        <w:t>m/s</w:t>
      </w:r>
      <w:r w:rsidRPr="00CA2A92">
        <w:rPr>
          <w:vertAlign w:val="superscript"/>
        </w:rPr>
        <w:t>2</w:t>
      </w:r>
      <w:r>
        <w:t xml:space="preserve">).  </w:t>
      </w:r>
      <w:r w:rsidR="00C1747F">
        <w:t>Moreover, t</w:t>
      </w:r>
      <w:r>
        <w:t>here was a significantly reduced risk of CTS in men with a previous diagnosis of HAVS (OR 0.2, 95%CI 0.1-0.9).</w:t>
      </w:r>
    </w:p>
    <w:p w14:paraId="775A9297" w14:textId="77777777" w:rsidR="006E4247" w:rsidRDefault="006E4247" w:rsidP="00B52D9C">
      <w:pPr>
        <w:spacing w:line="480" w:lineRule="auto"/>
        <w:jc w:val="both"/>
        <w:rPr>
          <w:i/>
        </w:rPr>
      </w:pPr>
    </w:p>
    <w:p w14:paraId="68B69567" w14:textId="2E5A053C" w:rsidR="006E4247" w:rsidRDefault="006E4247" w:rsidP="00B52D9C">
      <w:pPr>
        <w:spacing w:line="480" w:lineRule="auto"/>
        <w:jc w:val="both"/>
      </w:pPr>
      <w:r w:rsidRPr="00B52D9C">
        <w:rPr>
          <w:b/>
          <w:i/>
        </w:rPr>
        <w:t>Conclusions</w:t>
      </w:r>
      <w:proofErr w:type="gramStart"/>
      <w:r w:rsidR="00C51DA5">
        <w:rPr>
          <w:b/>
          <w:i/>
        </w:rPr>
        <w:t xml:space="preserve">;  </w:t>
      </w:r>
      <w:r w:rsidR="00922CC1">
        <w:t>W</w:t>
      </w:r>
      <w:r>
        <w:t>e</w:t>
      </w:r>
      <w:proofErr w:type="gramEnd"/>
      <w:r>
        <w:t xml:space="preserve"> found no evidence that below the current limit for A(8) of 5</w:t>
      </w:r>
      <w:r w:rsidRPr="00CA2A92">
        <w:rPr>
          <w:bCs/>
        </w:rPr>
        <w:t xml:space="preserve"> </w:t>
      </w:r>
      <w:r w:rsidRPr="00CA2A92">
        <w:t>m/s</w:t>
      </w:r>
      <w:r w:rsidRPr="00CA2A92">
        <w:rPr>
          <w:vertAlign w:val="superscript"/>
        </w:rPr>
        <w:t>2</w:t>
      </w:r>
      <w:r>
        <w:t>, higher exposures to HTV predispose to CTS</w:t>
      </w:r>
      <w:r w:rsidR="00155C3C">
        <w:t xml:space="preserve">.  </w:t>
      </w:r>
      <w:r w:rsidR="002B1BCB">
        <w:t>However, care should be taken</w:t>
      </w:r>
      <w:r>
        <w:t xml:space="preserve"> not to overlook the possibility of treatable CTS when workers with diagnosed HAVS present with new or worsening sensory symptoms in the hand.</w:t>
      </w:r>
    </w:p>
    <w:p w14:paraId="3F8E75A5" w14:textId="77777777" w:rsidR="003613CE" w:rsidRDefault="003613CE" w:rsidP="00B52D9C">
      <w:pPr>
        <w:spacing w:line="480" w:lineRule="auto"/>
        <w:jc w:val="both"/>
      </w:pPr>
    </w:p>
    <w:p w14:paraId="574423FD" w14:textId="4E87AC88" w:rsidR="003613CE" w:rsidRDefault="00C51DA5" w:rsidP="00B52D9C">
      <w:pPr>
        <w:spacing w:line="480" w:lineRule="auto"/>
        <w:jc w:val="both"/>
      </w:pPr>
      <w:r w:rsidRPr="005836D2">
        <w:t>Key words</w:t>
      </w:r>
      <w:r w:rsidRPr="00C51DA5">
        <w:rPr>
          <w:b/>
        </w:rPr>
        <w:t>:</w:t>
      </w:r>
      <w:r>
        <w:t xml:space="preserve">  </w:t>
      </w:r>
      <w:r w:rsidR="003613CE">
        <w:t>Carpal tunnel syndrome, hand-arm vibration syndrome, occupation, hand-transmitted vibration, regulatory controls</w:t>
      </w:r>
    </w:p>
    <w:p w14:paraId="6C259413" w14:textId="77777777" w:rsidR="00C51DA5" w:rsidRPr="003613CE" w:rsidRDefault="00C51DA5" w:rsidP="00C51DA5">
      <w:pPr>
        <w:spacing w:line="480" w:lineRule="auto"/>
        <w:jc w:val="both"/>
      </w:pPr>
    </w:p>
    <w:p w14:paraId="78AE7DB5" w14:textId="77777777" w:rsidR="006E4247" w:rsidRPr="00C51DA5" w:rsidRDefault="006E4247" w:rsidP="00C51DA5">
      <w:pPr>
        <w:spacing w:line="480" w:lineRule="auto"/>
        <w:rPr>
          <w:b/>
        </w:rPr>
      </w:pPr>
      <w:r>
        <w:br w:type="page"/>
      </w:r>
      <w:r w:rsidR="00C51DA5" w:rsidRPr="00C51DA5">
        <w:rPr>
          <w:b/>
        </w:rPr>
        <w:lastRenderedPageBreak/>
        <w:t>Introduction</w:t>
      </w:r>
    </w:p>
    <w:p w14:paraId="59197CAB" w14:textId="77777777" w:rsidR="005269BB" w:rsidRDefault="00CA2A92" w:rsidP="00B52D9C">
      <w:pPr>
        <w:spacing w:line="480" w:lineRule="auto"/>
        <w:jc w:val="both"/>
      </w:pPr>
      <w:r>
        <w:t>To reduce the risk</w:t>
      </w:r>
      <w:r w:rsidR="00B71AC3">
        <w:t xml:space="preserve"> of</w:t>
      </w:r>
      <w:r>
        <w:t xml:space="preserve"> hand-arm vibration syndrome (HAVS), occupational exposures to hand-transmitted vibration (HTV) in the UK are limited by regulation to a maximum </w:t>
      </w:r>
      <w:r w:rsidR="00005CE5">
        <w:t>8-hour energy-equivalent frequency-weighted acceleration (</w:t>
      </w:r>
      <w:proofErr w:type="gramStart"/>
      <w:r w:rsidR="00005CE5">
        <w:t>A(</w:t>
      </w:r>
      <w:proofErr w:type="gramEnd"/>
      <w:r w:rsidR="00005CE5">
        <w:t xml:space="preserve">8)) of </w:t>
      </w:r>
      <w:r w:rsidR="00005CE5" w:rsidRPr="00CA2A92">
        <w:rPr>
          <w:bCs/>
        </w:rPr>
        <w:t xml:space="preserve">5 </w:t>
      </w:r>
      <w:r w:rsidR="00005CE5" w:rsidRPr="00CA2A92">
        <w:t>m/s</w:t>
      </w:r>
      <w:r w:rsidR="00005CE5" w:rsidRPr="00CA2A92">
        <w:rPr>
          <w:vertAlign w:val="superscript"/>
        </w:rPr>
        <w:t>2</w:t>
      </w:r>
      <w:r w:rsidR="00005CE5">
        <w:t xml:space="preserve"> [</w:t>
      </w:r>
      <w:r w:rsidR="00AF09E9">
        <w:t>1</w:t>
      </w:r>
      <w:r w:rsidR="00005CE5">
        <w:t>]</w:t>
      </w:r>
      <w:r>
        <w:t xml:space="preserve">.  </w:t>
      </w:r>
      <w:r w:rsidR="00B71AC3">
        <w:t>Furthermore</w:t>
      </w:r>
      <w:r>
        <w:t xml:space="preserve">, where exposures exceed an action level of </w:t>
      </w:r>
      <w:r w:rsidR="00005CE5">
        <w:t>2.</w:t>
      </w:r>
      <w:r w:rsidR="00005CE5" w:rsidRPr="00CA2A92">
        <w:rPr>
          <w:bCs/>
        </w:rPr>
        <w:t xml:space="preserve">5 </w:t>
      </w:r>
      <w:r w:rsidR="00005CE5" w:rsidRPr="00CA2A92">
        <w:t>m/s</w:t>
      </w:r>
      <w:r w:rsidR="00005CE5" w:rsidRPr="00CA2A92">
        <w:rPr>
          <w:vertAlign w:val="superscript"/>
        </w:rPr>
        <w:t>2</w:t>
      </w:r>
      <w:r w:rsidR="00005CE5">
        <w:t xml:space="preserve">, employers are required to reduce </w:t>
      </w:r>
      <w:r w:rsidR="00B71AC3">
        <w:t>them</w:t>
      </w:r>
      <w:r w:rsidR="00005CE5">
        <w:t xml:space="preserve"> as far as is reasonably practica</w:t>
      </w:r>
      <w:r w:rsidR="00AF09E9">
        <w:t>b</w:t>
      </w:r>
      <w:r w:rsidR="00005CE5">
        <w:t>l</w:t>
      </w:r>
      <w:r w:rsidR="00AF09E9">
        <w:t>e</w:t>
      </w:r>
      <w:r w:rsidR="00005CE5">
        <w:t xml:space="preserve">, and to provide regular health surveillance </w:t>
      </w:r>
      <w:r w:rsidR="00B71AC3">
        <w:t>of</w:t>
      </w:r>
      <w:r w:rsidR="00005CE5">
        <w:t xml:space="preserve"> exposed workers so that any cases of HAVS can be detected at an early stage and managed appropriately.</w:t>
      </w:r>
    </w:p>
    <w:p w14:paraId="41D085F6" w14:textId="77777777" w:rsidR="005269BB" w:rsidRDefault="005269BB" w:rsidP="00B52D9C">
      <w:pPr>
        <w:spacing w:line="480" w:lineRule="auto"/>
        <w:jc w:val="both"/>
      </w:pPr>
    </w:p>
    <w:p w14:paraId="77B00009" w14:textId="77777777" w:rsidR="006246EE" w:rsidRDefault="00005CE5" w:rsidP="00B52D9C">
      <w:pPr>
        <w:spacing w:line="480" w:lineRule="auto"/>
        <w:jc w:val="both"/>
      </w:pPr>
      <w:r>
        <w:t>As well as the hazard of HAVS, HTV is a cause of carpal tunnel syndrome (CTS)</w:t>
      </w:r>
      <w:r w:rsidR="00AF09E9">
        <w:t xml:space="preserve"> [2</w:t>
      </w:r>
      <w:proofErr w:type="gramStart"/>
      <w:r w:rsidR="00A50E55">
        <w:t>,3</w:t>
      </w:r>
      <w:proofErr w:type="gramEnd"/>
      <w:r w:rsidR="00AF09E9">
        <w:t>]</w:t>
      </w:r>
      <w:r>
        <w:t xml:space="preserve">.  In the course of routine surveillance for HAVS at a shipyard, </w:t>
      </w:r>
      <w:r w:rsidR="00EB6CC1">
        <w:t>the</w:t>
      </w:r>
      <w:r>
        <w:t xml:space="preserve"> frequency of CTS </w:t>
      </w:r>
      <w:r w:rsidR="00EB6CC1">
        <w:t xml:space="preserve">appeared </w:t>
      </w:r>
      <w:r w:rsidR="00E73DBC">
        <w:t>unusually</w:t>
      </w:r>
      <w:r w:rsidR="00EB6CC1">
        <w:t xml:space="preserve"> high</w:t>
      </w:r>
      <w:r>
        <w:t xml:space="preserve">, raising the possibility that current exposure limits provide inadequate protection against CTS.  To </w:t>
      </w:r>
      <w:r w:rsidR="00E73DBC">
        <w:t xml:space="preserve">explore </w:t>
      </w:r>
      <w:r>
        <w:t>this question, we carried out a case-control analysis as part of an audit of control measures.</w:t>
      </w:r>
    </w:p>
    <w:p w14:paraId="35FE5906" w14:textId="77777777" w:rsidR="006246EE" w:rsidRDefault="006246EE" w:rsidP="00B52D9C">
      <w:pPr>
        <w:spacing w:line="480" w:lineRule="auto"/>
        <w:jc w:val="both"/>
      </w:pPr>
    </w:p>
    <w:p w14:paraId="79AA097A" w14:textId="77777777" w:rsidR="006246EE" w:rsidRPr="00B52D9C" w:rsidRDefault="006246EE" w:rsidP="00B52D9C">
      <w:pPr>
        <w:spacing w:line="480" w:lineRule="auto"/>
      </w:pPr>
      <w:r w:rsidRPr="00B52D9C">
        <w:rPr>
          <w:b/>
        </w:rPr>
        <w:t>Methods</w:t>
      </w:r>
    </w:p>
    <w:p w14:paraId="0B3A8668" w14:textId="0CC2CE2C" w:rsidR="00855C1B" w:rsidRDefault="00EB6CC1" w:rsidP="00B52D9C">
      <w:pPr>
        <w:spacing w:line="480" w:lineRule="auto"/>
        <w:jc w:val="both"/>
      </w:pPr>
      <w:r>
        <w:t xml:space="preserve">In accordance with regulatory requirements, all </w:t>
      </w:r>
      <w:r w:rsidR="008238CA">
        <w:t>worker</w:t>
      </w:r>
      <w:r>
        <w:t xml:space="preserve">s at the shipyard who </w:t>
      </w:r>
      <w:r w:rsidR="008238CA">
        <w:t xml:space="preserve">regularly used hand-held vibratory tools were required to undergo </w:t>
      </w:r>
      <w:r w:rsidR="00DB5A07">
        <w:t xml:space="preserve">mandatory </w:t>
      </w:r>
      <w:r w:rsidR="008238CA">
        <w:t>annual health surveillance for HAVS</w:t>
      </w:r>
      <w:r w:rsidR="00365ACD">
        <w:t>.</w:t>
      </w:r>
      <w:r w:rsidR="008238CA">
        <w:t xml:space="preserve"> </w:t>
      </w:r>
      <w:r w:rsidR="00365ACD">
        <w:t xml:space="preserve"> </w:t>
      </w:r>
      <w:r w:rsidR="006246EE">
        <w:t>During</w:t>
      </w:r>
      <w:r w:rsidR="00855C1B">
        <w:t xml:space="preserve"> </w:t>
      </w:r>
      <w:r w:rsidR="006246EE">
        <w:t xml:space="preserve">2005-13, 147 employees (all men) were screened at least once </w:t>
      </w:r>
      <w:r w:rsidR="006F1F95">
        <w:t>within</w:t>
      </w:r>
      <w:r w:rsidR="006246EE">
        <w:t xml:space="preserve"> the surveillance scheme.</w:t>
      </w:r>
      <w:r w:rsidR="00005CE5">
        <w:t xml:space="preserve"> </w:t>
      </w:r>
      <w:r w:rsidR="006246EE">
        <w:t xml:space="preserve"> </w:t>
      </w:r>
      <w:r w:rsidR="00855C1B" w:rsidRPr="00855C1B">
        <w:t xml:space="preserve">This sub-population of the total workforce </w:t>
      </w:r>
      <w:r w:rsidR="00855C1B">
        <w:t xml:space="preserve">(approximately 1100) </w:t>
      </w:r>
      <w:r w:rsidR="00855C1B" w:rsidRPr="00855C1B">
        <w:t xml:space="preserve">used a range of vibratory tools </w:t>
      </w:r>
      <w:r w:rsidR="002A5F23">
        <w:t>while</w:t>
      </w:r>
      <w:r w:rsidR="00855C1B" w:rsidRPr="00855C1B">
        <w:t xml:space="preserve"> work</w:t>
      </w:r>
      <w:r w:rsidR="002A5F23">
        <w:t>ing</w:t>
      </w:r>
      <w:r w:rsidR="00855C1B" w:rsidRPr="00855C1B">
        <w:t xml:space="preserve"> as welders, platers, painters, laminators, </w:t>
      </w:r>
      <w:proofErr w:type="spellStart"/>
      <w:r w:rsidR="00855C1B" w:rsidRPr="00855C1B">
        <w:t>pipeworkers</w:t>
      </w:r>
      <w:proofErr w:type="spellEnd"/>
      <w:r w:rsidR="00855C1B" w:rsidRPr="00855C1B">
        <w:t xml:space="preserve">, joiners, outfitters, </w:t>
      </w:r>
      <w:r w:rsidR="00282A07">
        <w:t>and</w:t>
      </w:r>
      <w:r w:rsidR="00855C1B" w:rsidRPr="00855C1B">
        <w:t xml:space="preserve"> in </w:t>
      </w:r>
      <w:r w:rsidR="00855C1B">
        <w:t>various</w:t>
      </w:r>
      <w:r w:rsidR="00855C1B" w:rsidRPr="00855C1B">
        <w:t xml:space="preserve"> other jobs. </w:t>
      </w:r>
      <w:r w:rsidR="006403BC">
        <w:t xml:space="preserve"> </w:t>
      </w:r>
      <w:r w:rsidR="00855C1B" w:rsidRPr="00855C1B">
        <w:t xml:space="preserve">The main tools </w:t>
      </w:r>
      <w:r w:rsidR="00E73DBC">
        <w:t xml:space="preserve">used </w:t>
      </w:r>
      <w:r w:rsidR="00855C1B" w:rsidRPr="00855C1B">
        <w:t xml:space="preserve">in recent years included angle grinders, barrel grinders, drills and sanders, but in the past </w:t>
      </w:r>
      <w:r w:rsidR="00282A07">
        <w:t xml:space="preserve">some </w:t>
      </w:r>
      <w:r w:rsidR="00E73DBC">
        <w:t xml:space="preserve">men had worked also with </w:t>
      </w:r>
      <w:proofErr w:type="spellStart"/>
      <w:r w:rsidR="00855C1B" w:rsidRPr="00855C1B">
        <w:t>needleguns</w:t>
      </w:r>
      <w:proofErr w:type="spellEnd"/>
      <w:r w:rsidR="00855C1B" w:rsidRPr="00855C1B">
        <w:t>, riveters, saws and caulking guns</w:t>
      </w:r>
      <w:r w:rsidR="00E73DBC">
        <w:t>, which produced higher levels of vibration</w:t>
      </w:r>
      <w:r w:rsidR="00855C1B" w:rsidRPr="00855C1B">
        <w:t xml:space="preserve">. </w:t>
      </w:r>
    </w:p>
    <w:p w14:paraId="5F430BA3" w14:textId="77777777" w:rsidR="00855C1B" w:rsidRDefault="00855C1B" w:rsidP="00B52D9C">
      <w:pPr>
        <w:spacing w:line="480" w:lineRule="auto"/>
        <w:jc w:val="both"/>
      </w:pPr>
    </w:p>
    <w:p w14:paraId="2A224D79" w14:textId="77777777" w:rsidR="00AD2900" w:rsidRDefault="00DB5A07" w:rsidP="00B52D9C">
      <w:pPr>
        <w:spacing w:line="480" w:lineRule="auto"/>
        <w:jc w:val="both"/>
      </w:pPr>
      <w:r>
        <w:t xml:space="preserve">At each </w:t>
      </w:r>
      <w:r w:rsidR="00AD2900">
        <w:t xml:space="preserve">attendance, </w:t>
      </w:r>
      <w:r w:rsidRPr="00DB5A07">
        <w:t xml:space="preserve">a screening questionnaire </w:t>
      </w:r>
      <w:r>
        <w:t xml:space="preserve">was </w:t>
      </w:r>
      <w:r w:rsidRPr="00DB5A07">
        <w:t>administered by a nurse</w:t>
      </w:r>
      <w:r>
        <w:t>,</w:t>
      </w:r>
      <w:r w:rsidRPr="00DB5A07">
        <w:t xml:space="preserve"> </w:t>
      </w:r>
      <w:r w:rsidR="008B09DA">
        <w:t>cover</w:t>
      </w:r>
      <w:r w:rsidR="00E05CD9">
        <w:t>ing</w:t>
      </w:r>
      <w:r w:rsidR="008B09DA">
        <w:t xml:space="preserve"> date of birth; lifetime occupational history (updated each </w:t>
      </w:r>
      <w:r w:rsidR="00E73DBC">
        <w:t>year</w:t>
      </w:r>
      <w:r w:rsidR="008B09DA">
        <w:t xml:space="preserve">); </w:t>
      </w:r>
      <w:r w:rsidR="008B09DA" w:rsidRPr="00DB5A07">
        <w:t xml:space="preserve">vascular, sensorineural </w:t>
      </w:r>
      <w:r w:rsidR="008B09DA">
        <w:t>and</w:t>
      </w:r>
      <w:r w:rsidR="008B09DA" w:rsidRPr="00DB5A07">
        <w:t xml:space="preserve"> m</w:t>
      </w:r>
      <w:r w:rsidR="006403BC">
        <w:t>oto</w:t>
      </w:r>
      <w:r w:rsidR="008B09DA" w:rsidRPr="00DB5A07">
        <w:t>r symptoms</w:t>
      </w:r>
      <w:r w:rsidR="008B09DA">
        <w:t xml:space="preserve"> in the hands; and any clinical investigation and treatment of CTS.  </w:t>
      </w:r>
      <w:r w:rsidR="00E05CD9">
        <w:t>Workers</w:t>
      </w:r>
      <w:r>
        <w:t xml:space="preserve"> </w:t>
      </w:r>
      <w:r w:rsidRPr="00DB5A07">
        <w:t xml:space="preserve">who </w:t>
      </w:r>
      <w:r w:rsidRPr="00DB5A07">
        <w:lastRenderedPageBreak/>
        <w:t>report</w:t>
      </w:r>
      <w:r>
        <w:t>ed</w:t>
      </w:r>
      <w:r w:rsidRPr="00DB5A07">
        <w:t xml:space="preserve"> </w:t>
      </w:r>
      <w:r>
        <w:t>possible</w:t>
      </w:r>
      <w:r w:rsidRPr="00DB5A07">
        <w:t xml:space="preserve"> </w:t>
      </w:r>
      <w:r w:rsidR="00E05CD9">
        <w:t xml:space="preserve">symptoms of HAVS or CTS </w:t>
      </w:r>
      <w:r>
        <w:t>we</w:t>
      </w:r>
      <w:r w:rsidRPr="00DB5A07">
        <w:t xml:space="preserve">re </w:t>
      </w:r>
      <w:r w:rsidR="008B09DA">
        <w:t xml:space="preserve">then </w:t>
      </w:r>
      <w:r w:rsidRPr="00DB5A07">
        <w:t xml:space="preserve">referred for </w:t>
      </w:r>
      <w:r w:rsidR="00E128DD">
        <w:t>more detailed</w:t>
      </w:r>
      <w:r w:rsidRPr="00DB5A07">
        <w:t xml:space="preserve"> assessment and formal diagnosis by a doctor</w:t>
      </w:r>
      <w:r w:rsidR="00E128DD">
        <w:t xml:space="preserve"> (SG)</w:t>
      </w:r>
      <w:r w:rsidRPr="00DB5A07">
        <w:t xml:space="preserve">. </w:t>
      </w:r>
      <w:r w:rsidR="00E128DD">
        <w:t xml:space="preserve"> </w:t>
      </w:r>
      <w:r w:rsidR="00E05CD9">
        <w:t>W</w:t>
      </w:r>
      <w:r w:rsidR="006246EE">
        <w:t xml:space="preserve">here </w:t>
      </w:r>
      <w:r w:rsidR="006F1F95">
        <w:t>CTS was suspected</w:t>
      </w:r>
      <w:r w:rsidR="00E05CD9">
        <w:t xml:space="preserve"> and had not previously been treated</w:t>
      </w:r>
      <w:r w:rsidR="006246EE">
        <w:t xml:space="preserve">, </w:t>
      </w:r>
      <w:proofErr w:type="spellStart"/>
      <w:r w:rsidR="006246EE">
        <w:t>Tin</w:t>
      </w:r>
      <w:r w:rsidR="00B71AC3">
        <w:t>el</w:t>
      </w:r>
      <w:r w:rsidR="006246EE">
        <w:t>’s</w:t>
      </w:r>
      <w:proofErr w:type="spellEnd"/>
      <w:r w:rsidR="006246EE">
        <w:t xml:space="preserve"> and </w:t>
      </w:r>
      <w:proofErr w:type="spellStart"/>
      <w:r w:rsidR="006246EE">
        <w:t>Phalen’s</w:t>
      </w:r>
      <w:proofErr w:type="spellEnd"/>
      <w:r w:rsidR="006246EE">
        <w:t xml:space="preserve"> tests </w:t>
      </w:r>
      <w:r w:rsidR="00E05CD9">
        <w:t xml:space="preserve">were performed </w:t>
      </w:r>
      <w:r w:rsidR="006246EE">
        <w:t>[</w:t>
      </w:r>
      <w:r w:rsidR="00A50E55">
        <w:t>4</w:t>
      </w:r>
      <w:r w:rsidR="006246EE">
        <w:t xml:space="preserve">].  </w:t>
      </w:r>
    </w:p>
    <w:p w14:paraId="0102EBF5" w14:textId="77777777" w:rsidR="00AD2900" w:rsidRDefault="00AD2900" w:rsidP="00B52D9C">
      <w:pPr>
        <w:spacing w:line="480" w:lineRule="auto"/>
        <w:jc w:val="both"/>
      </w:pPr>
    </w:p>
    <w:p w14:paraId="1BA08DF3" w14:textId="587A4FF5" w:rsidR="006E4ABB" w:rsidRDefault="00AD2900" w:rsidP="00B52D9C">
      <w:pPr>
        <w:spacing w:line="480" w:lineRule="auto"/>
        <w:jc w:val="both"/>
      </w:pPr>
      <w:r>
        <w:t xml:space="preserve">Information from the surveillance programme was recorded in a database.  </w:t>
      </w:r>
      <w:r w:rsidR="00F03064" w:rsidRPr="00E52025">
        <w:t>In addition, past history of diabetes and measurements of height and weight were available f</w:t>
      </w:r>
      <w:r w:rsidR="00E52025" w:rsidRPr="00E52025">
        <w:t>rom</w:t>
      </w:r>
      <w:r w:rsidR="00F03064" w:rsidRPr="00E52025">
        <w:t xml:space="preserve"> occupational health records.</w:t>
      </w:r>
      <w:r w:rsidR="00F03064">
        <w:t xml:space="preserve">  </w:t>
      </w:r>
      <w:r w:rsidR="006246EE">
        <w:t xml:space="preserve">From the </w:t>
      </w:r>
      <w:r>
        <w:t xml:space="preserve">data </w:t>
      </w:r>
      <w:r w:rsidR="006246EE">
        <w:t xml:space="preserve">collected, we identified workers with </w:t>
      </w:r>
      <w:r w:rsidR="006246EE" w:rsidRPr="00282A07">
        <w:t>new onset</w:t>
      </w:r>
      <w:r w:rsidR="006246EE">
        <w:t xml:space="preserve"> of confirmed or probable CTS after entry to the surveillance programme</w:t>
      </w:r>
      <w:r w:rsidR="00282A07">
        <w:t xml:space="preserve"> (i.e. their symptoms began after their first attendance for screening)</w:t>
      </w:r>
      <w:r w:rsidR="006246EE">
        <w:t xml:space="preserve">.  </w:t>
      </w:r>
    </w:p>
    <w:p w14:paraId="7972771E" w14:textId="77777777" w:rsidR="000F6342" w:rsidRDefault="000F6342" w:rsidP="00B52D9C">
      <w:pPr>
        <w:spacing w:line="480" w:lineRule="auto"/>
        <w:jc w:val="both"/>
      </w:pPr>
    </w:p>
    <w:p w14:paraId="3750C3EB" w14:textId="77777777" w:rsidR="00635E3E" w:rsidRDefault="006E4ABB" w:rsidP="00B52D9C">
      <w:pPr>
        <w:spacing w:line="480" w:lineRule="auto"/>
        <w:jc w:val="both"/>
      </w:pPr>
      <w:r>
        <w:t xml:space="preserve">In accordance with a prescribed algorithm, each case was individually matched with up to </w:t>
      </w:r>
      <w:r w:rsidR="006C738D">
        <w:t>three</w:t>
      </w:r>
      <w:r w:rsidR="001F3465">
        <w:t xml:space="preserve"> controls of </w:t>
      </w:r>
      <w:r w:rsidR="000C6B25">
        <w:t xml:space="preserve">similar </w:t>
      </w:r>
      <w:r w:rsidR="001F3465">
        <w:t xml:space="preserve">age (to within </w:t>
      </w:r>
      <w:r w:rsidR="006C738D">
        <w:t>two</w:t>
      </w:r>
      <w:r w:rsidR="001F3465">
        <w:t xml:space="preserve"> years), who had entered the surveillance programme before the onset of the case’s symptoms, and </w:t>
      </w:r>
      <w:r w:rsidR="00AD2900">
        <w:t xml:space="preserve">who </w:t>
      </w:r>
      <w:r w:rsidR="008F5B3A">
        <w:t xml:space="preserve">did not </w:t>
      </w:r>
      <w:r w:rsidR="001F3465">
        <w:t xml:space="preserve">have </w:t>
      </w:r>
      <w:r w:rsidR="008F5B3A">
        <w:t xml:space="preserve">confirmed or probable </w:t>
      </w:r>
      <w:r w:rsidR="001F3465">
        <w:t>CTS</w:t>
      </w:r>
      <w:r w:rsidR="008F5B3A">
        <w:t xml:space="preserve"> according to our criteria (i.e. relevant symptoms </w:t>
      </w:r>
      <w:r w:rsidR="00282A07">
        <w:t xml:space="preserve">in combination </w:t>
      </w:r>
      <w:r w:rsidR="008F5B3A">
        <w:t xml:space="preserve">with neurophysiological confirmation, surgical decompression or positive </w:t>
      </w:r>
      <w:r w:rsidR="00282A07">
        <w:t>find</w:t>
      </w:r>
      <w:r w:rsidR="008F5B3A">
        <w:t xml:space="preserve">ings on both </w:t>
      </w:r>
      <w:proofErr w:type="spellStart"/>
      <w:r w:rsidR="008F5B3A">
        <w:t>Tinel’s</w:t>
      </w:r>
      <w:proofErr w:type="spellEnd"/>
      <w:r w:rsidR="008F5B3A">
        <w:t xml:space="preserve"> and </w:t>
      </w:r>
      <w:proofErr w:type="spellStart"/>
      <w:r w:rsidR="008F5B3A">
        <w:t>Phalen’s</w:t>
      </w:r>
      <w:proofErr w:type="spellEnd"/>
      <w:r w:rsidR="008F5B3A">
        <w:t xml:space="preserve"> tests)</w:t>
      </w:r>
      <w:r w:rsidR="001F3465">
        <w:t>.  Fo</w:t>
      </w:r>
      <w:r w:rsidR="000B4134">
        <w:t>r</w:t>
      </w:r>
      <w:r w:rsidR="001F3465">
        <w:t xml:space="preserve"> each matched set, exposures to HTV and other risk factors for CTS were assessed as at the date when the symptoms of the case began.  </w:t>
      </w:r>
    </w:p>
    <w:p w14:paraId="3078D854" w14:textId="77777777" w:rsidR="00635E3E" w:rsidRDefault="00635E3E" w:rsidP="00B52D9C">
      <w:pPr>
        <w:spacing w:line="480" w:lineRule="auto"/>
        <w:jc w:val="both"/>
      </w:pPr>
    </w:p>
    <w:p w14:paraId="270FCCB5" w14:textId="182F086D" w:rsidR="00635E3E" w:rsidRPr="00635E3E" w:rsidRDefault="00635E3E" w:rsidP="00B52D9C">
      <w:pPr>
        <w:spacing w:line="480" w:lineRule="auto"/>
        <w:jc w:val="both"/>
      </w:pPr>
      <w:r>
        <w:t>To estimate exposures to HTV, we first created a</w:t>
      </w:r>
      <w:r w:rsidRPr="00635E3E">
        <w:t xml:space="preserve"> job</w:t>
      </w:r>
      <w:r>
        <w:t>-</w:t>
      </w:r>
      <w:r w:rsidRPr="00635E3E">
        <w:t>exposure matrix relat</w:t>
      </w:r>
      <w:r>
        <w:t>ing</w:t>
      </w:r>
      <w:r w:rsidRPr="00635E3E">
        <w:t xml:space="preserve"> job titles to the use of specific tools. Detailed information was obtained from the company’s health and safety department and other local experts who had knowledge of past use of tools at the company. The information was recorded for three different time periods</w:t>
      </w:r>
      <w:r>
        <w:t xml:space="preserve"> (</w:t>
      </w:r>
      <w:r w:rsidRPr="00635E3E">
        <w:t>1970-1989</w:t>
      </w:r>
      <w:r>
        <w:t>;</w:t>
      </w:r>
      <w:r w:rsidRPr="00635E3E">
        <w:t xml:space="preserve"> 1990-2005</w:t>
      </w:r>
      <w:r>
        <w:t>; and</w:t>
      </w:r>
      <w:r w:rsidRPr="00635E3E">
        <w:t xml:space="preserve"> 2006 </w:t>
      </w:r>
      <w:r>
        <w:t>onwards) to allow for changes as methods of working had improved</w:t>
      </w:r>
      <w:r w:rsidRPr="00635E3E">
        <w:t xml:space="preserve">. For each </w:t>
      </w:r>
      <w:r>
        <w:t xml:space="preserve">job, time period and </w:t>
      </w:r>
      <w:r w:rsidRPr="00635E3E">
        <w:t>type of vibrat</w:t>
      </w:r>
      <w:r>
        <w:t>ory</w:t>
      </w:r>
      <w:r w:rsidRPr="00635E3E">
        <w:t xml:space="preserve"> tool the estimated </w:t>
      </w:r>
      <w:r w:rsidR="006403BC">
        <w:t xml:space="preserve">approximate </w:t>
      </w:r>
      <w:r w:rsidRPr="00635E3E">
        <w:t xml:space="preserve">daily </w:t>
      </w:r>
      <w:r w:rsidR="00AD2900">
        <w:t>duration</w:t>
      </w:r>
      <w:r w:rsidRPr="00635E3E">
        <w:t xml:space="preserve"> of exposure while the tool was operational was classified in time bands of 0 hours, 0.25-0.5, 1-2, 3 and 3.5-4 hours. </w:t>
      </w:r>
    </w:p>
    <w:p w14:paraId="242D0C74" w14:textId="77777777" w:rsidR="00635E3E" w:rsidRPr="00635E3E" w:rsidRDefault="00635E3E" w:rsidP="00B52D9C">
      <w:pPr>
        <w:spacing w:line="480" w:lineRule="auto"/>
        <w:jc w:val="both"/>
      </w:pPr>
    </w:p>
    <w:p w14:paraId="6F4389AA" w14:textId="77777777" w:rsidR="00DE4995" w:rsidRDefault="00DE4995" w:rsidP="00B52D9C">
      <w:pPr>
        <w:spacing w:line="480" w:lineRule="auto"/>
        <w:jc w:val="both"/>
      </w:pPr>
      <w:r>
        <w:lastRenderedPageBreak/>
        <w:t>Next, a</w:t>
      </w:r>
      <w:r w:rsidR="00635E3E" w:rsidRPr="00635E3E">
        <w:t xml:space="preserve"> </w:t>
      </w:r>
      <w:r w:rsidR="00282A07">
        <w:t>second</w:t>
      </w:r>
      <w:r w:rsidR="00635E3E" w:rsidRPr="00635E3E">
        <w:t xml:space="preserve"> matrix was </w:t>
      </w:r>
      <w:r>
        <w:t>constructed</w:t>
      </w:r>
      <w:r w:rsidR="00635E3E" w:rsidRPr="00635E3E">
        <w:t xml:space="preserve"> to </w:t>
      </w:r>
      <w:r>
        <w:t xml:space="preserve">assign </w:t>
      </w:r>
      <w:r w:rsidR="00635E3E" w:rsidRPr="00635E3E">
        <w:t xml:space="preserve">an estimated level of vibration </w:t>
      </w:r>
      <w:r>
        <w:t xml:space="preserve">to each type of tool </w:t>
      </w:r>
      <w:r w:rsidR="00635E3E" w:rsidRPr="00635E3E">
        <w:t xml:space="preserve">in each of the three time periods. Detailed information </w:t>
      </w:r>
      <w:r>
        <w:t>on</w:t>
      </w:r>
      <w:r w:rsidR="00635E3E" w:rsidRPr="00635E3E">
        <w:t xml:space="preserve"> the vibration magnitudes for tools used since 2006 was available from the re</w:t>
      </w:r>
      <w:r>
        <w:t>port</w:t>
      </w:r>
      <w:r w:rsidR="00635E3E" w:rsidRPr="00635E3E">
        <w:t xml:space="preserve"> of an </w:t>
      </w:r>
      <w:r>
        <w:t xml:space="preserve">earlier </w:t>
      </w:r>
      <w:r w:rsidR="00635E3E" w:rsidRPr="00635E3E">
        <w:t xml:space="preserve">independent assessment, undertaken by an external company.  </w:t>
      </w:r>
      <w:r>
        <w:t>V</w:t>
      </w:r>
      <w:r w:rsidR="00635E3E" w:rsidRPr="00635E3E">
        <w:t xml:space="preserve">ibration </w:t>
      </w:r>
      <w:r>
        <w:t>characteristics</w:t>
      </w:r>
      <w:r w:rsidR="00635E3E" w:rsidRPr="00635E3E">
        <w:t xml:space="preserve"> for tools used </w:t>
      </w:r>
      <w:r>
        <w:t>before 2006</w:t>
      </w:r>
      <w:r w:rsidR="00635E3E" w:rsidRPr="00635E3E">
        <w:t xml:space="preserve"> were taken from a H</w:t>
      </w:r>
      <w:r>
        <w:t>ealth and Safety Executive</w:t>
      </w:r>
      <w:r w:rsidR="00635E3E" w:rsidRPr="00635E3E">
        <w:t xml:space="preserve"> </w:t>
      </w:r>
      <w:r w:rsidR="00673911">
        <w:t xml:space="preserve">(HSE) </w:t>
      </w:r>
      <w:r>
        <w:t>g</w:t>
      </w:r>
      <w:r w:rsidR="00635E3E" w:rsidRPr="00635E3E">
        <w:t>uidance document on the Control of Vibration at Work Regulations 2005</w:t>
      </w:r>
      <w:r>
        <w:t xml:space="preserve"> [</w:t>
      </w:r>
      <w:r w:rsidR="003A0729">
        <w:t>5</w:t>
      </w:r>
      <w:r>
        <w:t>]</w:t>
      </w:r>
      <w:r w:rsidR="00635E3E" w:rsidRPr="00635E3E">
        <w:t xml:space="preserve">. </w:t>
      </w:r>
    </w:p>
    <w:p w14:paraId="0D05428F" w14:textId="77777777" w:rsidR="00DE4995" w:rsidRDefault="00DE4995" w:rsidP="00B52D9C">
      <w:pPr>
        <w:spacing w:line="480" w:lineRule="auto"/>
        <w:jc w:val="both"/>
      </w:pPr>
    </w:p>
    <w:p w14:paraId="1DD72EE9" w14:textId="5F62FCFC" w:rsidR="00635E3E" w:rsidRPr="00635E3E" w:rsidRDefault="00DE4995" w:rsidP="00B52D9C">
      <w:pPr>
        <w:spacing w:line="480" w:lineRule="auto"/>
        <w:jc w:val="both"/>
      </w:pPr>
      <w:r>
        <w:t xml:space="preserve">Individual exposures to </w:t>
      </w:r>
      <w:r w:rsidR="009C5294">
        <w:t>H</w:t>
      </w:r>
      <w:r>
        <w:t>TV were estimated by applying the two matrices successi</w:t>
      </w:r>
      <w:r w:rsidR="00C56210">
        <w:t>vely</w:t>
      </w:r>
      <w:r>
        <w:t xml:space="preserve"> to occupational histories.  P</w:t>
      </w:r>
      <w:r w:rsidR="00635E3E" w:rsidRPr="00635E3E">
        <w:t xml:space="preserve">artial </w:t>
      </w:r>
      <w:proofErr w:type="gramStart"/>
      <w:r w:rsidR="00635E3E" w:rsidRPr="00635E3E">
        <w:t>A(</w:t>
      </w:r>
      <w:proofErr w:type="gramEnd"/>
      <w:r w:rsidR="00635E3E" w:rsidRPr="00635E3E">
        <w:t xml:space="preserve">8) exposures were calculated separately for each tool </w:t>
      </w:r>
      <w:r>
        <w:t xml:space="preserve">likely to have been </w:t>
      </w:r>
      <w:r w:rsidR="00635E3E" w:rsidRPr="00635E3E">
        <w:t xml:space="preserve">used, </w:t>
      </w:r>
      <w:r>
        <w:t>based on</w:t>
      </w:r>
      <w:r w:rsidR="00635E3E" w:rsidRPr="00635E3E">
        <w:t xml:space="preserve"> </w:t>
      </w:r>
      <w:r w:rsidR="00673911">
        <w:t>the</w:t>
      </w:r>
      <w:r>
        <w:t xml:space="preserve"> estimated</w:t>
      </w:r>
      <w:r w:rsidR="00635E3E" w:rsidRPr="00635E3E">
        <w:t xml:space="preserve"> magnitude </w:t>
      </w:r>
      <w:r w:rsidR="00673911">
        <w:t xml:space="preserve">of vibration and duration </w:t>
      </w:r>
      <w:r w:rsidR="00635E3E" w:rsidRPr="00635E3E">
        <w:t xml:space="preserve">of exposure. The total exposure for each job type in </w:t>
      </w:r>
      <w:proofErr w:type="gramStart"/>
      <w:r w:rsidR="00635E3E" w:rsidRPr="00635E3E">
        <w:t>A(</w:t>
      </w:r>
      <w:proofErr w:type="gramEnd"/>
      <w:r w:rsidR="00635E3E" w:rsidRPr="00635E3E">
        <w:t xml:space="preserve">8) was </w:t>
      </w:r>
      <w:r w:rsidR="00673911">
        <w:t xml:space="preserve">then </w:t>
      </w:r>
      <w:r w:rsidR="00635E3E" w:rsidRPr="00635E3E">
        <w:t>calculated from the partial exposures using the HSE’s online vibration calculator</w:t>
      </w:r>
      <w:r w:rsidR="00673911">
        <w:t xml:space="preserve"> [</w:t>
      </w:r>
      <w:r w:rsidR="00C56210">
        <w:t>6</w:t>
      </w:r>
      <w:r w:rsidR="00673911">
        <w:t>]</w:t>
      </w:r>
      <w:r w:rsidR="00635E3E" w:rsidRPr="00635E3E">
        <w:t xml:space="preserve">.  </w:t>
      </w:r>
    </w:p>
    <w:p w14:paraId="632F54A5" w14:textId="77777777" w:rsidR="001F3465" w:rsidRDefault="001F3465" w:rsidP="00B52D9C">
      <w:pPr>
        <w:spacing w:line="480" w:lineRule="auto"/>
        <w:jc w:val="both"/>
      </w:pPr>
    </w:p>
    <w:p w14:paraId="29CF1A08" w14:textId="77777777" w:rsidR="001F3465" w:rsidRDefault="001F3465" w:rsidP="00B52D9C">
      <w:pPr>
        <w:spacing w:line="480" w:lineRule="auto"/>
        <w:jc w:val="both"/>
      </w:pPr>
      <w:r>
        <w:t xml:space="preserve">Associations with risk factors were </w:t>
      </w:r>
      <w:r w:rsidR="000C6B25">
        <w:t>analysed</w:t>
      </w:r>
      <w:r>
        <w:t xml:space="preserve"> by conditional logistic regression, and summarised by odds ratios (ORs) with 95% confidence intervals (CIs).</w:t>
      </w:r>
    </w:p>
    <w:p w14:paraId="09266174" w14:textId="77777777" w:rsidR="001F3465" w:rsidRDefault="001F3465" w:rsidP="00B52D9C">
      <w:pPr>
        <w:spacing w:line="480" w:lineRule="auto"/>
        <w:jc w:val="both"/>
      </w:pPr>
    </w:p>
    <w:p w14:paraId="207549A1" w14:textId="77777777" w:rsidR="001F3465" w:rsidRPr="00B52D9C" w:rsidRDefault="001F3465" w:rsidP="00B52D9C">
      <w:pPr>
        <w:spacing w:line="480" w:lineRule="auto"/>
      </w:pPr>
      <w:r w:rsidRPr="00B52D9C">
        <w:rPr>
          <w:b/>
        </w:rPr>
        <w:t>Results</w:t>
      </w:r>
    </w:p>
    <w:p w14:paraId="4E965897" w14:textId="77777777" w:rsidR="000F6342" w:rsidRDefault="000F6342" w:rsidP="00C51DA5">
      <w:pPr>
        <w:spacing w:line="480" w:lineRule="auto"/>
        <w:jc w:val="both"/>
      </w:pPr>
      <w:r>
        <w:t>W</w:t>
      </w:r>
      <w:r w:rsidRPr="000F6342">
        <w:t xml:space="preserve">e identified 23 workers with new onset of confirmed or probable CTS.  All had suffered from numbness and/or tingling in the affected hand(s), in addition to which, 20 had experienced pain and 17 weakness in the hand.  In 18, the diagnosis of CTS had been confirmed by neurophysiological investigation, another had been offered surgical decompression of the carpal tunnel after specialist assessment, and the remaining four were positive on both </w:t>
      </w:r>
      <w:proofErr w:type="spellStart"/>
      <w:r w:rsidRPr="000F6342">
        <w:t>Tinel’s</w:t>
      </w:r>
      <w:proofErr w:type="spellEnd"/>
      <w:r w:rsidRPr="000F6342">
        <w:t xml:space="preserve"> and </w:t>
      </w:r>
      <w:proofErr w:type="spellStart"/>
      <w:r w:rsidRPr="000F6342">
        <w:t>Phalen’s</w:t>
      </w:r>
      <w:proofErr w:type="spellEnd"/>
      <w:r w:rsidRPr="000F6342">
        <w:t xml:space="preserve"> tests.</w:t>
      </w:r>
    </w:p>
    <w:p w14:paraId="78D16E0C" w14:textId="7A6CB41A" w:rsidR="000D2105" w:rsidRDefault="002D6017" w:rsidP="00B52D9C">
      <w:pPr>
        <w:spacing w:line="480" w:lineRule="auto"/>
        <w:jc w:val="both"/>
      </w:pPr>
      <w:r>
        <w:t xml:space="preserve">The 23 cases were compared with a total of 55 controls.  </w:t>
      </w:r>
      <w:r w:rsidR="001F3465">
        <w:t xml:space="preserve">After adjustment for body mass index and previous diagnosis of diabetes, no clear associations were observed </w:t>
      </w:r>
      <w:r w:rsidR="000B4134">
        <w:t>either with duration of exposure to HTV or with current intensity of exposure (Table</w:t>
      </w:r>
      <w:r w:rsidR="00D3207C">
        <w:t xml:space="preserve"> 1</w:t>
      </w:r>
      <w:r w:rsidR="000B4134">
        <w:t>).</w:t>
      </w:r>
      <w:r>
        <w:t xml:space="preserve">  </w:t>
      </w:r>
      <w:r w:rsidR="000B4134">
        <w:t>Risk was non-significantly elevated in men with ≥30 years</w:t>
      </w:r>
      <w:r w:rsidR="009C5294">
        <w:t>’</w:t>
      </w:r>
      <w:r w:rsidR="000B4134">
        <w:t xml:space="preserve"> exposure to HTV (OR 1.6), but in the highest category of current exposure (A8 ≥ 4.0</w:t>
      </w:r>
      <w:r w:rsidR="000B4134" w:rsidRPr="00CA2A92">
        <w:rPr>
          <w:bCs/>
        </w:rPr>
        <w:t xml:space="preserve"> </w:t>
      </w:r>
      <w:r w:rsidR="000B4134" w:rsidRPr="00CA2A92">
        <w:t>m/s</w:t>
      </w:r>
      <w:r w:rsidR="000B4134" w:rsidRPr="00CA2A92">
        <w:rPr>
          <w:vertAlign w:val="superscript"/>
        </w:rPr>
        <w:t>2</w:t>
      </w:r>
      <w:r w:rsidR="000B4134">
        <w:t xml:space="preserve">) risk was lower than in the reference category </w:t>
      </w:r>
      <w:r w:rsidR="000B4134">
        <w:lastRenderedPageBreak/>
        <w:t>(A8 &lt; 2.5</w:t>
      </w:r>
      <w:r w:rsidR="000B4134" w:rsidRPr="00CA2A92">
        <w:rPr>
          <w:bCs/>
        </w:rPr>
        <w:t xml:space="preserve"> </w:t>
      </w:r>
      <w:r w:rsidR="000B4134" w:rsidRPr="00CA2A92">
        <w:t>m/s</w:t>
      </w:r>
      <w:r w:rsidR="000B4134" w:rsidRPr="00CA2A92">
        <w:rPr>
          <w:vertAlign w:val="superscript"/>
        </w:rPr>
        <w:t>2</w:t>
      </w:r>
      <w:r w:rsidR="000B4134">
        <w:t xml:space="preserve">).  </w:t>
      </w:r>
      <w:r w:rsidR="00AF09E9">
        <w:t>Moreover, t</w:t>
      </w:r>
      <w:r w:rsidR="000B4134">
        <w:t>here was a significantly reduced risk of CTS in men with a previous diagnosis of HAVS (OR 0.2, 95%CI 0.1-0.9).</w:t>
      </w:r>
      <w:r w:rsidR="00985374">
        <w:t xml:space="preserve">  </w:t>
      </w:r>
    </w:p>
    <w:p w14:paraId="1577B05B" w14:textId="77777777" w:rsidR="000D2105" w:rsidRDefault="000D2105" w:rsidP="00B52D9C">
      <w:pPr>
        <w:spacing w:line="480" w:lineRule="auto"/>
        <w:jc w:val="both"/>
      </w:pPr>
    </w:p>
    <w:p w14:paraId="2BB55F69" w14:textId="77777777" w:rsidR="000B4134" w:rsidRDefault="00330FD3" w:rsidP="00B52D9C">
      <w:pPr>
        <w:spacing w:line="480" w:lineRule="auto"/>
        <w:jc w:val="both"/>
        <w:rPr>
          <w:rFonts w:eastAsia="Times New Roman"/>
          <w:szCs w:val="20"/>
          <w:lang w:eastAsia="en-GB"/>
        </w:rPr>
      </w:pPr>
      <w:r>
        <w:rPr>
          <w:rFonts w:eastAsia="Times New Roman"/>
          <w:szCs w:val="20"/>
          <w:lang w:eastAsia="en-GB"/>
        </w:rPr>
        <w:t>In a sens</w:t>
      </w:r>
      <w:r w:rsidR="00755EDE">
        <w:rPr>
          <w:rFonts w:eastAsia="Times New Roman"/>
          <w:szCs w:val="20"/>
          <w:lang w:eastAsia="en-GB"/>
        </w:rPr>
        <w:t>i</w:t>
      </w:r>
      <w:r>
        <w:rPr>
          <w:rFonts w:eastAsia="Times New Roman"/>
          <w:szCs w:val="20"/>
          <w:lang w:eastAsia="en-GB"/>
        </w:rPr>
        <w:t xml:space="preserve">tivity analysis restricted to the 19 cases that were confirmed </w:t>
      </w:r>
      <w:proofErr w:type="spellStart"/>
      <w:r>
        <w:rPr>
          <w:rFonts w:eastAsia="Times New Roman"/>
          <w:szCs w:val="20"/>
          <w:lang w:eastAsia="en-GB"/>
        </w:rPr>
        <w:t>neurophysiologically</w:t>
      </w:r>
      <w:proofErr w:type="spellEnd"/>
      <w:r>
        <w:rPr>
          <w:rFonts w:eastAsia="Times New Roman"/>
          <w:szCs w:val="20"/>
          <w:lang w:eastAsia="en-GB"/>
        </w:rPr>
        <w:t xml:space="preserve"> and/or treated surgically, </w:t>
      </w:r>
      <w:r w:rsidR="00755EDE">
        <w:rPr>
          <w:rFonts w:eastAsia="Times New Roman"/>
          <w:szCs w:val="20"/>
          <w:lang w:eastAsia="en-GB"/>
        </w:rPr>
        <w:t>risk estimates</w:t>
      </w:r>
      <w:r>
        <w:rPr>
          <w:rFonts w:eastAsia="Times New Roman"/>
          <w:szCs w:val="20"/>
          <w:lang w:eastAsia="en-GB"/>
        </w:rPr>
        <w:t xml:space="preserve"> were </w:t>
      </w:r>
      <w:r w:rsidR="00755EDE">
        <w:rPr>
          <w:rFonts w:eastAsia="Times New Roman"/>
          <w:szCs w:val="20"/>
          <w:lang w:eastAsia="en-GB"/>
        </w:rPr>
        <w:t>little changed</w:t>
      </w:r>
      <w:r>
        <w:rPr>
          <w:rFonts w:eastAsia="Times New Roman"/>
          <w:szCs w:val="20"/>
          <w:lang w:eastAsia="en-GB"/>
        </w:rPr>
        <w:t>.</w:t>
      </w:r>
    </w:p>
    <w:p w14:paraId="681A1C81" w14:textId="77777777" w:rsidR="00364A28" w:rsidRDefault="00364A28" w:rsidP="00B52D9C">
      <w:pPr>
        <w:spacing w:line="480" w:lineRule="auto"/>
        <w:jc w:val="both"/>
        <w:rPr>
          <w:rFonts w:eastAsia="Times New Roman"/>
          <w:szCs w:val="20"/>
          <w:lang w:eastAsia="en-GB"/>
        </w:rPr>
      </w:pPr>
    </w:p>
    <w:p w14:paraId="4CC46724" w14:textId="77777777" w:rsidR="00364A28" w:rsidRDefault="00364A28" w:rsidP="00B52D9C">
      <w:pPr>
        <w:spacing w:line="480" w:lineRule="auto"/>
        <w:jc w:val="both"/>
        <w:rPr>
          <w:rFonts w:eastAsia="Times New Roman"/>
          <w:szCs w:val="20"/>
          <w:lang w:eastAsia="en-GB"/>
        </w:rPr>
      </w:pPr>
      <w:r>
        <w:t xml:space="preserve">Table 2 shows levels of current exposure to HTV among cases and controls, according to previous diagnosis of HAVS.  </w:t>
      </w:r>
      <w:r>
        <w:rPr>
          <w:rFonts w:eastAsia="Times New Roman"/>
          <w:szCs w:val="20"/>
          <w:lang w:eastAsia="en-GB"/>
        </w:rPr>
        <w:t xml:space="preserve">When adjusted for current exposure to HTV, the risk estimate for previous diagnosis of HAVS increased only slightly (OR 0.3, 95%CI 0.7-1.1). </w:t>
      </w:r>
    </w:p>
    <w:p w14:paraId="25B5A799" w14:textId="77777777" w:rsidR="00364A28" w:rsidRDefault="00364A28" w:rsidP="00B52D9C">
      <w:pPr>
        <w:spacing w:line="480" w:lineRule="auto"/>
        <w:jc w:val="both"/>
      </w:pPr>
    </w:p>
    <w:p w14:paraId="44EB520D" w14:textId="77777777" w:rsidR="000B4134" w:rsidRPr="00B52D9C" w:rsidRDefault="000B4134" w:rsidP="00B52D9C">
      <w:pPr>
        <w:spacing w:line="480" w:lineRule="auto"/>
      </w:pPr>
      <w:r w:rsidRPr="00B52D9C">
        <w:rPr>
          <w:b/>
        </w:rPr>
        <w:t>Discussion</w:t>
      </w:r>
    </w:p>
    <w:p w14:paraId="12B7A2C7" w14:textId="77777777" w:rsidR="002D0583" w:rsidRDefault="00913397" w:rsidP="00B52D9C">
      <w:pPr>
        <w:spacing w:line="480" w:lineRule="auto"/>
        <w:jc w:val="both"/>
      </w:pPr>
      <w:r>
        <w:t xml:space="preserve">Our audit confirmed a high incidence of CTS among the workers in the </w:t>
      </w:r>
      <w:r w:rsidR="002D0583">
        <w:t xml:space="preserve">HAVS </w:t>
      </w:r>
      <w:r>
        <w:t xml:space="preserve">surveillance programme.  </w:t>
      </w:r>
      <w:r w:rsidR="00673911">
        <w:t>T</w:t>
      </w:r>
      <w:r w:rsidR="000B4134">
        <w:t xml:space="preserve">he </w:t>
      </w:r>
      <w:r w:rsidR="00C56210">
        <w:t xml:space="preserve">new </w:t>
      </w:r>
      <w:r w:rsidR="00673911">
        <w:t xml:space="preserve">occurrence of </w:t>
      </w:r>
      <w:r>
        <w:t xml:space="preserve">19 confirmed cases among 147 men followed for up to nine years corresponds to an annual incidence of </w:t>
      </w:r>
      <w:r w:rsidR="002D0583">
        <w:t xml:space="preserve">more than </w:t>
      </w:r>
      <w:r>
        <w:t xml:space="preserve">1400 per 100,000, which is </w:t>
      </w:r>
      <w:r w:rsidR="006403BC">
        <w:t>well</w:t>
      </w:r>
      <w:r w:rsidR="002D0583">
        <w:t xml:space="preserve"> in excess of</w:t>
      </w:r>
      <w:r>
        <w:t xml:space="preserve"> the rate</w:t>
      </w:r>
      <w:r w:rsidR="001A00D5">
        <w:t>s</w:t>
      </w:r>
      <w:r w:rsidRPr="00913397">
        <w:t xml:space="preserve"> of </w:t>
      </w:r>
      <w:r w:rsidR="001A00D5">
        <w:t>40-350</w:t>
      </w:r>
      <w:r w:rsidRPr="00913397">
        <w:t xml:space="preserve"> per 100,000 </w:t>
      </w:r>
      <w:r>
        <w:t>that ha</w:t>
      </w:r>
      <w:r w:rsidR="001A00D5">
        <w:t>ve</w:t>
      </w:r>
      <w:r>
        <w:t xml:space="preserve"> been </w:t>
      </w:r>
      <w:r w:rsidR="00D97408">
        <w:t>reported</w:t>
      </w:r>
      <w:r>
        <w:t xml:space="preserve"> </w:t>
      </w:r>
      <w:r w:rsidR="001A00D5">
        <w:t>for general population groups</w:t>
      </w:r>
      <w:r w:rsidR="002D0583">
        <w:t xml:space="preserve"> </w:t>
      </w:r>
      <w:r>
        <w:t>[</w:t>
      </w:r>
      <w:r w:rsidR="003A0729">
        <w:t>7</w:t>
      </w:r>
      <w:r>
        <w:t>].</w:t>
      </w:r>
      <w:r w:rsidR="00673911">
        <w:t xml:space="preserve"> </w:t>
      </w:r>
      <w:r w:rsidR="002D0583">
        <w:t xml:space="preserve"> However</w:t>
      </w:r>
      <w:r w:rsidR="000B4134">
        <w:t xml:space="preserve">, there was no </w:t>
      </w:r>
      <w:r w:rsidR="002D0583">
        <w:t xml:space="preserve">clear </w:t>
      </w:r>
      <w:r w:rsidR="000B4134">
        <w:t>indication of a</w:t>
      </w:r>
      <w:r w:rsidR="002D0583">
        <w:t>n association with</w:t>
      </w:r>
      <w:r w:rsidR="000B4134">
        <w:t xml:space="preserve"> intensity of exposure to HTV.  </w:t>
      </w:r>
    </w:p>
    <w:p w14:paraId="29EC6EE8" w14:textId="77777777" w:rsidR="002D0583" w:rsidRDefault="002D0583" w:rsidP="00B52D9C">
      <w:pPr>
        <w:spacing w:line="480" w:lineRule="auto"/>
        <w:jc w:val="both"/>
      </w:pPr>
    </w:p>
    <w:p w14:paraId="6E67801D" w14:textId="77777777" w:rsidR="00F8447C" w:rsidRDefault="000B4134" w:rsidP="00B52D9C">
      <w:pPr>
        <w:spacing w:line="480" w:lineRule="auto"/>
        <w:jc w:val="both"/>
      </w:pPr>
      <w:r>
        <w:t xml:space="preserve">Because </w:t>
      </w:r>
      <w:r w:rsidR="00E57F2A">
        <w:t xml:space="preserve">our </w:t>
      </w:r>
      <w:r>
        <w:t>data came f</w:t>
      </w:r>
      <w:r w:rsidR="000C6B25">
        <w:t>ro</w:t>
      </w:r>
      <w:r>
        <w:t xml:space="preserve">m a retrospective audit rather than a prospective research study, the assessment of CTS was not fully standardised.  </w:t>
      </w:r>
      <w:r w:rsidR="00E57F2A">
        <w:t>All of the cases had experienced numbness or tingling in the affected hand(s), and</w:t>
      </w:r>
      <w:r w:rsidR="004A17E7">
        <w:t xml:space="preserve"> m</w:t>
      </w:r>
      <w:r w:rsidR="00E57F2A">
        <w:t xml:space="preserve">ost </w:t>
      </w:r>
      <w:r w:rsidR="004A17E7">
        <w:t>(18 of 23) had impair</w:t>
      </w:r>
      <w:r w:rsidR="00994C3C">
        <w:t>ed</w:t>
      </w:r>
      <w:r w:rsidR="004A17E7">
        <w:t xml:space="preserve"> neurophysiological function according to the criteria of the hospital department at which they had been investigated.  Although neurophysiological abnormalities cannot be regarded as a diagnostic gold standard [</w:t>
      </w:r>
      <w:r w:rsidR="003A0729">
        <w:t>4</w:t>
      </w:r>
      <w:r w:rsidR="004A17E7">
        <w:t xml:space="preserve">], </w:t>
      </w:r>
      <w:r w:rsidR="00DC075B">
        <w:t xml:space="preserve">among the general population of patients with suspected CTS, </w:t>
      </w:r>
      <w:r w:rsidR="004A17E7">
        <w:t xml:space="preserve">they usefully distinguish </w:t>
      </w:r>
      <w:r w:rsidR="006403BC">
        <w:t>a group</w:t>
      </w:r>
      <w:r w:rsidR="004A17E7">
        <w:t xml:space="preserve"> with distinctive risk factors [</w:t>
      </w:r>
      <w:r w:rsidR="003A0729">
        <w:t>8</w:t>
      </w:r>
      <w:r w:rsidR="004A17E7">
        <w:t>] and better response to surgical treatment [</w:t>
      </w:r>
      <w:r w:rsidR="003A0729">
        <w:t>9</w:t>
      </w:r>
      <w:r w:rsidR="004A17E7">
        <w:t xml:space="preserve">]. </w:t>
      </w:r>
      <w:r w:rsidR="00DC075B">
        <w:t xml:space="preserve"> The concern remains, however, that neurological symptoms of HAVS might in some cases be misdiagnosed as CTS.  The difficulties in distinguishing between the two diseases have been noted previously [</w:t>
      </w:r>
      <w:r w:rsidR="003A0729">
        <w:t>10-12</w:t>
      </w:r>
      <w:r w:rsidR="00DC075B">
        <w:t xml:space="preserve">], and HAVS </w:t>
      </w:r>
      <w:r w:rsidR="00D97408">
        <w:t>may in some cases</w:t>
      </w:r>
      <w:r w:rsidR="00DC075B">
        <w:t xml:space="preserve"> cause </w:t>
      </w:r>
      <w:r w:rsidR="00DC075B">
        <w:lastRenderedPageBreak/>
        <w:t>abnormalities of median nerve conduction</w:t>
      </w:r>
      <w:r w:rsidR="00354622">
        <w:t xml:space="preserve"> [12]</w:t>
      </w:r>
      <w:r w:rsidR="00DC075B">
        <w:t>.</w:t>
      </w:r>
      <w:r w:rsidR="00F8447C">
        <w:t xml:space="preserve">  The inclusion of some men with HAVS that had been misdiagnosed as CTS would not be expected to obscure a true association between CTS and HTV</w:t>
      </w:r>
      <w:r w:rsidR="00D97408">
        <w:t>, but it may have contributed to the apparently high incidence of CTS</w:t>
      </w:r>
      <w:r w:rsidR="00F8447C">
        <w:t>.</w:t>
      </w:r>
    </w:p>
    <w:p w14:paraId="13AABD77" w14:textId="77777777" w:rsidR="00AF09E9" w:rsidRDefault="000B4134" w:rsidP="00B52D9C">
      <w:pPr>
        <w:spacing w:line="480" w:lineRule="auto"/>
        <w:jc w:val="both"/>
      </w:pPr>
      <w:r>
        <w:t xml:space="preserve"> </w:t>
      </w:r>
    </w:p>
    <w:p w14:paraId="18334B7C" w14:textId="77777777" w:rsidR="00F8447C" w:rsidRDefault="002D6017" w:rsidP="00B52D9C">
      <w:pPr>
        <w:spacing w:line="480" w:lineRule="auto"/>
        <w:jc w:val="both"/>
      </w:pPr>
      <w:r>
        <w:t xml:space="preserve">Inevitably, there may have been some misclassification of exposures to HTV, which in reality will not have been identical in all workers performing the same jobs (because of differences between individual tools, and the way in which they were used).  </w:t>
      </w:r>
      <w:r w:rsidR="00AF09E9">
        <w:t xml:space="preserve">Also, all members of our study sample had sufficient exposure to HTV to warrant health surveillance, and we could not compare risks with those </w:t>
      </w:r>
      <w:r w:rsidR="00276BE5">
        <w:t>in</w:t>
      </w:r>
      <w:r w:rsidR="00AF09E9">
        <w:t xml:space="preserve"> workers who were totally unexposed</w:t>
      </w:r>
      <w:r w:rsidR="00F8447C">
        <w:t xml:space="preserve"> and therefore </w:t>
      </w:r>
      <w:r w:rsidR="00D97408">
        <w:t xml:space="preserve">did </w:t>
      </w:r>
      <w:r w:rsidR="00F8447C">
        <w:t>not undergo screening</w:t>
      </w:r>
      <w:r w:rsidR="00AF09E9">
        <w:t xml:space="preserve">.  </w:t>
      </w:r>
      <w:r>
        <w:t xml:space="preserve">Nevertheless, </w:t>
      </w:r>
      <w:r w:rsidR="00276BE5">
        <w:t>if exposures less than 5</w:t>
      </w:r>
      <w:r w:rsidR="00276BE5" w:rsidRPr="00CA2A92">
        <w:rPr>
          <w:bCs/>
        </w:rPr>
        <w:t xml:space="preserve"> </w:t>
      </w:r>
      <w:r w:rsidR="00276BE5" w:rsidRPr="00CA2A92">
        <w:t>m/s</w:t>
      </w:r>
      <w:r w:rsidR="00276BE5" w:rsidRPr="00CA2A92">
        <w:rPr>
          <w:vertAlign w:val="superscript"/>
        </w:rPr>
        <w:t>2</w:t>
      </w:r>
      <w:r w:rsidR="00276BE5">
        <w:t xml:space="preserve"> were an important cause of CTS, we would have expected a gradation of risk across the exposure categories analysed</w:t>
      </w:r>
      <w:r>
        <w:t xml:space="preserve">.  </w:t>
      </w:r>
      <w:r w:rsidR="00276BE5">
        <w:t>In particular, it seems unlikely that risk would be elevated by exposures less than 2.5</w:t>
      </w:r>
      <w:r w:rsidR="00276BE5" w:rsidRPr="00CA2A92">
        <w:rPr>
          <w:bCs/>
        </w:rPr>
        <w:t xml:space="preserve"> </w:t>
      </w:r>
      <w:r w:rsidR="00276BE5" w:rsidRPr="00CA2A92">
        <w:t>m/s</w:t>
      </w:r>
      <w:r w:rsidR="00276BE5" w:rsidRPr="00CA2A92">
        <w:rPr>
          <w:vertAlign w:val="superscript"/>
        </w:rPr>
        <w:t>2</w:t>
      </w:r>
      <w:r w:rsidR="00276BE5" w:rsidRPr="00276BE5">
        <w:t xml:space="preserve">, </w:t>
      </w:r>
      <w:r w:rsidR="00276BE5">
        <w:t>but with no greater risk at higher levels.</w:t>
      </w:r>
    </w:p>
    <w:p w14:paraId="02E391F1" w14:textId="77777777" w:rsidR="00F8447C" w:rsidRDefault="00F8447C" w:rsidP="00B52D9C">
      <w:pPr>
        <w:spacing w:line="480" w:lineRule="auto"/>
        <w:jc w:val="both"/>
      </w:pPr>
    </w:p>
    <w:p w14:paraId="6F627F5F" w14:textId="1D7EA2BF" w:rsidR="00430B29" w:rsidRDefault="00F8447C" w:rsidP="00B52D9C">
      <w:pPr>
        <w:spacing w:line="480" w:lineRule="auto"/>
        <w:jc w:val="both"/>
      </w:pPr>
      <w:r>
        <w:t xml:space="preserve">Because the surveillance scheme was limited to workers who were exposed during 2005-13, there is </w:t>
      </w:r>
      <w:r w:rsidR="00122E5E">
        <w:t>a</w:t>
      </w:r>
      <w:r>
        <w:t xml:space="preserve"> possibility of health</w:t>
      </w:r>
      <w:r w:rsidR="00D97408">
        <w:t>y</w:t>
      </w:r>
      <w:r>
        <w:t xml:space="preserve"> worker selection</w:t>
      </w:r>
      <w:r w:rsidR="00122E5E">
        <w:t xml:space="preserve"> such that </w:t>
      </w:r>
      <w:r>
        <w:t>some</w:t>
      </w:r>
      <w:r w:rsidR="00122E5E">
        <w:t xml:space="preserve"> members of the workforce who had developed symptoms of CTS o</w:t>
      </w:r>
      <w:r w:rsidR="00D97408">
        <w:t>r</w:t>
      </w:r>
      <w:r w:rsidR="00122E5E">
        <w:t xml:space="preserve"> HAVS before 2005 had as a consequence transferred to unexposed jobs (within the company or elsewhere), and therefore did not enter the study.  If </w:t>
      </w:r>
      <w:r w:rsidR="00F92997">
        <w:t>among</w:t>
      </w:r>
      <w:r w:rsidR="00122E5E">
        <w:t xml:space="preserve"> the</w:t>
      </w:r>
      <w:r w:rsidR="00F92997">
        <w:t>se</w:t>
      </w:r>
      <w:r w:rsidR="00122E5E">
        <w:t xml:space="preserve"> leavers there was over-representation of men who were unusually sensitive to the effects of vibration, the incidence of cases that we recorded may have been spuriously low.  However, health</w:t>
      </w:r>
      <w:r w:rsidR="00994C3C">
        <w:t>y</w:t>
      </w:r>
      <w:r w:rsidR="00122E5E">
        <w:t xml:space="preserve"> worker selection would not be expected to inflate incidence rates.  </w:t>
      </w:r>
      <w:r>
        <w:t xml:space="preserve">  </w:t>
      </w:r>
      <w:r w:rsidR="00276BE5">
        <w:t xml:space="preserve"> </w:t>
      </w:r>
      <w:r w:rsidR="00AC5AAF">
        <w:t xml:space="preserve"> </w:t>
      </w:r>
    </w:p>
    <w:p w14:paraId="30BD61E4" w14:textId="77777777" w:rsidR="00430B29" w:rsidRDefault="00430B29" w:rsidP="00B52D9C">
      <w:pPr>
        <w:spacing w:line="480" w:lineRule="auto"/>
        <w:jc w:val="both"/>
      </w:pPr>
    </w:p>
    <w:p w14:paraId="6C61347A" w14:textId="23C7D965" w:rsidR="002D6017" w:rsidRDefault="00430B29" w:rsidP="00B52D9C">
      <w:pPr>
        <w:spacing w:line="480" w:lineRule="auto"/>
        <w:jc w:val="both"/>
      </w:pPr>
      <w:r>
        <w:t xml:space="preserve">Statistical power was limited by the size of the workforce, and it is possible that an effect of HTV was missed because </w:t>
      </w:r>
      <w:r w:rsidR="00277C63">
        <w:t xml:space="preserve">by chance, the </w:t>
      </w:r>
      <w:r>
        <w:t>incidence of CTS</w:t>
      </w:r>
      <w:r w:rsidR="00277C63">
        <w:t xml:space="preserve"> was unrepresentatively high among workers with low exposures to HTV</w:t>
      </w:r>
      <w:r>
        <w:t xml:space="preserve">, </w:t>
      </w:r>
      <w:r w:rsidR="00277C63">
        <w:t xml:space="preserve">or unrepresentatively </w:t>
      </w:r>
      <w:r w:rsidR="009972BB">
        <w:t>low</w:t>
      </w:r>
      <w:r w:rsidR="00277C63">
        <w:t xml:space="preserve"> in those with the highest exposures.  However </w:t>
      </w:r>
      <w:r w:rsidR="009972BB">
        <w:t xml:space="preserve">in that scenario </w:t>
      </w:r>
      <w:r w:rsidR="00277C63">
        <w:t>HTV would seem unlikely to explain the high overall rate of CTS in the workforce.</w:t>
      </w:r>
      <w:r>
        <w:t xml:space="preserve">  </w:t>
      </w:r>
      <w:r w:rsidR="002D6017">
        <w:t>A</w:t>
      </w:r>
      <w:r>
        <w:t>lternatively, it</w:t>
      </w:r>
      <w:r w:rsidR="002D6017">
        <w:t xml:space="preserve"> </w:t>
      </w:r>
      <w:r w:rsidR="00276BE5">
        <w:t>could</w:t>
      </w:r>
      <w:r w:rsidR="002D6017">
        <w:t xml:space="preserve"> be that jobs also entailed </w:t>
      </w:r>
      <w:r w:rsidR="002D6017">
        <w:lastRenderedPageBreak/>
        <w:t xml:space="preserve">repetitive, forceful movement of </w:t>
      </w:r>
      <w:r w:rsidR="00EF71C3">
        <w:t xml:space="preserve">the </w:t>
      </w:r>
      <w:r w:rsidR="002D6017">
        <w:t xml:space="preserve">wrists and hands, which </w:t>
      </w:r>
      <w:r w:rsidR="00EF71C3">
        <w:t>is another established risk factor for the disorder [</w:t>
      </w:r>
      <w:r w:rsidR="005F4B52">
        <w:t>2</w:t>
      </w:r>
      <w:proofErr w:type="gramStart"/>
      <w:r w:rsidR="005F4B52">
        <w:t>,3</w:t>
      </w:r>
      <w:proofErr w:type="gramEnd"/>
      <w:r w:rsidR="00EF71C3">
        <w:t>].  Th</w:t>
      </w:r>
      <w:r w:rsidR="000C6B25">
        <w:t>at</w:t>
      </w:r>
      <w:r w:rsidR="00EF71C3">
        <w:t xml:space="preserve"> possibility merits further investigation.</w:t>
      </w:r>
    </w:p>
    <w:p w14:paraId="6827258D" w14:textId="77777777" w:rsidR="002D6017" w:rsidRDefault="002D6017" w:rsidP="00B52D9C">
      <w:pPr>
        <w:spacing w:line="480" w:lineRule="auto"/>
        <w:jc w:val="both"/>
      </w:pPr>
    </w:p>
    <w:p w14:paraId="40D88E87" w14:textId="44EBAAA5" w:rsidR="002D6017" w:rsidRDefault="002D6017" w:rsidP="00B52D9C">
      <w:pPr>
        <w:spacing w:line="480" w:lineRule="auto"/>
        <w:jc w:val="both"/>
      </w:pPr>
      <w:r>
        <w:t xml:space="preserve">The inverse association with earlier diagnosis of HAVS was unexpected </w:t>
      </w:r>
      <w:r w:rsidR="00985374">
        <w:t>and could not be explained by transfer of affected workers to jobs with lower exposure to HTV (</w:t>
      </w:r>
      <w:r w:rsidR="0090497A">
        <w:t>odds ratio</w:t>
      </w:r>
      <w:r w:rsidR="00985374">
        <w:t xml:space="preserve"> </w:t>
      </w:r>
      <w:r w:rsidR="00812832">
        <w:t xml:space="preserve">adjusted </w:t>
      </w:r>
      <w:r w:rsidR="00985374">
        <w:t>for</w:t>
      </w:r>
      <w:r w:rsidR="00812832">
        <w:t xml:space="preserve"> current exposure = 0.3). </w:t>
      </w:r>
      <w:r w:rsidR="00985374">
        <w:t xml:space="preserve"> </w:t>
      </w:r>
      <w:r w:rsidR="00812832">
        <w:t xml:space="preserve">It </w:t>
      </w:r>
      <w:r w:rsidR="00B13054">
        <w:t xml:space="preserve">could have occurred if a substantial proportion of men with CTS were misdiagnosed cases of HAVS, since such misdiagnosis would be less likely to occur when HAVS had already been diagnosed.  Alternatively, it </w:t>
      </w:r>
      <w:r>
        <w:t>might reflect a tendency to attribute sensory symptoms to HAVS where the disorder has previously been diagnosed, rather than investigate them for other possible causes.</w:t>
      </w:r>
    </w:p>
    <w:p w14:paraId="4EE0B7FE" w14:textId="77777777" w:rsidR="00EF71C3" w:rsidRDefault="00EF71C3" w:rsidP="00B52D9C">
      <w:pPr>
        <w:spacing w:line="480" w:lineRule="auto"/>
        <w:jc w:val="both"/>
      </w:pPr>
    </w:p>
    <w:p w14:paraId="1DFF7B25" w14:textId="77777777" w:rsidR="00EF71C3" w:rsidRDefault="00EF71C3" w:rsidP="00B52D9C">
      <w:pPr>
        <w:spacing w:line="480" w:lineRule="auto"/>
        <w:jc w:val="both"/>
      </w:pPr>
      <w:r>
        <w:t xml:space="preserve">In conclusion, </w:t>
      </w:r>
      <w:r w:rsidR="00B13054">
        <w:t>the incidence of diagnosed CTS was elevated in the workers studied, but this did not appear to be explained by their exposure to HTV</w:t>
      </w:r>
      <w:r w:rsidR="009E2DF8">
        <w:t xml:space="preserve">, and we found </w:t>
      </w:r>
      <w:r>
        <w:t>no evidence that below the current limit for A(8) of 5</w:t>
      </w:r>
      <w:r w:rsidRPr="00CA2A92">
        <w:rPr>
          <w:bCs/>
        </w:rPr>
        <w:t xml:space="preserve"> </w:t>
      </w:r>
      <w:r w:rsidRPr="00CA2A92">
        <w:t>m/s</w:t>
      </w:r>
      <w:r w:rsidRPr="00CA2A92">
        <w:rPr>
          <w:vertAlign w:val="superscript"/>
        </w:rPr>
        <w:t>2</w:t>
      </w:r>
      <w:r>
        <w:t xml:space="preserve">, higher exposures to HTV predispose to CTS.  </w:t>
      </w:r>
      <w:r w:rsidR="009E2DF8">
        <w:t xml:space="preserve">There is a possibility that some men with CTS were misdiagnosed cases of HAVS.  </w:t>
      </w:r>
      <w:r>
        <w:t>However, our findings highlight a need for care not to overlook the possibility of treatable CTS when workers with diagnosed HAVS present with ne</w:t>
      </w:r>
      <w:r w:rsidR="000C6B25">
        <w:t>w</w:t>
      </w:r>
      <w:r>
        <w:t xml:space="preserve"> or worsening sensory symptoms in the hand.</w:t>
      </w:r>
    </w:p>
    <w:p w14:paraId="6D23F52F" w14:textId="77777777" w:rsidR="005F4B52" w:rsidRDefault="005F4B52" w:rsidP="007B0865">
      <w:pPr>
        <w:spacing w:line="360" w:lineRule="auto"/>
        <w:jc w:val="both"/>
      </w:pPr>
    </w:p>
    <w:p w14:paraId="1781F580" w14:textId="77777777" w:rsidR="008613AD" w:rsidRPr="00B52D9C" w:rsidRDefault="008613AD" w:rsidP="00B52D9C">
      <w:r w:rsidRPr="00B52D9C">
        <w:rPr>
          <w:b/>
        </w:rPr>
        <w:t>Key points</w:t>
      </w:r>
    </w:p>
    <w:p w14:paraId="6FB3F8DA" w14:textId="77777777" w:rsidR="008613AD" w:rsidRPr="00523BAA" w:rsidRDefault="008613AD" w:rsidP="008613AD"/>
    <w:p w14:paraId="665EBCBA" w14:textId="1FFE4333" w:rsidR="008613AD" w:rsidRDefault="008613AD" w:rsidP="00B52D9C">
      <w:pPr>
        <w:pStyle w:val="ListParagraph"/>
        <w:numPr>
          <w:ilvl w:val="0"/>
          <w:numId w:val="2"/>
        </w:numPr>
        <w:spacing w:line="480" w:lineRule="auto"/>
        <w:ind w:left="567" w:hanging="567"/>
        <w:jc w:val="both"/>
      </w:pPr>
      <w:r>
        <w:t xml:space="preserve">An elevated incidence of diagnosed </w:t>
      </w:r>
      <w:r w:rsidR="000F6342">
        <w:t>carpal tunnel syndrome</w:t>
      </w:r>
      <w:r>
        <w:t xml:space="preserve"> among shipyard workers exposed to hand-transmitted vibration was not explained by their exposure to vibration.</w:t>
      </w:r>
    </w:p>
    <w:p w14:paraId="5B7B1D63" w14:textId="77777777" w:rsidR="008613AD" w:rsidRDefault="008613AD" w:rsidP="00B52D9C">
      <w:pPr>
        <w:spacing w:line="480" w:lineRule="auto"/>
        <w:ind w:left="567" w:hanging="567"/>
        <w:jc w:val="both"/>
      </w:pPr>
    </w:p>
    <w:p w14:paraId="1D23356F" w14:textId="7864CB66" w:rsidR="008613AD" w:rsidRDefault="008613AD" w:rsidP="00B52D9C">
      <w:pPr>
        <w:pStyle w:val="ListParagraph"/>
        <w:numPr>
          <w:ilvl w:val="0"/>
          <w:numId w:val="2"/>
        </w:numPr>
        <w:spacing w:line="480" w:lineRule="auto"/>
        <w:ind w:left="567" w:hanging="567"/>
        <w:jc w:val="both"/>
      </w:pPr>
      <w:r>
        <w:t>We found no evidence that below the current</w:t>
      </w:r>
      <w:r w:rsidR="00F92997" w:rsidRPr="00F92997">
        <w:t xml:space="preserve"> </w:t>
      </w:r>
      <w:r w:rsidR="00F92997">
        <w:t>hand-transmitted vibration exposure</w:t>
      </w:r>
      <w:r>
        <w:t xml:space="preserve"> limit for </w:t>
      </w:r>
      <w:proofErr w:type="gramStart"/>
      <w:r>
        <w:t>A(</w:t>
      </w:r>
      <w:proofErr w:type="gramEnd"/>
      <w:r>
        <w:t>8) of 5</w:t>
      </w:r>
      <w:r w:rsidRPr="006B1658">
        <w:rPr>
          <w:bCs/>
        </w:rPr>
        <w:t xml:space="preserve"> </w:t>
      </w:r>
      <w:r w:rsidRPr="00CA2A92">
        <w:t>m/s</w:t>
      </w:r>
      <w:r w:rsidRPr="006B1658">
        <w:rPr>
          <w:vertAlign w:val="superscript"/>
        </w:rPr>
        <w:t>2</w:t>
      </w:r>
      <w:r>
        <w:t>, higher exposures predispose to CTS.</w:t>
      </w:r>
    </w:p>
    <w:p w14:paraId="6AC5AE53" w14:textId="77777777" w:rsidR="008613AD" w:rsidRDefault="008613AD" w:rsidP="00B52D9C">
      <w:pPr>
        <w:spacing w:line="480" w:lineRule="auto"/>
        <w:ind w:left="567" w:hanging="567"/>
        <w:jc w:val="both"/>
      </w:pPr>
    </w:p>
    <w:p w14:paraId="3CBD9F89" w14:textId="4DDBFA05" w:rsidR="006C738D" w:rsidRDefault="008613AD" w:rsidP="00B52D9C">
      <w:pPr>
        <w:pStyle w:val="ListParagraph"/>
        <w:numPr>
          <w:ilvl w:val="0"/>
          <w:numId w:val="2"/>
        </w:numPr>
        <w:spacing w:line="360" w:lineRule="auto"/>
        <w:ind w:left="567" w:hanging="567"/>
        <w:jc w:val="both"/>
      </w:pPr>
      <w:r>
        <w:lastRenderedPageBreak/>
        <w:t xml:space="preserve">Care is needed not to overlook the possibility of treatable CTS when workers with diagnosed </w:t>
      </w:r>
      <w:r w:rsidR="000F6342">
        <w:t>hand arm vibration syndrome</w:t>
      </w:r>
      <w:r>
        <w:t xml:space="preserve"> present with new or worsening sensory symptoms in the hand.</w:t>
      </w:r>
    </w:p>
    <w:p w14:paraId="519E2E80" w14:textId="77777777" w:rsidR="00C51DA5" w:rsidRDefault="00C51DA5" w:rsidP="007B0865">
      <w:pPr>
        <w:spacing w:line="360" w:lineRule="auto"/>
        <w:jc w:val="both"/>
        <w:sectPr w:rsidR="00C51DA5">
          <w:headerReference w:type="default" r:id="rId9"/>
          <w:footerReference w:type="default" r:id="rId10"/>
          <w:pgSz w:w="11906" w:h="16838"/>
          <w:pgMar w:top="1440" w:right="1440" w:bottom="1440" w:left="1440" w:header="708" w:footer="708" w:gutter="0"/>
          <w:cols w:space="708"/>
          <w:docGrid w:linePitch="360"/>
        </w:sectPr>
      </w:pPr>
    </w:p>
    <w:p w14:paraId="3C6AB546" w14:textId="77777777" w:rsidR="002D6017" w:rsidRPr="00B52D9C" w:rsidRDefault="003613CE" w:rsidP="00B52D9C">
      <w:r w:rsidRPr="00B52D9C">
        <w:rPr>
          <w:b/>
        </w:rPr>
        <w:lastRenderedPageBreak/>
        <w:t>References</w:t>
      </w:r>
    </w:p>
    <w:p w14:paraId="64B910EC" w14:textId="77777777" w:rsidR="003613CE" w:rsidRDefault="003613CE" w:rsidP="003613CE"/>
    <w:p w14:paraId="2ACB2D6A" w14:textId="77777777" w:rsidR="00A50E55" w:rsidRDefault="002A2F30" w:rsidP="00B52D9C">
      <w:pPr>
        <w:pStyle w:val="ListParagraph"/>
        <w:numPr>
          <w:ilvl w:val="0"/>
          <w:numId w:val="1"/>
        </w:numPr>
        <w:spacing w:line="480" w:lineRule="auto"/>
        <w:ind w:left="567" w:hanging="567"/>
      </w:pPr>
      <w:r>
        <w:t xml:space="preserve">Health and Safety Executive.  Control of Vibration at Work Regulations 2005.  </w:t>
      </w:r>
      <w:hyperlink r:id="rId11" w:history="1">
        <w:r w:rsidRPr="007F718F">
          <w:rPr>
            <w:rStyle w:val="Hyperlink"/>
          </w:rPr>
          <w:t>http://www.hse.gov.uk/VIBRATION/hav/regulations.htm</w:t>
        </w:r>
      </w:hyperlink>
    </w:p>
    <w:p w14:paraId="4F9A02C4" w14:textId="77777777" w:rsidR="00A50E55" w:rsidRDefault="00A50E55" w:rsidP="00B52D9C">
      <w:pPr>
        <w:pStyle w:val="ListParagraph"/>
        <w:spacing w:line="480" w:lineRule="auto"/>
        <w:ind w:left="567" w:hanging="567"/>
      </w:pPr>
    </w:p>
    <w:p w14:paraId="6268E913" w14:textId="77777777" w:rsidR="00A50E55" w:rsidRDefault="00A50E55" w:rsidP="00B52D9C">
      <w:pPr>
        <w:pStyle w:val="ListParagraph"/>
        <w:numPr>
          <w:ilvl w:val="0"/>
          <w:numId w:val="1"/>
        </w:numPr>
        <w:spacing w:line="480" w:lineRule="auto"/>
        <w:ind w:left="567" w:hanging="567"/>
      </w:pPr>
      <w:r>
        <w:t>Palmer KT, Harris EC, Coggon D.  Carpal tunnel syndrome and its relation to occupation: a systematic literature review.  Occup Med 2007</w:t>
      </w:r>
      <w:proofErr w:type="gramStart"/>
      <w:r>
        <w:t>;57:57</w:t>
      </w:r>
      <w:proofErr w:type="gramEnd"/>
      <w:r>
        <w:t>-66.</w:t>
      </w:r>
    </w:p>
    <w:p w14:paraId="6DC26FDE" w14:textId="77777777" w:rsidR="00A50E55" w:rsidRDefault="00A50E55" w:rsidP="00B52D9C">
      <w:pPr>
        <w:pStyle w:val="ListParagraph"/>
        <w:spacing w:line="480" w:lineRule="auto"/>
        <w:ind w:left="567" w:hanging="567"/>
      </w:pPr>
    </w:p>
    <w:p w14:paraId="574A7C0D" w14:textId="77777777" w:rsidR="00A50E55" w:rsidRDefault="00A50E55" w:rsidP="00B52D9C">
      <w:pPr>
        <w:pStyle w:val="ListParagraph"/>
        <w:numPr>
          <w:ilvl w:val="0"/>
          <w:numId w:val="1"/>
        </w:numPr>
        <w:spacing w:line="480" w:lineRule="auto"/>
        <w:ind w:left="567" w:hanging="567"/>
      </w:pPr>
      <w:r>
        <w:t xml:space="preserve">Van Rijn RM, </w:t>
      </w:r>
      <w:proofErr w:type="spellStart"/>
      <w:r>
        <w:t>Huisstede</w:t>
      </w:r>
      <w:proofErr w:type="spellEnd"/>
      <w:r>
        <w:t xml:space="preserve"> BMA, </w:t>
      </w:r>
      <w:proofErr w:type="spellStart"/>
      <w:r>
        <w:t>Koes</w:t>
      </w:r>
      <w:proofErr w:type="spellEnd"/>
      <w:r>
        <w:t xml:space="preserve"> B, Burdorf A.  Associations between work-related factors and the carpal tunnel syndrome – a systematic review.  Scand J Work Environ Health 2009</w:t>
      </w:r>
      <w:proofErr w:type="gramStart"/>
      <w:r>
        <w:t>;35:19</w:t>
      </w:r>
      <w:proofErr w:type="gramEnd"/>
      <w:r>
        <w:t>-36.</w:t>
      </w:r>
    </w:p>
    <w:p w14:paraId="5F85E7D8" w14:textId="77777777" w:rsidR="00A50E55" w:rsidRDefault="00A50E55" w:rsidP="00B52D9C">
      <w:pPr>
        <w:pStyle w:val="ListParagraph"/>
        <w:spacing w:line="480" w:lineRule="auto"/>
        <w:ind w:left="567" w:hanging="567"/>
      </w:pPr>
    </w:p>
    <w:p w14:paraId="2F1C439A" w14:textId="77777777" w:rsidR="00C56210" w:rsidRDefault="00A50E55" w:rsidP="00B52D9C">
      <w:pPr>
        <w:pStyle w:val="ListParagraph"/>
        <w:numPr>
          <w:ilvl w:val="0"/>
          <w:numId w:val="1"/>
        </w:numPr>
        <w:spacing w:line="480" w:lineRule="auto"/>
        <w:ind w:left="567" w:hanging="567"/>
      </w:pPr>
      <w:r>
        <w:t xml:space="preserve">Ntani G, Palmer KT, Linaker C et al.  Symptoms, signs and nerve conduction velocities in patients with suspected carpal tunnel syndrome.  </w:t>
      </w:r>
      <w:r w:rsidRPr="00A50E55">
        <w:t>BMC Musculoskeletal Disorders 2013, 14:242</w:t>
      </w:r>
      <w:r w:rsidR="003A0729">
        <w:t>.</w:t>
      </w:r>
    </w:p>
    <w:p w14:paraId="6A5A47A1" w14:textId="77777777" w:rsidR="00C56210" w:rsidRDefault="00C56210" w:rsidP="00B52D9C">
      <w:pPr>
        <w:pStyle w:val="ListParagraph"/>
        <w:spacing w:line="480" w:lineRule="auto"/>
        <w:ind w:left="567" w:hanging="567"/>
      </w:pPr>
    </w:p>
    <w:p w14:paraId="247ADFC7" w14:textId="77777777" w:rsidR="00C56210" w:rsidRDefault="00C56210" w:rsidP="00B52D9C">
      <w:pPr>
        <w:pStyle w:val="ListParagraph"/>
        <w:numPr>
          <w:ilvl w:val="0"/>
          <w:numId w:val="1"/>
        </w:numPr>
        <w:spacing w:line="480" w:lineRule="auto"/>
        <w:ind w:left="567" w:hanging="567"/>
      </w:pPr>
      <w:r>
        <w:t>Health and Safety Executive</w:t>
      </w:r>
      <w:r w:rsidR="00691821">
        <w:t>.</w:t>
      </w:r>
      <w:r>
        <w:t xml:space="preserve"> </w:t>
      </w:r>
      <w:r w:rsidR="00691821" w:rsidRPr="008613AD">
        <w:rPr>
          <w:iCs/>
        </w:rPr>
        <w:t>Hand-arm vibration – The Control of Vibration at Work Regulations 2005</w:t>
      </w:r>
      <w:r w:rsidR="00691821">
        <w:rPr>
          <w:iCs/>
        </w:rPr>
        <w:t>.  HSE Books: Sudbury, 2005 (</w:t>
      </w:r>
      <w:r w:rsidR="00691821" w:rsidRPr="00691821">
        <w:rPr>
          <w:iCs/>
        </w:rPr>
        <w:t>ISBN 0-7176-6125-3)</w:t>
      </w:r>
      <w:r w:rsidR="00691821">
        <w:rPr>
          <w:iCs/>
        </w:rPr>
        <w:t>.</w:t>
      </w:r>
    </w:p>
    <w:p w14:paraId="18E7AB8A" w14:textId="77777777" w:rsidR="00C56210" w:rsidRDefault="00A50E55" w:rsidP="00B52D9C">
      <w:pPr>
        <w:spacing w:line="480" w:lineRule="auto"/>
        <w:ind w:left="567" w:hanging="567"/>
      </w:pPr>
      <w:r>
        <w:t>.</w:t>
      </w:r>
    </w:p>
    <w:p w14:paraId="0AAC833C" w14:textId="77777777" w:rsidR="00A50E55" w:rsidRDefault="00C56210" w:rsidP="00B52D9C">
      <w:pPr>
        <w:pStyle w:val="ListParagraph"/>
        <w:numPr>
          <w:ilvl w:val="0"/>
          <w:numId w:val="1"/>
        </w:numPr>
        <w:spacing w:line="480" w:lineRule="auto"/>
        <w:ind w:left="567" w:hanging="567"/>
      </w:pPr>
      <w:r>
        <w:t xml:space="preserve">Health and Safety Executive.  Hand-arm vibration exposure calculator.  </w:t>
      </w:r>
      <w:hyperlink r:id="rId12" w:history="1">
        <w:r w:rsidRPr="00886978">
          <w:rPr>
            <w:rStyle w:val="Hyperlink"/>
          </w:rPr>
          <w:t>http://www.hse.gov.uk/vibration/hav/vibrationcalc.htm</w:t>
        </w:r>
      </w:hyperlink>
    </w:p>
    <w:p w14:paraId="17334DD2" w14:textId="77777777" w:rsidR="001A00D5" w:rsidRDefault="001A00D5" w:rsidP="00B52D9C">
      <w:pPr>
        <w:pStyle w:val="ListParagraph"/>
        <w:spacing w:line="480" w:lineRule="auto"/>
        <w:ind w:left="567" w:hanging="567"/>
      </w:pPr>
    </w:p>
    <w:p w14:paraId="263D2D89" w14:textId="77777777" w:rsidR="00C56210" w:rsidRDefault="001A00D5" w:rsidP="00B52D9C">
      <w:pPr>
        <w:pStyle w:val="ListParagraph"/>
        <w:numPr>
          <w:ilvl w:val="0"/>
          <w:numId w:val="1"/>
        </w:numPr>
        <w:spacing w:line="480" w:lineRule="auto"/>
        <w:ind w:left="567" w:hanging="567"/>
      </w:pPr>
      <w:r>
        <w:t xml:space="preserve">Burke </w:t>
      </w:r>
      <w:r w:rsidR="00994C3C">
        <w:t>FD.  Carpal tunnel syndrome: reconciling “demand management” with clinical need.  J Hand Surg 200</w:t>
      </w:r>
      <w:proofErr w:type="gramStart"/>
      <w:r w:rsidR="00994C3C">
        <w:t>;25B:121</w:t>
      </w:r>
      <w:proofErr w:type="gramEnd"/>
      <w:r w:rsidR="00994C3C">
        <w:t>-7.</w:t>
      </w:r>
    </w:p>
    <w:p w14:paraId="140895BF" w14:textId="77777777" w:rsidR="00994C3C" w:rsidRDefault="00994C3C" w:rsidP="00B52D9C">
      <w:pPr>
        <w:pStyle w:val="ListParagraph"/>
        <w:spacing w:line="480" w:lineRule="auto"/>
        <w:ind w:left="567" w:hanging="567"/>
      </w:pPr>
    </w:p>
    <w:p w14:paraId="286583F9" w14:textId="77777777" w:rsidR="002424AF" w:rsidRPr="002424AF" w:rsidRDefault="002424AF" w:rsidP="00B52D9C">
      <w:pPr>
        <w:pStyle w:val="ListParagraph"/>
        <w:numPr>
          <w:ilvl w:val="0"/>
          <w:numId w:val="1"/>
        </w:numPr>
        <w:spacing w:line="480" w:lineRule="auto"/>
        <w:ind w:left="567" w:hanging="567"/>
      </w:pPr>
      <w:r w:rsidRPr="00925D4D">
        <w:rPr>
          <w:bCs/>
        </w:rPr>
        <w:t>Coggon D</w:t>
      </w:r>
      <w:r w:rsidRPr="005D464D">
        <w:rPr>
          <w:bCs/>
        </w:rPr>
        <w:t xml:space="preserve">, Ntani G, Harris EC, Linaker C, Van der Star R, Cooper C and Palmer KT. Differences in risk factors for </w:t>
      </w:r>
      <w:proofErr w:type="spellStart"/>
      <w:r w:rsidRPr="005D464D">
        <w:rPr>
          <w:bCs/>
        </w:rPr>
        <w:t>neurophysiologically</w:t>
      </w:r>
      <w:proofErr w:type="spellEnd"/>
      <w:r w:rsidRPr="005D464D">
        <w:rPr>
          <w:bCs/>
        </w:rPr>
        <w:t xml:space="preserve"> confirmed Carpal Tunnel Syndrome </w:t>
      </w:r>
      <w:r w:rsidRPr="005D464D">
        <w:rPr>
          <w:bCs/>
        </w:rPr>
        <w:lastRenderedPageBreak/>
        <w:t>and illness with similar symptoms but normal median nerve function: A case-control study</w:t>
      </w:r>
      <w:r>
        <w:rPr>
          <w:bCs/>
        </w:rPr>
        <w:t xml:space="preserve"> </w:t>
      </w:r>
      <w:r w:rsidRPr="002424AF">
        <w:rPr>
          <w:bCs/>
        </w:rPr>
        <w:t>BMC Musculoskeletal Disorders</w:t>
      </w:r>
      <w:r w:rsidRPr="005D464D">
        <w:rPr>
          <w:bCs/>
          <w:i/>
        </w:rPr>
        <w:t xml:space="preserve"> </w:t>
      </w:r>
      <w:r w:rsidRPr="005D464D">
        <w:rPr>
          <w:bCs/>
        </w:rPr>
        <w:t>2013;14:240</w:t>
      </w:r>
      <w:r>
        <w:rPr>
          <w:bCs/>
        </w:rPr>
        <w:t>.</w:t>
      </w:r>
    </w:p>
    <w:p w14:paraId="5984BB27" w14:textId="77777777" w:rsidR="002424AF" w:rsidRPr="002424AF" w:rsidRDefault="002424AF" w:rsidP="00B52D9C">
      <w:pPr>
        <w:pStyle w:val="ListParagraph"/>
        <w:spacing w:line="480" w:lineRule="auto"/>
        <w:ind w:left="567" w:hanging="567"/>
        <w:rPr>
          <w:bCs/>
        </w:rPr>
      </w:pPr>
    </w:p>
    <w:p w14:paraId="540C9CE3" w14:textId="77777777" w:rsidR="00994C3C" w:rsidRPr="003A0729" w:rsidRDefault="002424AF" w:rsidP="00B52D9C">
      <w:pPr>
        <w:pStyle w:val="ListParagraph"/>
        <w:numPr>
          <w:ilvl w:val="0"/>
          <w:numId w:val="1"/>
        </w:numPr>
        <w:spacing w:line="480" w:lineRule="auto"/>
        <w:ind w:left="567" w:hanging="567"/>
      </w:pPr>
      <w:r w:rsidRPr="00925D4D">
        <w:rPr>
          <w:bCs/>
        </w:rPr>
        <w:t>Coggon D</w:t>
      </w:r>
      <w:r w:rsidRPr="00C058CC">
        <w:rPr>
          <w:bCs/>
        </w:rPr>
        <w:t xml:space="preserve">, Ntani G, Harris EC, Linaker C, Van der Star R, Cooper C and Palmer KT.  Impact of Carpal Tunnel surgery according to pre-operative abnormality of sensory conduction in median nerve: A longitudinal study.  </w:t>
      </w:r>
      <w:r w:rsidRPr="002424AF">
        <w:rPr>
          <w:bCs/>
        </w:rPr>
        <w:t xml:space="preserve">BMC Musculoskeletal </w:t>
      </w:r>
      <w:proofErr w:type="gramStart"/>
      <w:r w:rsidRPr="002424AF">
        <w:rPr>
          <w:bCs/>
        </w:rPr>
        <w:t>Disorders</w:t>
      </w:r>
      <w:r>
        <w:rPr>
          <w:bCs/>
        </w:rPr>
        <w:t xml:space="preserve">  2013</w:t>
      </w:r>
      <w:proofErr w:type="gramEnd"/>
      <w:r>
        <w:rPr>
          <w:bCs/>
        </w:rPr>
        <w:t>;14:241</w:t>
      </w:r>
      <w:r w:rsidR="003A0729">
        <w:rPr>
          <w:bCs/>
        </w:rPr>
        <w:t>.</w:t>
      </w:r>
    </w:p>
    <w:p w14:paraId="02EB8284" w14:textId="77777777" w:rsidR="003A0729" w:rsidRDefault="003A0729" w:rsidP="00B52D9C">
      <w:pPr>
        <w:pStyle w:val="ListParagraph"/>
        <w:spacing w:line="480" w:lineRule="auto"/>
        <w:ind w:left="567" w:hanging="567"/>
      </w:pPr>
    </w:p>
    <w:p w14:paraId="1FFAB176" w14:textId="77777777" w:rsidR="003A0729" w:rsidRDefault="003A0729" w:rsidP="00B52D9C">
      <w:pPr>
        <w:pStyle w:val="ListParagraph"/>
        <w:numPr>
          <w:ilvl w:val="0"/>
          <w:numId w:val="1"/>
        </w:numPr>
        <w:spacing w:line="480" w:lineRule="auto"/>
        <w:ind w:left="567" w:hanging="567"/>
        <w:jc w:val="both"/>
        <w:rPr>
          <w:rFonts w:eastAsia="Times New Roman" w:cs="Helvetica"/>
          <w:bCs/>
          <w:color w:val="333333"/>
          <w:lang w:eastAsia="en-GB"/>
        </w:rPr>
      </w:pPr>
      <w:proofErr w:type="spellStart"/>
      <w:r w:rsidRPr="003A0729">
        <w:rPr>
          <w:rFonts w:eastAsia="Times New Roman" w:cs="Helvetica"/>
          <w:bCs/>
          <w:color w:val="333333"/>
          <w:lang w:eastAsia="en-GB"/>
        </w:rPr>
        <w:t>Pelmear</w:t>
      </w:r>
      <w:proofErr w:type="spellEnd"/>
      <w:r w:rsidRPr="003A0729">
        <w:rPr>
          <w:rFonts w:eastAsia="Times New Roman" w:cs="Helvetica"/>
          <w:bCs/>
          <w:color w:val="333333"/>
          <w:lang w:eastAsia="en-GB"/>
        </w:rPr>
        <w:t xml:space="preserve"> PL, Taylor W.  Carpal tunnel syndrome and hand-arm vibration syndrome: a diagnostic enigma. Arch </w:t>
      </w:r>
      <w:proofErr w:type="spellStart"/>
      <w:r w:rsidRPr="003A0729">
        <w:rPr>
          <w:rFonts w:eastAsia="Times New Roman" w:cs="Helvetica"/>
          <w:bCs/>
          <w:color w:val="333333"/>
          <w:lang w:eastAsia="en-GB"/>
        </w:rPr>
        <w:t>Neurol</w:t>
      </w:r>
      <w:proofErr w:type="spellEnd"/>
      <w:r w:rsidRPr="003A0729">
        <w:rPr>
          <w:rFonts w:eastAsia="Times New Roman" w:cs="Helvetica"/>
          <w:bCs/>
          <w:color w:val="333333"/>
          <w:lang w:eastAsia="en-GB"/>
        </w:rPr>
        <w:t xml:space="preserve"> 1994</w:t>
      </w:r>
      <w:proofErr w:type="gramStart"/>
      <w:r w:rsidRPr="003A0729">
        <w:rPr>
          <w:rFonts w:eastAsia="Times New Roman" w:cs="Helvetica"/>
          <w:bCs/>
          <w:color w:val="333333"/>
          <w:lang w:eastAsia="en-GB"/>
        </w:rPr>
        <w:t>;50:416</w:t>
      </w:r>
      <w:proofErr w:type="gramEnd"/>
      <w:r w:rsidRPr="003A0729">
        <w:rPr>
          <w:rFonts w:eastAsia="Times New Roman" w:cs="Helvetica"/>
          <w:bCs/>
          <w:color w:val="333333"/>
          <w:lang w:eastAsia="en-GB"/>
        </w:rPr>
        <w:t>-420</w:t>
      </w:r>
      <w:r>
        <w:rPr>
          <w:rFonts w:eastAsia="Times New Roman" w:cs="Helvetica"/>
          <w:bCs/>
          <w:color w:val="333333"/>
          <w:lang w:eastAsia="en-GB"/>
        </w:rPr>
        <w:t>.</w:t>
      </w:r>
    </w:p>
    <w:p w14:paraId="6F76B57D" w14:textId="77777777" w:rsidR="003A0729" w:rsidRPr="00D4117C" w:rsidRDefault="003A0729" w:rsidP="00B52D9C">
      <w:pPr>
        <w:pStyle w:val="ListParagraph"/>
        <w:spacing w:line="480" w:lineRule="auto"/>
        <w:ind w:left="567" w:hanging="567"/>
        <w:rPr>
          <w:rFonts w:eastAsia="Times New Roman" w:cs="Helvetica"/>
          <w:bCs/>
          <w:color w:val="333333"/>
          <w:lang w:eastAsia="en-GB"/>
        </w:rPr>
      </w:pPr>
    </w:p>
    <w:p w14:paraId="381D610A" w14:textId="77777777" w:rsidR="003A0729" w:rsidRPr="00D4117C" w:rsidRDefault="00D4117C" w:rsidP="00B52D9C">
      <w:pPr>
        <w:pStyle w:val="ListParagraph"/>
        <w:numPr>
          <w:ilvl w:val="0"/>
          <w:numId w:val="1"/>
        </w:numPr>
        <w:spacing w:line="480" w:lineRule="auto"/>
        <w:ind w:left="567" w:hanging="567"/>
        <w:jc w:val="both"/>
        <w:rPr>
          <w:rFonts w:eastAsia="Times New Roman" w:cs="Helvetica"/>
          <w:bCs/>
          <w:color w:val="333333"/>
          <w:lang w:eastAsia="en-GB"/>
        </w:rPr>
      </w:pPr>
      <w:proofErr w:type="spellStart"/>
      <w:r>
        <w:t>Cherniack</w:t>
      </w:r>
      <w:proofErr w:type="spellEnd"/>
      <w:r>
        <w:t xml:space="preserve"> M, </w:t>
      </w:r>
      <w:proofErr w:type="spellStart"/>
      <w:r>
        <w:t>Brammer</w:t>
      </w:r>
      <w:proofErr w:type="spellEnd"/>
      <w:r>
        <w:t xml:space="preserve"> AJ, </w:t>
      </w:r>
      <w:proofErr w:type="spellStart"/>
      <w:r>
        <w:t>Lundstrom</w:t>
      </w:r>
      <w:proofErr w:type="spellEnd"/>
      <w:r>
        <w:t xml:space="preserve"> R, Morse TF, Neely G, Nilsson T et al.  Syndromes from segmental vibration and nerve entrapment: observations on case definitions for carpal tunnel syndrome.  </w:t>
      </w:r>
      <w:proofErr w:type="spellStart"/>
      <w:r>
        <w:t>Int</w:t>
      </w:r>
      <w:proofErr w:type="spellEnd"/>
      <w:r>
        <w:t xml:space="preserve"> Arch </w:t>
      </w:r>
      <w:proofErr w:type="spellStart"/>
      <w:r>
        <w:t>Occup</w:t>
      </w:r>
      <w:proofErr w:type="spellEnd"/>
      <w:r>
        <w:t xml:space="preserve"> Environ Health 2008</w:t>
      </w:r>
      <w:proofErr w:type="gramStart"/>
      <w:r>
        <w:t>;81:661</w:t>
      </w:r>
      <w:proofErr w:type="gramEnd"/>
      <w:r>
        <w:t>-9.</w:t>
      </w:r>
    </w:p>
    <w:p w14:paraId="5A20945F" w14:textId="77777777" w:rsidR="003A0729" w:rsidRPr="00D4117C" w:rsidRDefault="003A0729" w:rsidP="00B52D9C">
      <w:pPr>
        <w:pStyle w:val="ListParagraph"/>
        <w:spacing w:line="480" w:lineRule="auto"/>
        <w:ind w:left="567" w:hanging="567"/>
        <w:rPr>
          <w:rFonts w:eastAsia="Times New Roman" w:cs="Helvetica"/>
          <w:bCs/>
          <w:color w:val="333333"/>
          <w:lang w:eastAsia="en-GB"/>
        </w:rPr>
      </w:pPr>
    </w:p>
    <w:p w14:paraId="2EE8F540" w14:textId="77777777" w:rsidR="003A0729" w:rsidRPr="003A0729" w:rsidRDefault="003A0729" w:rsidP="00B52D9C">
      <w:pPr>
        <w:pStyle w:val="ListParagraph"/>
        <w:numPr>
          <w:ilvl w:val="0"/>
          <w:numId w:val="1"/>
        </w:numPr>
        <w:spacing w:line="480" w:lineRule="auto"/>
        <w:ind w:left="567" w:hanging="567"/>
        <w:jc w:val="both"/>
        <w:rPr>
          <w:rFonts w:eastAsia="Times New Roman" w:cs="Helvetica"/>
          <w:bCs/>
          <w:color w:val="333333"/>
          <w:lang w:eastAsia="en-GB"/>
        </w:rPr>
      </w:pPr>
      <w:r w:rsidRPr="003A0729">
        <w:rPr>
          <w:rFonts w:eastAsia="Times New Roman" w:cs="Helvetica"/>
          <w:bCs/>
          <w:color w:val="333333"/>
          <w:lang w:eastAsia="en-GB"/>
        </w:rPr>
        <w:t xml:space="preserve">Stromberg T, </w:t>
      </w:r>
      <w:proofErr w:type="spellStart"/>
      <w:r w:rsidRPr="003A0729">
        <w:rPr>
          <w:rFonts w:eastAsia="Times New Roman" w:cs="Helvetica"/>
          <w:bCs/>
          <w:color w:val="333333"/>
          <w:lang w:eastAsia="en-GB"/>
        </w:rPr>
        <w:t>Dahlin</w:t>
      </w:r>
      <w:proofErr w:type="spellEnd"/>
      <w:r w:rsidRPr="003A0729">
        <w:rPr>
          <w:rFonts w:eastAsia="Times New Roman" w:cs="Helvetica"/>
          <w:bCs/>
          <w:color w:val="333333"/>
          <w:lang w:eastAsia="en-GB"/>
        </w:rPr>
        <w:t xml:space="preserve"> LB, </w:t>
      </w:r>
      <w:proofErr w:type="spellStart"/>
      <w:r w:rsidRPr="003A0729">
        <w:rPr>
          <w:rFonts w:eastAsia="Times New Roman" w:cs="Helvetica"/>
          <w:bCs/>
          <w:color w:val="333333"/>
          <w:lang w:eastAsia="en-GB"/>
        </w:rPr>
        <w:t>Brun</w:t>
      </w:r>
      <w:proofErr w:type="spellEnd"/>
      <w:r w:rsidRPr="003A0729">
        <w:rPr>
          <w:rFonts w:eastAsia="Times New Roman" w:cs="Helvetica"/>
          <w:bCs/>
          <w:color w:val="333333"/>
          <w:lang w:eastAsia="en-GB"/>
        </w:rPr>
        <w:t xml:space="preserve"> A, et al. Structural nerve changes at wrist level in workers exposed to vibration. Occup Environ Med 1997; 54:307-11</w:t>
      </w:r>
      <w:r>
        <w:rPr>
          <w:rFonts w:eastAsia="Times New Roman" w:cs="Helvetica"/>
          <w:bCs/>
          <w:color w:val="333333"/>
          <w:lang w:eastAsia="en-GB"/>
        </w:rPr>
        <w:t>.</w:t>
      </w:r>
    </w:p>
    <w:p w14:paraId="3A1571F1" w14:textId="77777777" w:rsidR="003A0729" w:rsidRPr="003A0729" w:rsidRDefault="003A0729" w:rsidP="00B52D9C">
      <w:pPr>
        <w:pStyle w:val="ListParagraph"/>
        <w:spacing w:line="480" w:lineRule="auto"/>
        <w:ind w:left="567" w:hanging="567"/>
        <w:jc w:val="both"/>
        <w:rPr>
          <w:rFonts w:eastAsia="Times New Roman" w:cs="Helvetica"/>
          <w:bCs/>
          <w:color w:val="333333"/>
          <w:lang w:eastAsia="en-GB"/>
        </w:rPr>
      </w:pPr>
    </w:p>
    <w:p w14:paraId="63C0EE49" w14:textId="77777777" w:rsidR="003A0729" w:rsidRDefault="003A0729" w:rsidP="00B52D9C">
      <w:pPr>
        <w:pStyle w:val="ListParagraph"/>
        <w:spacing w:line="480" w:lineRule="auto"/>
        <w:ind w:left="567" w:hanging="567"/>
      </w:pPr>
    </w:p>
    <w:p w14:paraId="7B824826" w14:textId="77777777" w:rsidR="00C56210" w:rsidRDefault="00C56210" w:rsidP="00B52D9C">
      <w:pPr>
        <w:pStyle w:val="ListParagraph"/>
        <w:spacing w:line="480" w:lineRule="auto"/>
        <w:ind w:left="0"/>
      </w:pPr>
    </w:p>
    <w:p w14:paraId="5016CDA5" w14:textId="77777777" w:rsidR="003979C2" w:rsidRDefault="003979C2" w:rsidP="003979C2">
      <w:pPr>
        <w:spacing w:after="200"/>
        <w:sectPr w:rsidR="003979C2">
          <w:pgSz w:w="11906" w:h="16838"/>
          <w:pgMar w:top="1440" w:right="1440" w:bottom="1440" w:left="1440" w:header="708" w:footer="708" w:gutter="0"/>
          <w:cols w:space="708"/>
          <w:docGrid w:linePitch="360"/>
        </w:sectPr>
      </w:pPr>
    </w:p>
    <w:p w14:paraId="15DC05E4" w14:textId="77777777" w:rsidR="003979C2" w:rsidRDefault="003979C2" w:rsidP="003979C2">
      <w:pPr>
        <w:spacing w:after="200"/>
      </w:pPr>
    </w:p>
    <w:p w14:paraId="34DAB23A" w14:textId="77777777" w:rsidR="003979C2" w:rsidRDefault="003979C2" w:rsidP="003979C2">
      <w:pPr>
        <w:pStyle w:val="Heading4"/>
        <w:ind w:left="1440" w:hanging="1440"/>
      </w:pPr>
      <w:r w:rsidRPr="00225390">
        <w:t xml:space="preserve">Table </w:t>
      </w:r>
      <w:r>
        <w:t>1</w:t>
      </w:r>
      <w:r w:rsidRPr="00225390">
        <w:t xml:space="preserve">  </w:t>
      </w:r>
      <w:r w:rsidRPr="00225390">
        <w:tab/>
        <w:t>Association</w:t>
      </w:r>
      <w:r>
        <w:t>s</w:t>
      </w:r>
      <w:r w:rsidRPr="00225390">
        <w:t xml:space="preserve"> of carpal tunnel syndrome with </w:t>
      </w:r>
      <w:r>
        <w:t>exposure to hand-transmitted vibration and past history of hand-arm vibration syndrome</w:t>
      </w:r>
    </w:p>
    <w:p w14:paraId="44F42FF7" w14:textId="77777777" w:rsidR="003979C2" w:rsidRPr="00225390" w:rsidRDefault="003979C2" w:rsidP="003979C2">
      <w:pPr>
        <w:pStyle w:val="Heading4"/>
        <w:ind w:left="720" w:hanging="720"/>
      </w:pPr>
      <w:r>
        <w:t xml:space="preserve"> </w:t>
      </w:r>
    </w:p>
    <w:tbl>
      <w:tblPr>
        <w:tblW w:w="9923" w:type="dxa"/>
        <w:tblInd w:w="-459" w:type="dxa"/>
        <w:tblLook w:val="04A0" w:firstRow="1" w:lastRow="0" w:firstColumn="1" w:lastColumn="0" w:noHBand="0" w:noVBand="1"/>
      </w:tblPr>
      <w:tblGrid>
        <w:gridCol w:w="2127"/>
        <w:gridCol w:w="283"/>
        <w:gridCol w:w="1276"/>
        <w:gridCol w:w="1417"/>
        <w:gridCol w:w="284"/>
        <w:gridCol w:w="850"/>
        <w:gridCol w:w="1276"/>
        <w:gridCol w:w="335"/>
        <w:gridCol w:w="799"/>
        <w:gridCol w:w="1276"/>
      </w:tblGrid>
      <w:tr w:rsidR="003979C2" w:rsidRPr="00972396" w14:paraId="08E89476" w14:textId="77777777" w:rsidTr="00B52D9C">
        <w:tc>
          <w:tcPr>
            <w:tcW w:w="2127" w:type="dxa"/>
            <w:tcBorders>
              <w:top w:val="single" w:sz="12" w:space="0" w:color="auto"/>
              <w:bottom w:val="single" w:sz="12" w:space="0" w:color="auto"/>
            </w:tcBorders>
            <w:shd w:val="clear" w:color="auto" w:fill="auto"/>
          </w:tcPr>
          <w:p w14:paraId="66E0E8DA" w14:textId="77777777" w:rsidR="003979C2" w:rsidRPr="00972396" w:rsidRDefault="003979C2" w:rsidP="005836D2">
            <w:pPr>
              <w:rPr>
                <w:b/>
                <w:sz w:val="20"/>
                <w:vertAlign w:val="superscript"/>
              </w:rPr>
            </w:pPr>
            <w:r w:rsidRPr="00972396">
              <w:rPr>
                <w:b/>
                <w:sz w:val="20"/>
              </w:rPr>
              <w:t xml:space="preserve">Risk </w:t>
            </w:r>
            <w:proofErr w:type="spellStart"/>
            <w:r w:rsidRPr="00972396">
              <w:rPr>
                <w:b/>
                <w:sz w:val="20"/>
              </w:rPr>
              <w:t>factor</w:t>
            </w:r>
            <w:r w:rsidRPr="00972396">
              <w:rPr>
                <w:b/>
                <w:sz w:val="20"/>
                <w:vertAlign w:val="superscript"/>
              </w:rPr>
              <w:t>a</w:t>
            </w:r>
            <w:proofErr w:type="spellEnd"/>
          </w:p>
        </w:tc>
        <w:tc>
          <w:tcPr>
            <w:tcW w:w="283" w:type="dxa"/>
            <w:tcBorders>
              <w:top w:val="single" w:sz="12" w:space="0" w:color="auto"/>
              <w:bottom w:val="single" w:sz="12" w:space="0" w:color="auto"/>
            </w:tcBorders>
            <w:shd w:val="clear" w:color="auto" w:fill="auto"/>
          </w:tcPr>
          <w:p w14:paraId="5D51D008" w14:textId="77777777" w:rsidR="003979C2" w:rsidRPr="00972396" w:rsidRDefault="003979C2" w:rsidP="005836D2">
            <w:pPr>
              <w:rPr>
                <w:b/>
                <w:sz w:val="20"/>
              </w:rPr>
            </w:pPr>
          </w:p>
        </w:tc>
        <w:tc>
          <w:tcPr>
            <w:tcW w:w="1276" w:type="dxa"/>
            <w:tcBorders>
              <w:top w:val="single" w:sz="12" w:space="0" w:color="auto"/>
              <w:bottom w:val="single" w:sz="12" w:space="0" w:color="auto"/>
            </w:tcBorders>
            <w:shd w:val="clear" w:color="auto" w:fill="auto"/>
          </w:tcPr>
          <w:p w14:paraId="26A69EC5" w14:textId="77777777" w:rsidR="003979C2" w:rsidRPr="00972396" w:rsidRDefault="003979C2" w:rsidP="005836D2">
            <w:pPr>
              <w:jc w:val="center"/>
              <w:rPr>
                <w:b/>
                <w:sz w:val="20"/>
              </w:rPr>
            </w:pPr>
            <w:r w:rsidRPr="00972396">
              <w:rPr>
                <w:b/>
                <w:sz w:val="20"/>
              </w:rPr>
              <w:t>Number of cases exposed</w:t>
            </w:r>
          </w:p>
        </w:tc>
        <w:tc>
          <w:tcPr>
            <w:tcW w:w="1417" w:type="dxa"/>
            <w:tcBorders>
              <w:top w:val="single" w:sz="12" w:space="0" w:color="auto"/>
              <w:bottom w:val="single" w:sz="12" w:space="0" w:color="auto"/>
            </w:tcBorders>
            <w:shd w:val="clear" w:color="auto" w:fill="auto"/>
          </w:tcPr>
          <w:p w14:paraId="6125B991" w14:textId="77777777" w:rsidR="003979C2" w:rsidRPr="00972396" w:rsidRDefault="003979C2" w:rsidP="005836D2">
            <w:pPr>
              <w:jc w:val="center"/>
              <w:rPr>
                <w:b/>
                <w:sz w:val="20"/>
              </w:rPr>
            </w:pPr>
            <w:r w:rsidRPr="00972396">
              <w:rPr>
                <w:b/>
                <w:sz w:val="20"/>
              </w:rPr>
              <w:t>Number of controls exposed</w:t>
            </w:r>
          </w:p>
        </w:tc>
        <w:tc>
          <w:tcPr>
            <w:tcW w:w="284" w:type="dxa"/>
            <w:tcBorders>
              <w:top w:val="single" w:sz="12" w:space="0" w:color="auto"/>
              <w:bottom w:val="single" w:sz="12" w:space="0" w:color="auto"/>
            </w:tcBorders>
            <w:shd w:val="clear" w:color="auto" w:fill="auto"/>
          </w:tcPr>
          <w:p w14:paraId="7F4CCCE2" w14:textId="77777777" w:rsidR="003979C2" w:rsidRPr="00972396" w:rsidRDefault="003979C2" w:rsidP="005836D2">
            <w:pPr>
              <w:rPr>
                <w:sz w:val="20"/>
              </w:rPr>
            </w:pPr>
          </w:p>
        </w:tc>
        <w:tc>
          <w:tcPr>
            <w:tcW w:w="850" w:type="dxa"/>
            <w:tcBorders>
              <w:top w:val="single" w:sz="12" w:space="0" w:color="auto"/>
              <w:bottom w:val="single" w:sz="12" w:space="0" w:color="auto"/>
            </w:tcBorders>
            <w:shd w:val="clear" w:color="auto" w:fill="auto"/>
          </w:tcPr>
          <w:p w14:paraId="405CF8CE" w14:textId="77777777" w:rsidR="003979C2" w:rsidRPr="00972396" w:rsidRDefault="003979C2">
            <w:pPr>
              <w:jc w:val="right"/>
              <w:rPr>
                <w:b/>
                <w:sz w:val="20"/>
                <w:vertAlign w:val="superscript"/>
              </w:rPr>
            </w:pPr>
            <w:r w:rsidRPr="00972396">
              <w:rPr>
                <w:b/>
                <w:sz w:val="20"/>
              </w:rPr>
              <w:t>OR</w:t>
            </w:r>
          </w:p>
        </w:tc>
        <w:tc>
          <w:tcPr>
            <w:tcW w:w="1276" w:type="dxa"/>
            <w:tcBorders>
              <w:top w:val="single" w:sz="12" w:space="0" w:color="auto"/>
              <w:bottom w:val="single" w:sz="12" w:space="0" w:color="auto"/>
            </w:tcBorders>
            <w:shd w:val="clear" w:color="auto" w:fill="auto"/>
          </w:tcPr>
          <w:p w14:paraId="49C1D6AB" w14:textId="77777777" w:rsidR="003979C2" w:rsidRPr="00972396" w:rsidRDefault="003979C2">
            <w:pPr>
              <w:rPr>
                <w:b/>
                <w:sz w:val="20"/>
                <w:vertAlign w:val="superscript"/>
              </w:rPr>
            </w:pPr>
            <w:r w:rsidRPr="00972396">
              <w:rPr>
                <w:b/>
                <w:sz w:val="20"/>
              </w:rPr>
              <w:t>(95%CI)</w:t>
            </w:r>
            <w:r w:rsidRPr="00972396">
              <w:rPr>
                <w:b/>
                <w:sz w:val="20"/>
                <w:vertAlign w:val="superscript"/>
              </w:rPr>
              <w:t>b</w:t>
            </w:r>
          </w:p>
        </w:tc>
        <w:tc>
          <w:tcPr>
            <w:tcW w:w="335" w:type="dxa"/>
            <w:tcBorders>
              <w:top w:val="single" w:sz="12" w:space="0" w:color="auto"/>
              <w:bottom w:val="single" w:sz="12" w:space="0" w:color="auto"/>
            </w:tcBorders>
            <w:shd w:val="clear" w:color="auto" w:fill="auto"/>
          </w:tcPr>
          <w:p w14:paraId="2C55442D" w14:textId="77777777" w:rsidR="003979C2" w:rsidRPr="00972396" w:rsidRDefault="003979C2">
            <w:pPr>
              <w:rPr>
                <w:sz w:val="20"/>
              </w:rPr>
            </w:pPr>
          </w:p>
        </w:tc>
        <w:tc>
          <w:tcPr>
            <w:tcW w:w="799" w:type="dxa"/>
            <w:tcBorders>
              <w:top w:val="single" w:sz="12" w:space="0" w:color="auto"/>
              <w:bottom w:val="single" w:sz="12" w:space="0" w:color="auto"/>
            </w:tcBorders>
            <w:shd w:val="clear" w:color="auto" w:fill="auto"/>
          </w:tcPr>
          <w:p w14:paraId="5E2534F5" w14:textId="77777777" w:rsidR="003979C2" w:rsidRPr="00972396" w:rsidRDefault="003979C2">
            <w:pPr>
              <w:jc w:val="right"/>
              <w:rPr>
                <w:b/>
                <w:sz w:val="20"/>
                <w:vertAlign w:val="superscript"/>
              </w:rPr>
            </w:pPr>
            <w:r w:rsidRPr="00972396">
              <w:rPr>
                <w:b/>
                <w:sz w:val="20"/>
              </w:rPr>
              <w:t>OR</w:t>
            </w:r>
          </w:p>
        </w:tc>
        <w:tc>
          <w:tcPr>
            <w:tcW w:w="1276" w:type="dxa"/>
            <w:tcBorders>
              <w:top w:val="single" w:sz="12" w:space="0" w:color="auto"/>
              <w:bottom w:val="single" w:sz="12" w:space="0" w:color="auto"/>
            </w:tcBorders>
            <w:shd w:val="clear" w:color="auto" w:fill="auto"/>
          </w:tcPr>
          <w:p w14:paraId="546D8733" w14:textId="77777777" w:rsidR="003979C2" w:rsidRPr="00972396" w:rsidRDefault="003979C2">
            <w:pPr>
              <w:rPr>
                <w:b/>
                <w:sz w:val="20"/>
                <w:vertAlign w:val="superscript"/>
              </w:rPr>
            </w:pPr>
            <w:r w:rsidRPr="00972396">
              <w:rPr>
                <w:b/>
                <w:sz w:val="20"/>
              </w:rPr>
              <w:t>(95%CI)</w:t>
            </w:r>
            <w:r w:rsidRPr="00972396">
              <w:rPr>
                <w:b/>
                <w:sz w:val="20"/>
                <w:vertAlign w:val="superscript"/>
              </w:rPr>
              <w:t>c</w:t>
            </w:r>
          </w:p>
        </w:tc>
      </w:tr>
      <w:tr w:rsidR="003979C2" w:rsidRPr="00972396" w14:paraId="1E20FBDC" w14:textId="77777777" w:rsidTr="00B52D9C">
        <w:tc>
          <w:tcPr>
            <w:tcW w:w="2127" w:type="dxa"/>
            <w:tcBorders>
              <w:top w:val="single" w:sz="12" w:space="0" w:color="auto"/>
            </w:tcBorders>
            <w:shd w:val="clear" w:color="auto" w:fill="auto"/>
          </w:tcPr>
          <w:p w14:paraId="5D9419AE" w14:textId="77777777" w:rsidR="003979C2" w:rsidRPr="00972396" w:rsidRDefault="003979C2" w:rsidP="005836D2">
            <w:pPr>
              <w:rPr>
                <w:sz w:val="20"/>
              </w:rPr>
            </w:pPr>
          </w:p>
        </w:tc>
        <w:tc>
          <w:tcPr>
            <w:tcW w:w="283" w:type="dxa"/>
            <w:tcBorders>
              <w:top w:val="single" w:sz="12" w:space="0" w:color="auto"/>
            </w:tcBorders>
            <w:shd w:val="clear" w:color="auto" w:fill="auto"/>
          </w:tcPr>
          <w:p w14:paraId="15AA0580" w14:textId="77777777" w:rsidR="003979C2" w:rsidRPr="00972396" w:rsidRDefault="003979C2" w:rsidP="005836D2">
            <w:pPr>
              <w:rPr>
                <w:sz w:val="20"/>
              </w:rPr>
            </w:pPr>
          </w:p>
        </w:tc>
        <w:tc>
          <w:tcPr>
            <w:tcW w:w="1276" w:type="dxa"/>
            <w:tcBorders>
              <w:top w:val="single" w:sz="12" w:space="0" w:color="auto"/>
            </w:tcBorders>
            <w:shd w:val="clear" w:color="auto" w:fill="auto"/>
          </w:tcPr>
          <w:p w14:paraId="36A1B872" w14:textId="77777777" w:rsidR="003979C2" w:rsidRPr="00972396" w:rsidRDefault="003979C2" w:rsidP="005836D2">
            <w:pPr>
              <w:jc w:val="center"/>
              <w:rPr>
                <w:sz w:val="20"/>
              </w:rPr>
            </w:pPr>
          </w:p>
        </w:tc>
        <w:tc>
          <w:tcPr>
            <w:tcW w:w="1417" w:type="dxa"/>
            <w:tcBorders>
              <w:top w:val="single" w:sz="12" w:space="0" w:color="auto"/>
            </w:tcBorders>
            <w:shd w:val="clear" w:color="auto" w:fill="auto"/>
          </w:tcPr>
          <w:p w14:paraId="752DC90C" w14:textId="77777777" w:rsidR="003979C2" w:rsidRPr="00972396" w:rsidRDefault="003979C2" w:rsidP="005836D2">
            <w:pPr>
              <w:jc w:val="center"/>
              <w:rPr>
                <w:sz w:val="20"/>
              </w:rPr>
            </w:pPr>
          </w:p>
        </w:tc>
        <w:tc>
          <w:tcPr>
            <w:tcW w:w="284" w:type="dxa"/>
            <w:tcBorders>
              <w:top w:val="single" w:sz="12" w:space="0" w:color="auto"/>
            </w:tcBorders>
            <w:shd w:val="clear" w:color="auto" w:fill="auto"/>
          </w:tcPr>
          <w:p w14:paraId="7886D72E" w14:textId="77777777" w:rsidR="003979C2" w:rsidRPr="00972396" w:rsidRDefault="003979C2" w:rsidP="005836D2">
            <w:pPr>
              <w:rPr>
                <w:sz w:val="20"/>
              </w:rPr>
            </w:pPr>
          </w:p>
        </w:tc>
        <w:tc>
          <w:tcPr>
            <w:tcW w:w="850" w:type="dxa"/>
            <w:tcBorders>
              <w:top w:val="single" w:sz="12" w:space="0" w:color="auto"/>
            </w:tcBorders>
            <w:shd w:val="clear" w:color="auto" w:fill="auto"/>
          </w:tcPr>
          <w:p w14:paraId="67F9E96F" w14:textId="77777777" w:rsidR="003979C2" w:rsidRPr="00972396" w:rsidRDefault="003979C2">
            <w:pPr>
              <w:jc w:val="right"/>
              <w:rPr>
                <w:sz w:val="20"/>
              </w:rPr>
            </w:pPr>
          </w:p>
        </w:tc>
        <w:tc>
          <w:tcPr>
            <w:tcW w:w="1276" w:type="dxa"/>
            <w:tcBorders>
              <w:top w:val="single" w:sz="12" w:space="0" w:color="auto"/>
            </w:tcBorders>
            <w:shd w:val="clear" w:color="auto" w:fill="auto"/>
          </w:tcPr>
          <w:p w14:paraId="797D2C8D" w14:textId="77777777" w:rsidR="003979C2" w:rsidRPr="00972396" w:rsidRDefault="003979C2">
            <w:pPr>
              <w:rPr>
                <w:sz w:val="20"/>
              </w:rPr>
            </w:pPr>
          </w:p>
        </w:tc>
        <w:tc>
          <w:tcPr>
            <w:tcW w:w="335" w:type="dxa"/>
            <w:tcBorders>
              <w:top w:val="single" w:sz="12" w:space="0" w:color="auto"/>
            </w:tcBorders>
            <w:shd w:val="clear" w:color="auto" w:fill="auto"/>
          </w:tcPr>
          <w:p w14:paraId="52230645" w14:textId="77777777" w:rsidR="003979C2" w:rsidRPr="00972396" w:rsidRDefault="003979C2">
            <w:pPr>
              <w:rPr>
                <w:sz w:val="20"/>
              </w:rPr>
            </w:pPr>
          </w:p>
        </w:tc>
        <w:tc>
          <w:tcPr>
            <w:tcW w:w="799" w:type="dxa"/>
            <w:tcBorders>
              <w:top w:val="single" w:sz="12" w:space="0" w:color="auto"/>
            </w:tcBorders>
            <w:shd w:val="clear" w:color="auto" w:fill="auto"/>
          </w:tcPr>
          <w:p w14:paraId="24B47862" w14:textId="77777777" w:rsidR="003979C2" w:rsidRPr="00972396" w:rsidRDefault="003979C2">
            <w:pPr>
              <w:jc w:val="right"/>
              <w:rPr>
                <w:sz w:val="20"/>
              </w:rPr>
            </w:pPr>
          </w:p>
        </w:tc>
        <w:tc>
          <w:tcPr>
            <w:tcW w:w="1276" w:type="dxa"/>
            <w:tcBorders>
              <w:top w:val="single" w:sz="12" w:space="0" w:color="auto"/>
            </w:tcBorders>
            <w:shd w:val="clear" w:color="auto" w:fill="auto"/>
          </w:tcPr>
          <w:p w14:paraId="3A7B0FFC" w14:textId="77777777" w:rsidR="003979C2" w:rsidRPr="00972396" w:rsidRDefault="003979C2">
            <w:pPr>
              <w:rPr>
                <w:sz w:val="20"/>
              </w:rPr>
            </w:pPr>
          </w:p>
        </w:tc>
      </w:tr>
      <w:tr w:rsidR="003979C2" w:rsidRPr="00972396" w14:paraId="0FE6FA6F" w14:textId="77777777" w:rsidTr="00B52D9C">
        <w:tc>
          <w:tcPr>
            <w:tcW w:w="2127" w:type="dxa"/>
            <w:shd w:val="clear" w:color="auto" w:fill="auto"/>
          </w:tcPr>
          <w:p w14:paraId="726ADB12" w14:textId="77777777" w:rsidR="003979C2" w:rsidRPr="00972396" w:rsidRDefault="003979C2" w:rsidP="005836D2">
            <w:pPr>
              <w:rPr>
                <w:b/>
                <w:sz w:val="20"/>
              </w:rPr>
            </w:pPr>
            <w:r w:rsidRPr="00972396">
              <w:rPr>
                <w:b/>
                <w:sz w:val="20"/>
              </w:rPr>
              <w:t>Total years exposure to HTV</w:t>
            </w:r>
          </w:p>
        </w:tc>
        <w:tc>
          <w:tcPr>
            <w:tcW w:w="283" w:type="dxa"/>
            <w:shd w:val="clear" w:color="auto" w:fill="auto"/>
          </w:tcPr>
          <w:p w14:paraId="08632B91" w14:textId="77777777" w:rsidR="003979C2" w:rsidRPr="00972396" w:rsidRDefault="003979C2" w:rsidP="005836D2">
            <w:pPr>
              <w:rPr>
                <w:sz w:val="20"/>
              </w:rPr>
            </w:pPr>
          </w:p>
        </w:tc>
        <w:tc>
          <w:tcPr>
            <w:tcW w:w="1276" w:type="dxa"/>
            <w:shd w:val="clear" w:color="auto" w:fill="auto"/>
          </w:tcPr>
          <w:p w14:paraId="5F8B0E0D" w14:textId="77777777" w:rsidR="003979C2" w:rsidRPr="00972396" w:rsidRDefault="003979C2" w:rsidP="005836D2">
            <w:pPr>
              <w:jc w:val="center"/>
              <w:rPr>
                <w:sz w:val="20"/>
              </w:rPr>
            </w:pPr>
          </w:p>
        </w:tc>
        <w:tc>
          <w:tcPr>
            <w:tcW w:w="1417" w:type="dxa"/>
            <w:shd w:val="clear" w:color="auto" w:fill="auto"/>
          </w:tcPr>
          <w:p w14:paraId="74A6E149" w14:textId="77777777" w:rsidR="003979C2" w:rsidRPr="00972396" w:rsidRDefault="003979C2" w:rsidP="005836D2">
            <w:pPr>
              <w:jc w:val="center"/>
              <w:rPr>
                <w:sz w:val="20"/>
              </w:rPr>
            </w:pPr>
          </w:p>
        </w:tc>
        <w:tc>
          <w:tcPr>
            <w:tcW w:w="284" w:type="dxa"/>
            <w:shd w:val="clear" w:color="auto" w:fill="auto"/>
          </w:tcPr>
          <w:p w14:paraId="411DA22F" w14:textId="77777777" w:rsidR="003979C2" w:rsidRPr="00972396" w:rsidRDefault="003979C2" w:rsidP="005836D2">
            <w:pPr>
              <w:rPr>
                <w:sz w:val="20"/>
              </w:rPr>
            </w:pPr>
          </w:p>
        </w:tc>
        <w:tc>
          <w:tcPr>
            <w:tcW w:w="850" w:type="dxa"/>
            <w:shd w:val="clear" w:color="auto" w:fill="auto"/>
          </w:tcPr>
          <w:p w14:paraId="28E3B7DF" w14:textId="77777777" w:rsidR="003979C2" w:rsidRPr="00972396" w:rsidRDefault="003979C2">
            <w:pPr>
              <w:jc w:val="right"/>
              <w:rPr>
                <w:sz w:val="20"/>
              </w:rPr>
            </w:pPr>
          </w:p>
        </w:tc>
        <w:tc>
          <w:tcPr>
            <w:tcW w:w="1276" w:type="dxa"/>
            <w:shd w:val="clear" w:color="auto" w:fill="auto"/>
          </w:tcPr>
          <w:p w14:paraId="4311B4D6" w14:textId="77777777" w:rsidR="003979C2" w:rsidRPr="00972396" w:rsidRDefault="003979C2">
            <w:pPr>
              <w:rPr>
                <w:sz w:val="20"/>
              </w:rPr>
            </w:pPr>
          </w:p>
        </w:tc>
        <w:tc>
          <w:tcPr>
            <w:tcW w:w="335" w:type="dxa"/>
            <w:shd w:val="clear" w:color="auto" w:fill="auto"/>
          </w:tcPr>
          <w:p w14:paraId="195352E1" w14:textId="77777777" w:rsidR="003979C2" w:rsidRPr="00972396" w:rsidRDefault="003979C2">
            <w:pPr>
              <w:rPr>
                <w:sz w:val="20"/>
              </w:rPr>
            </w:pPr>
          </w:p>
        </w:tc>
        <w:tc>
          <w:tcPr>
            <w:tcW w:w="799" w:type="dxa"/>
            <w:shd w:val="clear" w:color="auto" w:fill="auto"/>
          </w:tcPr>
          <w:p w14:paraId="2C9F531D" w14:textId="77777777" w:rsidR="003979C2" w:rsidRPr="00972396" w:rsidRDefault="003979C2">
            <w:pPr>
              <w:jc w:val="right"/>
              <w:rPr>
                <w:sz w:val="20"/>
              </w:rPr>
            </w:pPr>
          </w:p>
        </w:tc>
        <w:tc>
          <w:tcPr>
            <w:tcW w:w="1276" w:type="dxa"/>
            <w:shd w:val="clear" w:color="auto" w:fill="auto"/>
          </w:tcPr>
          <w:p w14:paraId="77443D0C" w14:textId="77777777" w:rsidR="003979C2" w:rsidRPr="00972396" w:rsidRDefault="003979C2">
            <w:pPr>
              <w:rPr>
                <w:sz w:val="20"/>
              </w:rPr>
            </w:pPr>
          </w:p>
        </w:tc>
      </w:tr>
      <w:tr w:rsidR="003979C2" w:rsidRPr="00972396" w14:paraId="366B3710" w14:textId="77777777" w:rsidTr="00B52D9C">
        <w:tc>
          <w:tcPr>
            <w:tcW w:w="2127" w:type="dxa"/>
            <w:shd w:val="clear" w:color="auto" w:fill="auto"/>
          </w:tcPr>
          <w:p w14:paraId="2B223E94" w14:textId="77777777" w:rsidR="003979C2" w:rsidRPr="00972396" w:rsidRDefault="003979C2" w:rsidP="005836D2">
            <w:pPr>
              <w:ind w:firstLine="175"/>
              <w:rPr>
                <w:sz w:val="20"/>
              </w:rPr>
            </w:pPr>
            <w:r w:rsidRPr="00972396">
              <w:rPr>
                <w:sz w:val="20"/>
              </w:rPr>
              <w:t>&lt;15</w:t>
            </w:r>
          </w:p>
        </w:tc>
        <w:tc>
          <w:tcPr>
            <w:tcW w:w="283" w:type="dxa"/>
            <w:shd w:val="clear" w:color="auto" w:fill="auto"/>
          </w:tcPr>
          <w:p w14:paraId="5BC78DD4" w14:textId="77777777" w:rsidR="003979C2" w:rsidRPr="00972396" w:rsidRDefault="003979C2" w:rsidP="005836D2">
            <w:pPr>
              <w:rPr>
                <w:sz w:val="20"/>
              </w:rPr>
            </w:pPr>
          </w:p>
        </w:tc>
        <w:tc>
          <w:tcPr>
            <w:tcW w:w="1276" w:type="dxa"/>
            <w:shd w:val="clear" w:color="auto" w:fill="auto"/>
          </w:tcPr>
          <w:p w14:paraId="1198E498" w14:textId="77777777" w:rsidR="003979C2" w:rsidRPr="00972396" w:rsidRDefault="003979C2" w:rsidP="005836D2">
            <w:pPr>
              <w:jc w:val="center"/>
              <w:rPr>
                <w:sz w:val="20"/>
              </w:rPr>
            </w:pPr>
            <w:r w:rsidRPr="00972396">
              <w:rPr>
                <w:sz w:val="20"/>
              </w:rPr>
              <w:t>7</w:t>
            </w:r>
          </w:p>
        </w:tc>
        <w:tc>
          <w:tcPr>
            <w:tcW w:w="1417" w:type="dxa"/>
            <w:shd w:val="clear" w:color="auto" w:fill="auto"/>
          </w:tcPr>
          <w:p w14:paraId="3186683F" w14:textId="77777777" w:rsidR="003979C2" w:rsidRPr="00972396" w:rsidRDefault="003979C2" w:rsidP="005836D2">
            <w:pPr>
              <w:jc w:val="center"/>
              <w:rPr>
                <w:sz w:val="20"/>
              </w:rPr>
            </w:pPr>
            <w:r w:rsidRPr="00972396">
              <w:rPr>
                <w:sz w:val="20"/>
              </w:rPr>
              <w:t>15</w:t>
            </w:r>
          </w:p>
        </w:tc>
        <w:tc>
          <w:tcPr>
            <w:tcW w:w="284" w:type="dxa"/>
            <w:shd w:val="clear" w:color="auto" w:fill="auto"/>
          </w:tcPr>
          <w:p w14:paraId="0C5A083D" w14:textId="77777777" w:rsidR="003979C2" w:rsidRPr="00972396" w:rsidRDefault="003979C2" w:rsidP="005836D2">
            <w:pPr>
              <w:rPr>
                <w:sz w:val="20"/>
              </w:rPr>
            </w:pPr>
          </w:p>
        </w:tc>
        <w:tc>
          <w:tcPr>
            <w:tcW w:w="850" w:type="dxa"/>
            <w:shd w:val="clear" w:color="auto" w:fill="auto"/>
          </w:tcPr>
          <w:p w14:paraId="74FACD58" w14:textId="77777777" w:rsidR="003979C2" w:rsidRPr="00972396" w:rsidRDefault="003979C2">
            <w:pPr>
              <w:jc w:val="right"/>
              <w:rPr>
                <w:sz w:val="20"/>
              </w:rPr>
            </w:pPr>
            <w:r w:rsidRPr="00972396">
              <w:rPr>
                <w:sz w:val="20"/>
              </w:rPr>
              <w:t>1</w:t>
            </w:r>
          </w:p>
        </w:tc>
        <w:tc>
          <w:tcPr>
            <w:tcW w:w="1276" w:type="dxa"/>
            <w:shd w:val="clear" w:color="auto" w:fill="auto"/>
          </w:tcPr>
          <w:p w14:paraId="54A4AA38" w14:textId="77777777" w:rsidR="003979C2" w:rsidRPr="00972396" w:rsidRDefault="003979C2">
            <w:pPr>
              <w:rPr>
                <w:sz w:val="20"/>
              </w:rPr>
            </w:pPr>
          </w:p>
        </w:tc>
        <w:tc>
          <w:tcPr>
            <w:tcW w:w="335" w:type="dxa"/>
            <w:shd w:val="clear" w:color="auto" w:fill="auto"/>
          </w:tcPr>
          <w:p w14:paraId="4C230CEC" w14:textId="77777777" w:rsidR="003979C2" w:rsidRPr="00972396" w:rsidRDefault="003979C2">
            <w:pPr>
              <w:rPr>
                <w:sz w:val="20"/>
              </w:rPr>
            </w:pPr>
          </w:p>
        </w:tc>
        <w:tc>
          <w:tcPr>
            <w:tcW w:w="799" w:type="dxa"/>
            <w:shd w:val="clear" w:color="auto" w:fill="auto"/>
          </w:tcPr>
          <w:p w14:paraId="77B386C2" w14:textId="77777777" w:rsidR="003979C2" w:rsidRPr="00972396" w:rsidRDefault="003979C2">
            <w:pPr>
              <w:jc w:val="right"/>
              <w:rPr>
                <w:sz w:val="20"/>
              </w:rPr>
            </w:pPr>
            <w:r w:rsidRPr="00972396">
              <w:rPr>
                <w:sz w:val="20"/>
              </w:rPr>
              <w:t>1</w:t>
            </w:r>
          </w:p>
        </w:tc>
        <w:tc>
          <w:tcPr>
            <w:tcW w:w="1276" w:type="dxa"/>
            <w:shd w:val="clear" w:color="auto" w:fill="auto"/>
          </w:tcPr>
          <w:p w14:paraId="3D45B630" w14:textId="77777777" w:rsidR="003979C2" w:rsidRPr="00972396" w:rsidRDefault="003979C2">
            <w:pPr>
              <w:rPr>
                <w:sz w:val="20"/>
              </w:rPr>
            </w:pPr>
          </w:p>
        </w:tc>
      </w:tr>
      <w:tr w:rsidR="003979C2" w:rsidRPr="00972396" w14:paraId="5B1211FD" w14:textId="77777777" w:rsidTr="00B52D9C">
        <w:tc>
          <w:tcPr>
            <w:tcW w:w="2127" w:type="dxa"/>
            <w:shd w:val="clear" w:color="auto" w:fill="auto"/>
          </w:tcPr>
          <w:p w14:paraId="4A2C42AB" w14:textId="77777777" w:rsidR="003979C2" w:rsidRPr="00972396" w:rsidRDefault="003979C2" w:rsidP="005836D2">
            <w:pPr>
              <w:ind w:firstLine="175"/>
              <w:rPr>
                <w:sz w:val="20"/>
              </w:rPr>
            </w:pPr>
            <w:r w:rsidRPr="00972396">
              <w:rPr>
                <w:sz w:val="20"/>
              </w:rPr>
              <w:t>15-29.9</w:t>
            </w:r>
          </w:p>
        </w:tc>
        <w:tc>
          <w:tcPr>
            <w:tcW w:w="283" w:type="dxa"/>
            <w:shd w:val="clear" w:color="auto" w:fill="auto"/>
          </w:tcPr>
          <w:p w14:paraId="1F067C81" w14:textId="77777777" w:rsidR="003979C2" w:rsidRPr="00972396" w:rsidRDefault="003979C2" w:rsidP="005836D2">
            <w:pPr>
              <w:rPr>
                <w:sz w:val="20"/>
              </w:rPr>
            </w:pPr>
          </w:p>
        </w:tc>
        <w:tc>
          <w:tcPr>
            <w:tcW w:w="1276" w:type="dxa"/>
            <w:shd w:val="clear" w:color="auto" w:fill="auto"/>
          </w:tcPr>
          <w:p w14:paraId="56E3274B" w14:textId="77777777" w:rsidR="003979C2" w:rsidRPr="00972396" w:rsidRDefault="003979C2" w:rsidP="005836D2">
            <w:pPr>
              <w:jc w:val="center"/>
              <w:rPr>
                <w:sz w:val="20"/>
              </w:rPr>
            </w:pPr>
            <w:r w:rsidRPr="00972396">
              <w:rPr>
                <w:sz w:val="20"/>
              </w:rPr>
              <w:t>6</w:t>
            </w:r>
          </w:p>
        </w:tc>
        <w:tc>
          <w:tcPr>
            <w:tcW w:w="1417" w:type="dxa"/>
            <w:shd w:val="clear" w:color="auto" w:fill="auto"/>
          </w:tcPr>
          <w:p w14:paraId="63675E8E" w14:textId="77777777" w:rsidR="003979C2" w:rsidRPr="00972396" w:rsidRDefault="003979C2" w:rsidP="005836D2">
            <w:pPr>
              <w:jc w:val="center"/>
              <w:rPr>
                <w:sz w:val="20"/>
              </w:rPr>
            </w:pPr>
            <w:r w:rsidRPr="00972396">
              <w:rPr>
                <w:sz w:val="20"/>
              </w:rPr>
              <w:t>22</w:t>
            </w:r>
          </w:p>
        </w:tc>
        <w:tc>
          <w:tcPr>
            <w:tcW w:w="284" w:type="dxa"/>
            <w:shd w:val="clear" w:color="auto" w:fill="auto"/>
          </w:tcPr>
          <w:p w14:paraId="0FA36686" w14:textId="77777777" w:rsidR="003979C2" w:rsidRPr="00972396" w:rsidRDefault="003979C2" w:rsidP="005836D2">
            <w:pPr>
              <w:rPr>
                <w:sz w:val="20"/>
              </w:rPr>
            </w:pPr>
          </w:p>
        </w:tc>
        <w:tc>
          <w:tcPr>
            <w:tcW w:w="850" w:type="dxa"/>
            <w:shd w:val="clear" w:color="auto" w:fill="auto"/>
          </w:tcPr>
          <w:p w14:paraId="0AA0DC9A" w14:textId="77777777" w:rsidR="003979C2" w:rsidRPr="00972396" w:rsidRDefault="003979C2">
            <w:pPr>
              <w:jc w:val="right"/>
              <w:rPr>
                <w:sz w:val="20"/>
              </w:rPr>
            </w:pPr>
            <w:r w:rsidRPr="00972396">
              <w:rPr>
                <w:sz w:val="20"/>
              </w:rPr>
              <w:t>0.7</w:t>
            </w:r>
          </w:p>
        </w:tc>
        <w:tc>
          <w:tcPr>
            <w:tcW w:w="1276" w:type="dxa"/>
            <w:shd w:val="clear" w:color="auto" w:fill="auto"/>
          </w:tcPr>
          <w:p w14:paraId="583BC314" w14:textId="77777777" w:rsidR="003979C2" w:rsidRPr="00972396" w:rsidRDefault="003979C2">
            <w:pPr>
              <w:rPr>
                <w:sz w:val="20"/>
              </w:rPr>
            </w:pPr>
            <w:r w:rsidRPr="00972396">
              <w:rPr>
                <w:sz w:val="20"/>
              </w:rPr>
              <w:t>(0.2-2.5)</w:t>
            </w:r>
          </w:p>
        </w:tc>
        <w:tc>
          <w:tcPr>
            <w:tcW w:w="335" w:type="dxa"/>
            <w:shd w:val="clear" w:color="auto" w:fill="auto"/>
          </w:tcPr>
          <w:p w14:paraId="07B7CCE2" w14:textId="77777777" w:rsidR="003979C2" w:rsidRPr="00972396" w:rsidRDefault="003979C2">
            <w:pPr>
              <w:rPr>
                <w:sz w:val="20"/>
              </w:rPr>
            </w:pPr>
          </w:p>
        </w:tc>
        <w:tc>
          <w:tcPr>
            <w:tcW w:w="799" w:type="dxa"/>
            <w:shd w:val="clear" w:color="auto" w:fill="auto"/>
          </w:tcPr>
          <w:p w14:paraId="313B9BD2" w14:textId="77777777" w:rsidR="003979C2" w:rsidRPr="00972396" w:rsidRDefault="003979C2">
            <w:pPr>
              <w:jc w:val="right"/>
              <w:rPr>
                <w:sz w:val="20"/>
              </w:rPr>
            </w:pPr>
            <w:r w:rsidRPr="00972396">
              <w:rPr>
                <w:sz w:val="20"/>
              </w:rPr>
              <w:t>0.7</w:t>
            </w:r>
          </w:p>
        </w:tc>
        <w:tc>
          <w:tcPr>
            <w:tcW w:w="1276" w:type="dxa"/>
            <w:shd w:val="clear" w:color="auto" w:fill="auto"/>
          </w:tcPr>
          <w:p w14:paraId="56D59716" w14:textId="77777777" w:rsidR="003979C2" w:rsidRPr="00972396" w:rsidRDefault="003979C2">
            <w:pPr>
              <w:rPr>
                <w:sz w:val="20"/>
              </w:rPr>
            </w:pPr>
            <w:r w:rsidRPr="00972396">
              <w:rPr>
                <w:sz w:val="20"/>
              </w:rPr>
              <w:t>(0.2-2.7)</w:t>
            </w:r>
          </w:p>
        </w:tc>
      </w:tr>
      <w:tr w:rsidR="003979C2" w:rsidRPr="00972396" w14:paraId="66B0BF11" w14:textId="77777777" w:rsidTr="00B52D9C">
        <w:tc>
          <w:tcPr>
            <w:tcW w:w="2127" w:type="dxa"/>
            <w:shd w:val="clear" w:color="auto" w:fill="auto"/>
          </w:tcPr>
          <w:p w14:paraId="5F48FF6F" w14:textId="77777777" w:rsidR="003979C2" w:rsidRPr="00972396" w:rsidRDefault="003979C2" w:rsidP="005836D2">
            <w:pPr>
              <w:ind w:firstLine="175"/>
              <w:rPr>
                <w:sz w:val="20"/>
              </w:rPr>
            </w:pPr>
            <w:r w:rsidRPr="00972396">
              <w:rPr>
                <w:sz w:val="20"/>
              </w:rPr>
              <w:t>≥30</w:t>
            </w:r>
          </w:p>
        </w:tc>
        <w:tc>
          <w:tcPr>
            <w:tcW w:w="283" w:type="dxa"/>
            <w:shd w:val="clear" w:color="auto" w:fill="auto"/>
          </w:tcPr>
          <w:p w14:paraId="0E7C2E14" w14:textId="77777777" w:rsidR="003979C2" w:rsidRPr="00972396" w:rsidRDefault="003979C2" w:rsidP="005836D2">
            <w:pPr>
              <w:rPr>
                <w:sz w:val="20"/>
              </w:rPr>
            </w:pPr>
          </w:p>
        </w:tc>
        <w:tc>
          <w:tcPr>
            <w:tcW w:w="1276" w:type="dxa"/>
            <w:shd w:val="clear" w:color="auto" w:fill="auto"/>
          </w:tcPr>
          <w:p w14:paraId="4D006631" w14:textId="77777777" w:rsidR="003979C2" w:rsidRPr="00972396" w:rsidRDefault="003979C2" w:rsidP="005836D2">
            <w:pPr>
              <w:jc w:val="center"/>
              <w:rPr>
                <w:sz w:val="20"/>
              </w:rPr>
            </w:pPr>
            <w:r w:rsidRPr="00972396">
              <w:rPr>
                <w:sz w:val="20"/>
              </w:rPr>
              <w:t>10</w:t>
            </w:r>
          </w:p>
        </w:tc>
        <w:tc>
          <w:tcPr>
            <w:tcW w:w="1417" w:type="dxa"/>
            <w:shd w:val="clear" w:color="auto" w:fill="auto"/>
          </w:tcPr>
          <w:p w14:paraId="235D5718" w14:textId="77777777" w:rsidR="003979C2" w:rsidRPr="00972396" w:rsidRDefault="003979C2" w:rsidP="005836D2">
            <w:pPr>
              <w:jc w:val="center"/>
              <w:rPr>
                <w:sz w:val="20"/>
              </w:rPr>
            </w:pPr>
            <w:r w:rsidRPr="00972396">
              <w:rPr>
                <w:sz w:val="20"/>
              </w:rPr>
              <w:t>18</w:t>
            </w:r>
          </w:p>
        </w:tc>
        <w:tc>
          <w:tcPr>
            <w:tcW w:w="284" w:type="dxa"/>
            <w:shd w:val="clear" w:color="auto" w:fill="auto"/>
          </w:tcPr>
          <w:p w14:paraId="4EE2FFC5" w14:textId="77777777" w:rsidR="003979C2" w:rsidRPr="00972396" w:rsidRDefault="003979C2" w:rsidP="005836D2">
            <w:pPr>
              <w:rPr>
                <w:sz w:val="20"/>
              </w:rPr>
            </w:pPr>
          </w:p>
        </w:tc>
        <w:tc>
          <w:tcPr>
            <w:tcW w:w="850" w:type="dxa"/>
            <w:shd w:val="clear" w:color="auto" w:fill="auto"/>
          </w:tcPr>
          <w:p w14:paraId="757B106A" w14:textId="77777777" w:rsidR="003979C2" w:rsidRPr="00972396" w:rsidRDefault="003979C2">
            <w:pPr>
              <w:jc w:val="right"/>
              <w:rPr>
                <w:sz w:val="20"/>
              </w:rPr>
            </w:pPr>
            <w:r w:rsidRPr="00972396">
              <w:rPr>
                <w:sz w:val="20"/>
              </w:rPr>
              <w:t>1.8</w:t>
            </w:r>
          </w:p>
        </w:tc>
        <w:tc>
          <w:tcPr>
            <w:tcW w:w="1276" w:type="dxa"/>
            <w:shd w:val="clear" w:color="auto" w:fill="auto"/>
          </w:tcPr>
          <w:p w14:paraId="0D31A946" w14:textId="77777777" w:rsidR="003979C2" w:rsidRPr="00972396" w:rsidRDefault="003979C2">
            <w:pPr>
              <w:rPr>
                <w:sz w:val="20"/>
              </w:rPr>
            </w:pPr>
            <w:r w:rsidRPr="00972396">
              <w:rPr>
                <w:sz w:val="20"/>
              </w:rPr>
              <w:t>(0.3-9.1)</w:t>
            </w:r>
          </w:p>
        </w:tc>
        <w:tc>
          <w:tcPr>
            <w:tcW w:w="335" w:type="dxa"/>
            <w:shd w:val="clear" w:color="auto" w:fill="auto"/>
          </w:tcPr>
          <w:p w14:paraId="45379229" w14:textId="77777777" w:rsidR="003979C2" w:rsidRPr="00972396" w:rsidRDefault="003979C2">
            <w:pPr>
              <w:rPr>
                <w:sz w:val="20"/>
              </w:rPr>
            </w:pPr>
          </w:p>
        </w:tc>
        <w:tc>
          <w:tcPr>
            <w:tcW w:w="799" w:type="dxa"/>
            <w:shd w:val="clear" w:color="auto" w:fill="auto"/>
          </w:tcPr>
          <w:p w14:paraId="7FEEFD6A" w14:textId="77777777" w:rsidR="003979C2" w:rsidRPr="00972396" w:rsidRDefault="003979C2">
            <w:pPr>
              <w:jc w:val="right"/>
              <w:rPr>
                <w:sz w:val="20"/>
              </w:rPr>
            </w:pPr>
            <w:r w:rsidRPr="00972396">
              <w:rPr>
                <w:sz w:val="20"/>
              </w:rPr>
              <w:t>1.6</w:t>
            </w:r>
          </w:p>
        </w:tc>
        <w:tc>
          <w:tcPr>
            <w:tcW w:w="1276" w:type="dxa"/>
            <w:shd w:val="clear" w:color="auto" w:fill="auto"/>
          </w:tcPr>
          <w:p w14:paraId="0E7CD980" w14:textId="77777777" w:rsidR="003979C2" w:rsidRPr="00972396" w:rsidRDefault="003979C2">
            <w:pPr>
              <w:rPr>
                <w:sz w:val="20"/>
              </w:rPr>
            </w:pPr>
            <w:r w:rsidRPr="00972396">
              <w:rPr>
                <w:sz w:val="20"/>
              </w:rPr>
              <w:t>(0.3-8.3)</w:t>
            </w:r>
          </w:p>
        </w:tc>
      </w:tr>
      <w:tr w:rsidR="003979C2" w:rsidRPr="00972396" w14:paraId="6E2F4DF6" w14:textId="77777777" w:rsidTr="00B52D9C">
        <w:tc>
          <w:tcPr>
            <w:tcW w:w="2127" w:type="dxa"/>
            <w:shd w:val="clear" w:color="auto" w:fill="auto"/>
          </w:tcPr>
          <w:p w14:paraId="259ED887" w14:textId="77777777" w:rsidR="003979C2" w:rsidRPr="00972396" w:rsidRDefault="003979C2" w:rsidP="005836D2">
            <w:pPr>
              <w:rPr>
                <w:sz w:val="20"/>
              </w:rPr>
            </w:pPr>
          </w:p>
        </w:tc>
        <w:tc>
          <w:tcPr>
            <w:tcW w:w="283" w:type="dxa"/>
            <w:shd w:val="clear" w:color="auto" w:fill="auto"/>
          </w:tcPr>
          <w:p w14:paraId="59E5755A" w14:textId="77777777" w:rsidR="003979C2" w:rsidRPr="00972396" w:rsidRDefault="003979C2" w:rsidP="005836D2">
            <w:pPr>
              <w:rPr>
                <w:sz w:val="20"/>
              </w:rPr>
            </w:pPr>
          </w:p>
        </w:tc>
        <w:tc>
          <w:tcPr>
            <w:tcW w:w="1276" w:type="dxa"/>
            <w:shd w:val="clear" w:color="auto" w:fill="auto"/>
          </w:tcPr>
          <w:p w14:paraId="52D3F462" w14:textId="77777777" w:rsidR="003979C2" w:rsidRPr="00972396" w:rsidRDefault="003979C2" w:rsidP="005836D2">
            <w:pPr>
              <w:jc w:val="center"/>
              <w:rPr>
                <w:sz w:val="20"/>
              </w:rPr>
            </w:pPr>
          </w:p>
        </w:tc>
        <w:tc>
          <w:tcPr>
            <w:tcW w:w="1417" w:type="dxa"/>
            <w:shd w:val="clear" w:color="auto" w:fill="auto"/>
          </w:tcPr>
          <w:p w14:paraId="285322A7" w14:textId="77777777" w:rsidR="003979C2" w:rsidRPr="00972396" w:rsidRDefault="003979C2" w:rsidP="005836D2">
            <w:pPr>
              <w:jc w:val="center"/>
              <w:rPr>
                <w:sz w:val="20"/>
              </w:rPr>
            </w:pPr>
          </w:p>
        </w:tc>
        <w:tc>
          <w:tcPr>
            <w:tcW w:w="284" w:type="dxa"/>
            <w:shd w:val="clear" w:color="auto" w:fill="auto"/>
          </w:tcPr>
          <w:p w14:paraId="18652C59" w14:textId="77777777" w:rsidR="003979C2" w:rsidRPr="00972396" w:rsidRDefault="003979C2" w:rsidP="005836D2">
            <w:pPr>
              <w:rPr>
                <w:sz w:val="20"/>
              </w:rPr>
            </w:pPr>
          </w:p>
        </w:tc>
        <w:tc>
          <w:tcPr>
            <w:tcW w:w="850" w:type="dxa"/>
            <w:shd w:val="clear" w:color="auto" w:fill="auto"/>
          </w:tcPr>
          <w:p w14:paraId="7C631756" w14:textId="77777777" w:rsidR="003979C2" w:rsidRPr="00972396" w:rsidRDefault="003979C2">
            <w:pPr>
              <w:jc w:val="right"/>
              <w:rPr>
                <w:sz w:val="20"/>
              </w:rPr>
            </w:pPr>
          </w:p>
        </w:tc>
        <w:tc>
          <w:tcPr>
            <w:tcW w:w="1276" w:type="dxa"/>
            <w:shd w:val="clear" w:color="auto" w:fill="auto"/>
          </w:tcPr>
          <w:p w14:paraId="0083499D" w14:textId="77777777" w:rsidR="003979C2" w:rsidRPr="00972396" w:rsidRDefault="003979C2">
            <w:pPr>
              <w:rPr>
                <w:sz w:val="20"/>
              </w:rPr>
            </w:pPr>
          </w:p>
        </w:tc>
        <w:tc>
          <w:tcPr>
            <w:tcW w:w="335" w:type="dxa"/>
            <w:shd w:val="clear" w:color="auto" w:fill="auto"/>
          </w:tcPr>
          <w:p w14:paraId="47ABB9D1" w14:textId="77777777" w:rsidR="003979C2" w:rsidRPr="00972396" w:rsidRDefault="003979C2">
            <w:pPr>
              <w:rPr>
                <w:sz w:val="20"/>
              </w:rPr>
            </w:pPr>
          </w:p>
        </w:tc>
        <w:tc>
          <w:tcPr>
            <w:tcW w:w="799" w:type="dxa"/>
            <w:shd w:val="clear" w:color="auto" w:fill="auto"/>
          </w:tcPr>
          <w:p w14:paraId="22046018" w14:textId="77777777" w:rsidR="003979C2" w:rsidRPr="00972396" w:rsidRDefault="003979C2">
            <w:pPr>
              <w:jc w:val="right"/>
              <w:rPr>
                <w:sz w:val="20"/>
              </w:rPr>
            </w:pPr>
          </w:p>
        </w:tc>
        <w:tc>
          <w:tcPr>
            <w:tcW w:w="1276" w:type="dxa"/>
            <w:shd w:val="clear" w:color="auto" w:fill="auto"/>
          </w:tcPr>
          <w:p w14:paraId="1CE73D81" w14:textId="77777777" w:rsidR="003979C2" w:rsidRPr="00972396" w:rsidRDefault="003979C2">
            <w:pPr>
              <w:rPr>
                <w:sz w:val="20"/>
              </w:rPr>
            </w:pPr>
          </w:p>
        </w:tc>
      </w:tr>
      <w:tr w:rsidR="003979C2" w:rsidRPr="00972396" w14:paraId="04FDD120" w14:textId="77777777" w:rsidTr="00B52D9C">
        <w:tc>
          <w:tcPr>
            <w:tcW w:w="2127" w:type="dxa"/>
            <w:shd w:val="clear" w:color="auto" w:fill="auto"/>
          </w:tcPr>
          <w:p w14:paraId="27CEB6E0" w14:textId="77777777" w:rsidR="003979C2" w:rsidRPr="00972396" w:rsidRDefault="003979C2" w:rsidP="005836D2">
            <w:pPr>
              <w:rPr>
                <w:b/>
                <w:sz w:val="20"/>
              </w:rPr>
            </w:pPr>
            <w:r w:rsidRPr="00972396">
              <w:rPr>
                <w:b/>
                <w:sz w:val="20"/>
              </w:rPr>
              <w:t>Current exposure to HTV (A8 in m/s</w:t>
            </w:r>
            <w:r w:rsidRPr="00972396">
              <w:rPr>
                <w:b/>
                <w:sz w:val="20"/>
                <w:vertAlign w:val="superscript"/>
              </w:rPr>
              <w:t>2</w:t>
            </w:r>
            <w:r w:rsidRPr="00972396">
              <w:rPr>
                <w:b/>
                <w:sz w:val="20"/>
              </w:rPr>
              <w:t>)</w:t>
            </w:r>
          </w:p>
        </w:tc>
        <w:tc>
          <w:tcPr>
            <w:tcW w:w="283" w:type="dxa"/>
            <w:shd w:val="clear" w:color="auto" w:fill="auto"/>
          </w:tcPr>
          <w:p w14:paraId="404A876B" w14:textId="77777777" w:rsidR="003979C2" w:rsidRPr="00972396" w:rsidRDefault="003979C2" w:rsidP="005836D2">
            <w:pPr>
              <w:rPr>
                <w:sz w:val="20"/>
              </w:rPr>
            </w:pPr>
          </w:p>
        </w:tc>
        <w:tc>
          <w:tcPr>
            <w:tcW w:w="1276" w:type="dxa"/>
            <w:shd w:val="clear" w:color="auto" w:fill="auto"/>
          </w:tcPr>
          <w:p w14:paraId="0639D7C3" w14:textId="77777777" w:rsidR="003979C2" w:rsidRPr="00972396" w:rsidRDefault="003979C2" w:rsidP="005836D2">
            <w:pPr>
              <w:jc w:val="center"/>
              <w:rPr>
                <w:sz w:val="20"/>
              </w:rPr>
            </w:pPr>
          </w:p>
        </w:tc>
        <w:tc>
          <w:tcPr>
            <w:tcW w:w="1417" w:type="dxa"/>
            <w:shd w:val="clear" w:color="auto" w:fill="auto"/>
          </w:tcPr>
          <w:p w14:paraId="7416F6AE" w14:textId="77777777" w:rsidR="003979C2" w:rsidRPr="00972396" w:rsidRDefault="003979C2" w:rsidP="005836D2">
            <w:pPr>
              <w:jc w:val="center"/>
              <w:rPr>
                <w:sz w:val="20"/>
              </w:rPr>
            </w:pPr>
          </w:p>
        </w:tc>
        <w:tc>
          <w:tcPr>
            <w:tcW w:w="284" w:type="dxa"/>
            <w:shd w:val="clear" w:color="auto" w:fill="auto"/>
          </w:tcPr>
          <w:p w14:paraId="30025CCF" w14:textId="77777777" w:rsidR="003979C2" w:rsidRPr="00972396" w:rsidRDefault="003979C2" w:rsidP="005836D2">
            <w:pPr>
              <w:rPr>
                <w:sz w:val="20"/>
              </w:rPr>
            </w:pPr>
          </w:p>
        </w:tc>
        <w:tc>
          <w:tcPr>
            <w:tcW w:w="850" w:type="dxa"/>
            <w:shd w:val="clear" w:color="auto" w:fill="auto"/>
          </w:tcPr>
          <w:p w14:paraId="65AF44BE" w14:textId="77777777" w:rsidR="003979C2" w:rsidRPr="00972396" w:rsidRDefault="003979C2">
            <w:pPr>
              <w:jc w:val="right"/>
              <w:rPr>
                <w:sz w:val="20"/>
              </w:rPr>
            </w:pPr>
          </w:p>
        </w:tc>
        <w:tc>
          <w:tcPr>
            <w:tcW w:w="1276" w:type="dxa"/>
            <w:shd w:val="clear" w:color="auto" w:fill="auto"/>
          </w:tcPr>
          <w:p w14:paraId="0FED1B2C" w14:textId="77777777" w:rsidR="003979C2" w:rsidRPr="00972396" w:rsidRDefault="003979C2">
            <w:pPr>
              <w:rPr>
                <w:sz w:val="20"/>
              </w:rPr>
            </w:pPr>
          </w:p>
        </w:tc>
        <w:tc>
          <w:tcPr>
            <w:tcW w:w="335" w:type="dxa"/>
            <w:shd w:val="clear" w:color="auto" w:fill="auto"/>
          </w:tcPr>
          <w:p w14:paraId="16381AEA" w14:textId="77777777" w:rsidR="003979C2" w:rsidRPr="00972396" w:rsidRDefault="003979C2">
            <w:pPr>
              <w:rPr>
                <w:sz w:val="20"/>
              </w:rPr>
            </w:pPr>
          </w:p>
        </w:tc>
        <w:tc>
          <w:tcPr>
            <w:tcW w:w="799" w:type="dxa"/>
            <w:shd w:val="clear" w:color="auto" w:fill="auto"/>
          </w:tcPr>
          <w:p w14:paraId="016D31C4" w14:textId="77777777" w:rsidR="003979C2" w:rsidRPr="00972396" w:rsidRDefault="003979C2">
            <w:pPr>
              <w:jc w:val="right"/>
              <w:rPr>
                <w:sz w:val="20"/>
              </w:rPr>
            </w:pPr>
          </w:p>
        </w:tc>
        <w:tc>
          <w:tcPr>
            <w:tcW w:w="1276" w:type="dxa"/>
            <w:shd w:val="clear" w:color="auto" w:fill="auto"/>
          </w:tcPr>
          <w:p w14:paraId="551AECDE" w14:textId="77777777" w:rsidR="003979C2" w:rsidRPr="00972396" w:rsidRDefault="003979C2">
            <w:pPr>
              <w:rPr>
                <w:sz w:val="20"/>
              </w:rPr>
            </w:pPr>
          </w:p>
        </w:tc>
      </w:tr>
      <w:tr w:rsidR="003979C2" w:rsidRPr="00972396" w14:paraId="7B39DBDA" w14:textId="77777777" w:rsidTr="00B52D9C">
        <w:tc>
          <w:tcPr>
            <w:tcW w:w="2127" w:type="dxa"/>
            <w:shd w:val="clear" w:color="auto" w:fill="auto"/>
          </w:tcPr>
          <w:p w14:paraId="184C7AB7" w14:textId="77777777" w:rsidR="003979C2" w:rsidRPr="00972396" w:rsidRDefault="003979C2" w:rsidP="005836D2">
            <w:pPr>
              <w:ind w:firstLine="175"/>
              <w:rPr>
                <w:sz w:val="20"/>
              </w:rPr>
            </w:pPr>
            <w:r w:rsidRPr="00972396">
              <w:rPr>
                <w:sz w:val="20"/>
              </w:rPr>
              <w:t>&lt;2.5</w:t>
            </w:r>
          </w:p>
        </w:tc>
        <w:tc>
          <w:tcPr>
            <w:tcW w:w="283" w:type="dxa"/>
            <w:shd w:val="clear" w:color="auto" w:fill="auto"/>
          </w:tcPr>
          <w:p w14:paraId="490C79E6" w14:textId="77777777" w:rsidR="003979C2" w:rsidRPr="00972396" w:rsidRDefault="003979C2" w:rsidP="005836D2">
            <w:pPr>
              <w:rPr>
                <w:sz w:val="20"/>
              </w:rPr>
            </w:pPr>
          </w:p>
        </w:tc>
        <w:tc>
          <w:tcPr>
            <w:tcW w:w="1276" w:type="dxa"/>
            <w:shd w:val="clear" w:color="auto" w:fill="auto"/>
          </w:tcPr>
          <w:p w14:paraId="7EAD47F7" w14:textId="77777777" w:rsidR="003979C2" w:rsidRPr="00972396" w:rsidRDefault="003979C2" w:rsidP="005836D2">
            <w:pPr>
              <w:jc w:val="center"/>
              <w:rPr>
                <w:sz w:val="20"/>
              </w:rPr>
            </w:pPr>
            <w:r w:rsidRPr="00972396">
              <w:rPr>
                <w:sz w:val="20"/>
              </w:rPr>
              <w:t>3</w:t>
            </w:r>
          </w:p>
        </w:tc>
        <w:tc>
          <w:tcPr>
            <w:tcW w:w="1417" w:type="dxa"/>
            <w:shd w:val="clear" w:color="auto" w:fill="auto"/>
          </w:tcPr>
          <w:p w14:paraId="58AEBFA5" w14:textId="77777777" w:rsidR="003979C2" w:rsidRPr="00972396" w:rsidRDefault="003979C2" w:rsidP="005836D2">
            <w:pPr>
              <w:jc w:val="center"/>
              <w:rPr>
                <w:sz w:val="20"/>
              </w:rPr>
            </w:pPr>
            <w:r w:rsidRPr="00972396">
              <w:rPr>
                <w:sz w:val="20"/>
              </w:rPr>
              <w:t>15</w:t>
            </w:r>
          </w:p>
        </w:tc>
        <w:tc>
          <w:tcPr>
            <w:tcW w:w="284" w:type="dxa"/>
            <w:shd w:val="clear" w:color="auto" w:fill="auto"/>
          </w:tcPr>
          <w:p w14:paraId="42FB12F4" w14:textId="77777777" w:rsidR="003979C2" w:rsidRPr="00972396" w:rsidRDefault="003979C2" w:rsidP="005836D2">
            <w:pPr>
              <w:rPr>
                <w:sz w:val="20"/>
              </w:rPr>
            </w:pPr>
          </w:p>
        </w:tc>
        <w:tc>
          <w:tcPr>
            <w:tcW w:w="850" w:type="dxa"/>
            <w:shd w:val="clear" w:color="auto" w:fill="auto"/>
          </w:tcPr>
          <w:p w14:paraId="3512F7B4" w14:textId="77777777" w:rsidR="003979C2" w:rsidRPr="00972396" w:rsidRDefault="003979C2">
            <w:pPr>
              <w:jc w:val="right"/>
              <w:rPr>
                <w:sz w:val="20"/>
              </w:rPr>
            </w:pPr>
            <w:r w:rsidRPr="00972396">
              <w:rPr>
                <w:sz w:val="20"/>
              </w:rPr>
              <w:t>1</w:t>
            </w:r>
          </w:p>
        </w:tc>
        <w:tc>
          <w:tcPr>
            <w:tcW w:w="1276" w:type="dxa"/>
            <w:shd w:val="clear" w:color="auto" w:fill="auto"/>
          </w:tcPr>
          <w:p w14:paraId="33B57ECC" w14:textId="77777777" w:rsidR="003979C2" w:rsidRPr="00972396" w:rsidRDefault="003979C2">
            <w:pPr>
              <w:rPr>
                <w:sz w:val="20"/>
              </w:rPr>
            </w:pPr>
          </w:p>
        </w:tc>
        <w:tc>
          <w:tcPr>
            <w:tcW w:w="335" w:type="dxa"/>
            <w:shd w:val="clear" w:color="auto" w:fill="auto"/>
          </w:tcPr>
          <w:p w14:paraId="54CE19BF" w14:textId="77777777" w:rsidR="003979C2" w:rsidRPr="00972396" w:rsidRDefault="003979C2">
            <w:pPr>
              <w:rPr>
                <w:sz w:val="20"/>
              </w:rPr>
            </w:pPr>
          </w:p>
        </w:tc>
        <w:tc>
          <w:tcPr>
            <w:tcW w:w="799" w:type="dxa"/>
            <w:shd w:val="clear" w:color="auto" w:fill="auto"/>
          </w:tcPr>
          <w:p w14:paraId="01BE92BA" w14:textId="77777777" w:rsidR="003979C2" w:rsidRPr="00972396" w:rsidRDefault="003979C2">
            <w:pPr>
              <w:jc w:val="right"/>
              <w:rPr>
                <w:sz w:val="20"/>
              </w:rPr>
            </w:pPr>
            <w:r w:rsidRPr="00972396">
              <w:rPr>
                <w:sz w:val="20"/>
              </w:rPr>
              <w:t>1</w:t>
            </w:r>
          </w:p>
        </w:tc>
        <w:tc>
          <w:tcPr>
            <w:tcW w:w="1276" w:type="dxa"/>
            <w:shd w:val="clear" w:color="auto" w:fill="auto"/>
          </w:tcPr>
          <w:p w14:paraId="070F90FD" w14:textId="77777777" w:rsidR="003979C2" w:rsidRPr="00972396" w:rsidRDefault="003979C2">
            <w:pPr>
              <w:rPr>
                <w:sz w:val="20"/>
              </w:rPr>
            </w:pPr>
          </w:p>
        </w:tc>
      </w:tr>
      <w:tr w:rsidR="003979C2" w:rsidRPr="00972396" w14:paraId="4D916EF4" w14:textId="77777777" w:rsidTr="00B52D9C">
        <w:tc>
          <w:tcPr>
            <w:tcW w:w="2127" w:type="dxa"/>
            <w:shd w:val="clear" w:color="auto" w:fill="auto"/>
          </w:tcPr>
          <w:p w14:paraId="75B435E4" w14:textId="77777777" w:rsidR="003979C2" w:rsidRPr="00972396" w:rsidRDefault="003979C2" w:rsidP="005836D2">
            <w:pPr>
              <w:ind w:firstLine="175"/>
              <w:rPr>
                <w:sz w:val="20"/>
              </w:rPr>
            </w:pPr>
            <w:r w:rsidRPr="00972396">
              <w:rPr>
                <w:sz w:val="20"/>
              </w:rPr>
              <w:t>2.5-3.9</w:t>
            </w:r>
          </w:p>
        </w:tc>
        <w:tc>
          <w:tcPr>
            <w:tcW w:w="283" w:type="dxa"/>
            <w:shd w:val="clear" w:color="auto" w:fill="auto"/>
          </w:tcPr>
          <w:p w14:paraId="1D84588D" w14:textId="77777777" w:rsidR="003979C2" w:rsidRPr="00972396" w:rsidRDefault="003979C2" w:rsidP="005836D2">
            <w:pPr>
              <w:rPr>
                <w:sz w:val="20"/>
              </w:rPr>
            </w:pPr>
          </w:p>
        </w:tc>
        <w:tc>
          <w:tcPr>
            <w:tcW w:w="1276" w:type="dxa"/>
            <w:shd w:val="clear" w:color="auto" w:fill="auto"/>
          </w:tcPr>
          <w:p w14:paraId="7945E246" w14:textId="77777777" w:rsidR="003979C2" w:rsidRPr="00972396" w:rsidRDefault="003979C2" w:rsidP="005836D2">
            <w:pPr>
              <w:jc w:val="center"/>
              <w:rPr>
                <w:sz w:val="20"/>
              </w:rPr>
            </w:pPr>
            <w:r w:rsidRPr="00972396">
              <w:rPr>
                <w:sz w:val="20"/>
              </w:rPr>
              <w:t>17</w:t>
            </w:r>
          </w:p>
        </w:tc>
        <w:tc>
          <w:tcPr>
            <w:tcW w:w="1417" w:type="dxa"/>
            <w:shd w:val="clear" w:color="auto" w:fill="auto"/>
          </w:tcPr>
          <w:p w14:paraId="09069B75" w14:textId="77777777" w:rsidR="003979C2" w:rsidRPr="00972396" w:rsidRDefault="003979C2" w:rsidP="005836D2">
            <w:pPr>
              <w:jc w:val="center"/>
              <w:rPr>
                <w:sz w:val="20"/>
              </w:rPr>
            </w:pPr>
            <w:r w:rsidRPr="00972396">
              <w:rPr>
                <w:sz w:val="20"/>
              </w:rPr>
              <w:t>24</w:t>
            </w:r>
          </w:p>
        </w:tc>
        <w:tc>
          <w:tcPr>
            <w:tcW w:w="284" w:type="dxa"/>
            <w:shd w:val="clear" w:color="auto" w:fill="auto"/>
          </w:tcPr>
          <w:p w14:paraId="5D868D13" w14:textId="77777777" w:rsidR="003979C2" w:rsidRPr="00972396" w:rsidRDefault="003979C2" w:rsidP="005836D2">
            <w:pPr>
              <w:rPr>
                <w:sz w:val="20"/>
              </w:rPr>
            </w:pPr>
          </w:p>
        </w:tc>
        <w:tc>
          <w:tcPr>
            <w:tcW w:w="850" w:type="dxa"/>
            <w:shd w:val="clear" w:color="auto" w:fill="auto"/>
          </w:tcPr>
          <w:p w14:paraId="0DDF0D3D" w14:textId="77777777" w:rsidR="003979C2" w:rsidRPr="00972396" w:rsidRDefault="003979C2">
            <w:pPr>
              <w:jc w:val="right"/>
              <w:rPr>
                <w:sz w:val="20"/>
              </w:rPr>
            </w:pPr>
            <w:r w:rsidRPr="00972396">
              <w:rPr>
                <w:sz w:val="20"/>
              </w:rPr>
              <w:t>3.3</w:t>
            </w:r>
          </w:p>
        </w:tc>
        <w:tc>
          <w:tcPr>
            <w:tcW w:w="1276" w:type="dxa"/>
            <w:shd w:val="clear" w:color="auto" w:fill="auto"/>
          </w:tcPr>
          <w:p w14:paraId="410B8FE3" w14:textId="77777777" w:rsidR="003979C2" w:rsidRPr="00972396" w:rsidRDefault="003979C2">
            <w:pPr>
              <w:rPr>
                <w:sz w:val="20"/>
              </w:rPr>
            </w:pPr>
            <w:r w:rsidRPr="00972396">
              <w:rPr>
                <w:sz w:val="20"/>
              </w:rPr>
              <w:t>(0.8-13.5)</w:t>
            </w:r>
          </w:p>
        </w:tc>
        <w:tc>
          <w:tcPr>
            <w:tcW w:w="335" w:type="dxa"/>
            <w:shd w:val="clear" w:color="auto" w:fill="auto"/>
          </w:tcPr>
          <w:p w14:paraId="739BD02D" w14:textId="77777777" w:rsidR="003979C2" w:rsidRPr="00972396" w:rsidRDefault="003979C2">
            <w:pPr>
              <w:rPr>
                <w:sz w:val="20"/>
              </w:rPr>
            </w:pPr>
          </w:p>
        </w:tc>
        <w:tc>
          <w:tcPr>
            <w:tcW w:w="799" w:type="dxa"/>
            <w:shd w:val="clear" w:color="auto" w:fill="auto"/>
          </w:tcPr>
          <w:p w14:paraId="3B8E50F3" w14:textId="77777777" w:rsidR="003979C2" w:rsidRPr="00972396" w:rsidRDefault="003979C2">
            <w:pPr>
              <w:jc w:val="right"/>
              <w:rPr>
                <w:sz w:val="20"/>
              </w:rPr>
            </w:pPr>
            <w:r w:rsidRPr="00972396">
              <w:rPr>
                <w:sz w:val="20"/>
              </w:rPr>
              <w:t>2.8</w:t>
            </w:r>
          </w:p>
        </w:tc>
        <w:tc>
          <w:tcPr>
            <w:tcW w:w="1276" w:type="dxa"/>
            <w:shd w:val="clear" w:color="auto" w:fill="auto"/>
          </w:tcPr>
          <w:p w14:paraId="5DC444D4" w14:textId="77777777" w:rsidR="003979C2" w:rsidRPr="00972396" w:rsidRDefault="003979C2">
            <w:pPr>
              <w:rPr>
                <w:sz w:val="20"/>
              </w:rPr>
            </w:pPr>
            <w:r w:rsidRPr="00972396">
              <w:rPr>
                <w:sz w:val="20"/>
              </w:rPr>
              <w:t>(0.6-12.8)</w:t>
            </w:r>
          </w:p>
        </w:tc>
      </w:tr>
      <w:tr w:rsidR="003979C2" w:rsidRPr="00972396" w14:paraId="18B07EE3" w14:textId="77777777" w:rsidTr="00B52D9C">
        <w:tc>
          <w:tcPr>
            <w:tcW w:w="2127" w:type="dxa"/>
            <w:shd w:val="clear" w:color="auto" w:fill="auto"/>
          </w:tcPr>
          <w:p w14:paraId="5F5A5CBB" w14:textId="77777777" w:rsidR="003979C2" w:rsidRPr="00972396" w:rsidRDefault="003979C2" w:rsidP="005836D2">
            <w:pPr>
              <w:ind w:firstLine="175"/>
              <w:rPr>
                <w:sz w:val="20"/>
              </w:rPr>
            </w:pPr>
            <w:r w:rsidRPr="00972396">
              <w:rPr>
                <w:sz w:val="20"/>
              </w:rPr>
              <w:t>≥4.0</w:t>
            </w:r>
          </w:p>
        </w:tc>
        <w:tc>
          <w:tcPr>
            <w:tcW w:w="283" w:type="dxa"/>
            <w:shd w:val="clear" w:color="auto" w:fill="auto"/>
          </w:tcPr>
          <w:p w14:paraId="28A466D3" w14:textId="77777777" w:rsidR="003979C2" w:rsidRPr="00972396" w:rsidRDefault="003979C2" w:rsidP="005836D2">
            <w:pPr>
              <w:rPr>
                <w:sz w:val="20"/>
              </w:rPr>
            </w:pPr>
          </w:p>
        </w:tc>
        <w:tc>
          <w:tcPr>
            <w:tcW w:w="1276" w:type="dxa"/>
            <w:shd w:val="clear" w:color="auto" w:fill="auto"/>
          </w:tcPr>
          <w:p w14:paraId="46096DEA" w14:textId="77777777" w:rsidR="003979C2" w:rsidRPr="00972396" w:rsidRDefault="003979C2" w:rsidP="005836D2">
            <w:pPr>
              <w:jc w:val="center"/>
              <w:rPr>
                <w:sz w:val="20"/>
              </w:rPr>
            </w:pPr>
            <w:r w:rsidRPr="00972396">
              <w:rPr>
                <w:sz w:val="20"/>
              </w:rPr>
              <w:t>3</w:t>
            </w:r>
          </w:p>
        </w:tc>
        <w:tc>
          <w:tcPr>
            <w:tcW w:w="1417" w:type="dxa"/>
            <w:shd w:val="clear" w:color="auto" w:fill="auto"/>
          </w:tcPr>
          <w:p w14:paraId="72CA8BDD" w14:textId="77777777" w:rsidR="003979C2" w:rsidRPr="00972396" w:rsidRDefault="003979C2" w:rsidP="005836D2">
            <w:pPr>
              <w:jc w:val="center"/>
              <w:rPr>
                <w:sz w:val="20"/>
              </w:rPr>
            </w:pPr>
            <w:r w:rsidRPr="00972396">
              <w:rPr>
                <w:sz w:val="20"/>
              </w:rPr>
              <w:t>14</w:t>
            </w:r>
          </w:p>
        </w:tc>
        <w:tc>
          <w:tcPr>
            <w:tcW w:w="284" w:type="dxa"/>
            <w:shd w:val="clear" w:color="auto" w:fill="auto"/>
          </w:tcPr>
          <w:p w14:paraId="5F647FAA" w14:textId="77777777" w:rsidR="003979C2" w:rsidRPr="00972396" w:rsidRDefault="003979C2" w:rsidP="005836D2">
            <w:pPr>
              <w:rPr>
                <w:sz w:val="20"/>
              </w:rPr>
            </w:pPr>
          </w:p>
        </w:tc>
        <w:tc>
          <w:tcPr>
            <w:tcW w:w="850" w:type="dxa"/>
            <w:shd w:val="clear" w:color="auto" w:fill="auto"/>
          </w:tcPr>
          <w:p w14:paraId="2D8289A1" w14:textId="77777777" w:rsidR="003979C2" w:rsidRPr="00972396" w:rsidRDefault="003979C2">
            <w:pPr>
              <w:jc w:val="right"/>
              <w:rPr>
                <w:sz w:val="20"/>
              </w:rPr>
            </w:pPr>
            <w:r w:rsidRPr="00972396">
              <w:rPr>
                <w:sz w:val="20"/>
              </w:rPr>
              <w:t>1.0</w:t>
            </w:r>
          </w:p>
        </w:tc>
        <w:tc>
          <w:tcPr>
            <w:tcW w:w="1276" w:type="dxa"/>
            <w:shd w:val="clear" w:color="auto" w:fill="auto"/>
          </w:tcPr>
          <w:p w14:paraId="03E6BC69" w14:textId="77777777" w:rsidR="003979C2" w:rsidRPr="00972396" w:rsidRDefault="003979C2">
            <w:pPr>
              <w:rPr>
                <w:sz w:val="20"/>
              </w:rPr>
            </w:pPr>
            <w:r w:rsidRPr="00972396">
              <w:rPr>
                <w:sz w:val="20"/>
              </w:rPr>
              <w:t>(0.2-5.8)</w:t>
            </w:r>
          </w:p>
        </w:tc>
        <w:tc>
          <w:tcPr>
            <w:tcW w:w="335" w:type="dxa"/>
            <w:shd w:val="clear" w:color="auto" w:fill="auto"/>
          </w:tcPr>
          <w:p w14:paraId="45D6B03B" w14:textId="77777777" w:rsidR="003979C2" w:rsidRPr="00972396" w:rsidRDefault="003979C2">
            <w:pPr>
              <w:rPr>
                <w:sz w:val="20"/>
              </w:rPr>
            </w:pPr>
          </w:p>
        </w:tc>
        <w:tc>
          <w:tcPr>
            <w:tcW w:w="799" w:type="dxa"/>
            <w:shd w:val="clear" w:color="auto" w:fill="auto"/>
          </w:tcPr>
          <w:p w14:paraId="5833A817" w14:textId="77777777" w:rsidR="003979C2" w:rsidRPr="00972396" w:rsidRDefault="003979C2">
            <w:pPr>
              <w:jc w:val="right"/>
              <w:rPr>
                <w:sz w:val="20"/>
              </w:rPr>
            </w:pPr>
            <w:r w:rsidRPr="00972396">
              <w:rPr>
                <w:sz w:val="20"/>
              </w:rPr>
              <w:t>0.9</w:t>
            </w:r>
          </w:p>
        </w:tc>
        <w:tc>
          <w:tcPr>
            <w:tcW w:w="1276" w:type="dxa"/>
            <w:shd w:val="clear" w:color="auto" w:fill="auto"/>
          </w:tcPr>
          <w:p w14:paraId="50C46055" w14:textId="77777777" w:rsidR="003979C2" w:rsidRPr="00972396" w:rsidRDefault="003979C2">
            <w:pPr>
              <w:rPr>
                <w:sz w:val="20"/>
              </w:rPr>
            </w:pPr>
            <w:r w:rsidRPr="00972396">
              <w:rPr>
                <w:sz w:val="20"/>
              </w:rPr>
              <w:t>(0.1-6.1)</w:t>
            </w:r>
          </w:p>
        </w:tc>
      </w:tr>
      <w:tr w:rsidR="003979C2" w:rsidRPr="00972396" w14:paraId="08A70388" w14:textId="77777777" w:rsidTr="00B52D9C">
        <w:tc>
          <w:tcPr>
            <w:tcW w:w="2127" w:type="dxa"/>
            <w:shd w:val="clear" w:color="auto" w:fill="auto"/>
          </w:tcPr>
          <w:p w14:paraId="4600946B" w14:textId="77777777" w:rsidR="003979C2" w:rsidRPr="00972396" w:rsidRDefault="003979C2" w:rsidP="005836D2">
            <w:pPr>
              <w:rPr>
                <w:sz w:val="20"/>
              </w:rPr>
            </w:pPr>
          </w:p>
        </w:tc>
        <w:tc>
          <w:tcPr>
            <w:tcW w:w="283" w:type="dxa"/>
            <w:shd w:val="clear" w:color="auto" w:fill="auto"/>
          </w:tcPr>
          <w:p w14:paraId="1F4AB16D" w14:textId="77777777" w:rsidR="003979C2" w:rsidRPr="00972396" w:rsidRDefault="003979C2" w:rsidP="005836D2">
            <w:pPr>
              <w:rPr>
                <w:sz w:val="20"/>
              </w:rPr>
            </w:pPr>
          </w:p>
        </w:tc>
        <w:tc>
          <w:tcPr>
            <w:tcW w:w="1276" w:type="dxa"/>
            <w:shd w:val="clear" w:color="auto" w:fill="auto"/>
          </w:tcPr>
          <w:p w14:paraId="0F85734C" w14:textId="77777777" w:rsidR="003979C2" w:rsidRPr="00972396" w:rsidRDefault="003979C2" w:rsidP="005836D2">
            <w:pPr>
              <w:jc w:val="center"/>
              <w:rPr>
                <w:sz w:val="20"/>
              </w:rPr>
            </w:pPr>
          </w:p>
        </w:tc>
        <w:tc>
          <w:tcPr>
            <w:tcW w:w="1417" w:type="dxa"/>
            <w:shd w:val="clear" w:color="auto" w:fill="auto"/>
          </w:tcPr>
          <w:p w14:paraId="0DA4F624" w14:textId="77777777" w:rsidR="003979C2" w:rsidRPr="00972396" w:rsidRDefault="003979C2" w:rsidP="005836D2">
            <w:pPr>
              <w:jc w:val="center"/>
              <w:rPr>
                <w:sz w:val="20"/>
              </w:rPr>
            </w:pPr>
          </w:p>
        </w:tc>
        <w:tc>
          <w:tcPr>
            <w:tcW w:w="284" w:type="dxa"/>
            <w:shd w:val="clear" w:color="auto" w:fill="auto"/>
          </w:tcPr>
          <w:p w14:paraId="0C837A27" w14:textId="77777777" w:rsidR="003979C2" w:rsidRPr="00972396" w:rsidRDefault="003979C2" w:rsidP="005836D2">
            <w:pPr>
              <w:rPr>
                <w:sz w:val="20"/>
              </w:rPr>
            </w:pPr>
          </w:p>
        </w:tc>
        <w:tc>
          <w:tcPr>
            <w:tcW w:w="850" w:type="dxa"/>
            <w:shd w:val="clear" w:color="auto" w:fill="auto"/>
          </w:tcPr>
          <w:p w14:paraId="2AF1F10D" w14:textId="77777777" w:rsidR="003979C2" w:rsidRPr="00972396" w:rsidRDefault="003979C2">
            <w:pPr>
              <w:jc w:val="right"/>
              <w:rPr>
                <w:sz w:val="20"/>
              </w:rPr>
            </w:pPr>
          </w:p>
        </w:tc>
        <w:tc>
          <w:tcPr>
            <w:tcW w:w="1276" w:type="dxa"/>
            <w:shd w:val="clear" w:color="auto" w:fill="auto"/>
          </w:tcPr>
          <w:p w14:paraId="1EB9531F" w14:textId="77777777" w:rsidR="003979C2" w:rsidRPr="00972396" w:rsidRDefault="003979C2">
            <w:pPr>
              <w:rPr>
                <w:sz w:val="20"/>
              </w:rPr>
            </w:pPr>
          </w:p>
        </w:tc>
        <w:tc>
          <w:tcPr>
            <w:tcW w:w="335" w:type="dxa"/>
            <w:shd w:val="clear" w:color="auto" w:fill="auto"/>
          </w:tcPr>
          <w:p w14:paraId="46B6861B" w14:textId="77777777" w:rsidR="003979C2" w:rsidRPr="00972396" w:rsidRDefault="003979C2">
            <w:pPr>
              <w:rPr>
                <w:sz w:val="20"/>
              </w:rPr>
            </w:pPr>
          </w:p>
        </w:tc>
        <w:tc>
          <w:tcPr>
            <w:tcW w:w="799" w:type="dxa"/>
            <w:shd w:val="clear" w:color="auto" w:fill="auto"/>
          </w:tcPr>
          <w:p w14:paraId="63439C56" w14:textId="77777777" w:rsidR="003979C2" w:rsidRPr="00972396" w:rsidRDefault="003979C2">
            <w:pPr>
              <w:jc w:val="right"/>
              <w:rPr>
                <w:sz w:val="20"/>
              </w:rPr>
            </w:pPr>
          </w:p>
        </w:tc>
        <w:tc>
          <w:tcPr>
            <w:tcW w:w="1276" w:type="dxa"/>
            <w:shd w:val="clear" w:color="auto" w:fill="auto"/>
          </w:tcPr>
          <w:p w14:paraId="33D189FA" w14:textId="77777777" w:rsidR="003979C2" w:rsidRPr="00972396" w:rsidRDefault="003979C2">
            <w:pPr>
              <w:rPr>
                <w:sz w:val="20"/>
              </w:rPr>
            </w:pPr>
          </w:p>
        </w:tc>
      </w:tr>
      <w:tr w:rsidR="003979C2" w:rsidRPr="00972396" w14:paraId="50F090FF" w14:textId="77777777" w:rsidTr="00B52D9C">
        <w:tc>
          <w:tcPr>
            <w:tcW w:w="2127" w:type="dxa"/>
            <w:shd w:val="clear" w:color="auto" w:fill="auto"/>
          </w:tcPr>
          <w:p w14:paraId="0A3F255E" w14:textId="77777777" w:rsidR="003979C2" w:rsidRPr="00972396" w:rsidRDefault="003979C2" w:rsidP="005836D2">
            <w:pPr>
              <w:rPr>
                <w:b/>
                <w:sz w:val="20"/>
              </w:rPr>
            </w:pPr>
            <w:r w:rsidRPr="00972396">
              <w:rPr>
                <w:b/>
                <w:sz w:val="20"/>
              </w:rPr>
              <w:t>Previous diagnosis  of HAVS</w:t>
            </w:r>
          </w:p>
        </w:tc>
        <w:tc>
          <w:tcPr>
            <w:tcW w:w="283" w:type="dxa"/>
            <w:shd w:val="clear" w:color="auto" w:fill="auto"/>
          </w:tcPr>
          <w:p w14:paraId="33893A07" w14:textId="77777777" w:rsidR="003979C2" w:rsidRPr="00972396" w:rsidRDefault="003979C2" w:rsidP="005836D2">
            <w:pPr>
              <w:rPr>
                <w:sz w:val="20"/>
              </w:rPr>
            </w:pPr>
          </w:p>
        </w:tc>
        <w:tc>
          <w:tcPr>
            <w:tcW w:w="1276" w:type="dxa"/>
            <w:shd w:val="clear" w:color="auto" w:fill="auto"/>
          </w:tcPr>
          <w:p w14:paraId="3283DED5" w14:textId="77777777" w:rsidR="003979C2" w:rsidRPr="00972396" w:rsidRDefault="003979C2" w:rsidP="005836D2">
            <w:pPr>
              <w:jc w:val="center"/>
              <w:rPr>
                <w:sz w:val="20"/>
              </w:rPr>
            </w:pPr>
          </w:p>
        </w:tc>
        <w:tc>
          <w:tcPr>
            <w:tcW w:w="1417" w:type="dxa"/>
            <w:shd w:val="clear" w:color="auto" w:fill="auto"/>
          </w:tcPr>
          <w:p w14:paraId="08086561" w14:textId="77777777" w:rsidR="003979C2" w:rsidRPr="00972396" w:rsidRDefault="003979C2" w:rsidP="005836D2">
            <w:pPr>
              <w:jc w:val="center"/>
              <w:rPr>
                <w:sz w:val="20"/>
              </w:rPr>
            </w:pPr>
          </w:p>
        </w:tc>
        <w:tc>
          <w:tcPr>
            <w:tcW w:w="284" w:type="dxa"/>
            <w:shd w:val="clear" w:color="auto" w:fill="auto"/>
          </w:tcPr>
          <w:p w14:paraId="4525DF1A" w14:textId="77777777" w:rsidR="003979C2" w:rsidRPr="00972396" w:rsidRDefault="003979C2" w:rsidP="005836D2">
            <w:pPr>
              <w:rPr>
                <w:sz w:val="20"/>
              </w:rPr>
            </w:pPr>
          </w:p>
        </w:tc>
        <w:tc>
          <w:tcPr>
            <w:tcW w:w="850" w:type="dxa"/>
            <w:shd w:val="clear" w:color="auto" w:fill="auto"/>
          </w:tcPr>
          <w:p w14:paraId="58ECD05F" w14:textId="77777777" w:rsidR="003979C2" w:rsidRPr="00972396" w:rsidRDefault="003979C2">
            <w:pPr>
              <w:jc w:val="right"/>
              <w:rPr>
                <w:sz w:val="20"/>
              </w:rPr>
            </w:pPr>
          </w:p>
        </w:tc>
        <w:tc>
          <w:tcPr>
            <w:tcW w:w="1276" w:type="dxa"/>
            <w:shd w:val="clear" w:color="auto" w:fill="auto"/>
          </w:tcPr>
          <w:p w14:paraId="1002A3E2" w14:textId="77777777" w:rsidR="003979C2" w:rsidRPr="00972396" w:rsidRDefault="003979C2">
            <w:pPr>
              <w:rPr>
                <w:sz w:val="20"/>
              </w:rPr>
            </w:pPr>
          </w:p>
        </w:tc>
        <w:tc>
          <w:tcPr>
            <w:tcW w:w="335" w:type="dxa"/>
            <w:shd w:val="clear" w:color="auto" w:fill="auto"/>
          </w:tcPr>
          <w:p w14:paraId="5055C0A2" w14:textId="77777777" w:rsidR="003979C2" w:rsidRPr="00972396" w:rsidRDefault="003979C2">
            <w:pPr>
              <w:rPr>
                <w:sz w:val="20"/>
              </w:rPr>
            </w:pPr>
          </w:p>
        </w:tc>
        <w:tc>
          <w:tcPr>
            <w:tcW w:w="799" w:type="dxa"/>
            <w:shd w:val="clear" w:color="auto" w:fill="auto"/>
          </w:tcPr>
          <w:p w14:paraId="04CBF526" w14:textId="77777777" w:rsidR="003979C2" w:rsidRPr="00972396" w:rsidRDefault="003979C2">
            <w:pPr>
              <w:jc w:val="right"/>
              <w:rPr>
                <w:sz w:val="20"/>
              </w:rPr>
            </w:pPr>
          </w:p>
        </w:tc>
        <w:tc>
          <w:tcPr>
            <w:tcW w:w="1276" w:type="dxa"/>
            <w:shd w:val="clear" w:color="auto" w:fill="auto"/>
          </w:tcPr>
          <w:p w14:paraId="1F8874AB" w14:textId="77777777" w:rsidR="003979C2" w:rsidRPr="00972396" w:rsidRDefault="003979C2">
            <w:pPr>
              <w:rPr>
                <w:sz w:val="20"/>
              </w:rPr>
            </w:pPr>
          </w:p>
        </w:tc>
      </w:tr>
      <w:tr w:rsidR="003979C2" w:rsidRPr="00972396" w14:paraId="1EB8A639" w14:textId="77777777" w:rsidTr="00B52D9C">
        <w:tc>
          <w:tcPr>
            <w:tcW w:w="2127" w:type="dxa"/>
            <w:shd w:val="clear" w:color="auto" w:fill="auto"/>
          </w:tcPr>
          <w:p w14:paraId="37F76E6A" w14:textId="77777777" w:rsidR="003979C2" w:rsidRPr="00972396" w:rsidRDefault="003979C2" w:rsidP="005836D2">
            <w:pPr>
              <w:ind w:firstLine="175"/>
              <w:rPr>
                <w:sz w:val="20"/>
              </w:rPr>
            </w:pPr>
            <w:r w:rsidRPr="00972396">
              <w:rPr>
                <w:sz w:val="20"/>
              </w:rPr>
              <w:t>No</w:t>
            </w:r>
          </w:p>
        </w:tc>
        <w:tc>
          <w:tcPr>
            <w:tcW w:w="283" w:type="dxa"/>
            <w:shd w:val="clear" w:color="auto" w:fill="auto"/>
          </w:tcPr>
          <w:p w14:paraId="2A53A1F0" w14:textId="77777777" w:rsidR="003979C2" w:rsidRPr="00972396" w:rsidRDefault="003979C2" w:rsidP="005836D2">
            <w:pPr>
              <w:rPr>
                <w:sz w:val="20"/>
              </w:rPr>
            </w:pPr>
          </w:p>
        </w:tc>
        <w:tc>
          <w:tcPr>
            <w:tcW w:w="1276" w:type="dxa"/>
            <w:shd w:val="clear" w:color="auto" w:fill="auto"/>
          </w:tcPr>
          <w:p w14:paraId="65784E53" w14:textId="77777777" w:rsidR="003979C2" w:rsidRPr="00972396" w:rsidRDefault="003979C2" w:rsidP="005836D2">
            <w:pPr>
              <w:jc w:val="center"/>
              <w:rPr>
                <w:sz w:val="20"/>
              </w:rPr>
            </w:pPr>
            <w:r w:rsidRPr="00972396">
              <w:rPr>
                <w:sz w:val="20"/>
              </w:rPr>
              <w:t>16</w:t>
            </w:r>
          </w:p>
        </w:tc>
        <w:tc>
          <w:tcPr>
            <w:tcW w:w="1417" w:type="dxa"/>
            <w:shd w:val="clear" w:color="auto" w:fill="auto"/>
          </w:tcPr>
          <w:p w14:paraId="5361B3B2" w14:textId="77777777" w:rsidR="003979C2" w:rsidRPr="00972396" w:rsidRDefault="003979C2" w:rsidP="005836D2">
            <w:pPr>
              <w:jc w:val="center"/>
              <w:rPr>
                <w:sz w:val="20"/>
              </w:rPr>
            </w:pPr>
            <w:r w:rsidRPr="00972396">
              <w:rPr>
                <w:sz w:val="20"/>
              </w:rPr>
              <w:t>23</w:t>
            </w:r>
          </w:p>
        </w:tc>
        <w:tc>
          <w:tcPr>
            <w:tcW w:w="284" w:type="dxa"/>
            <w:shd w:val="clear" w:color="auto" w:fill="auto"/>
          </w:tcPr>
          <w:p w14:paraId="6637A2EE" w14:textId="77777777" w:rsidR="003979C2" w:rsidRPr="00972396" w:rsidRDefault="003979C2" w:rsidP="005836D2">
            <w:pPr>
              <w:rPr>
                <w:sz w:val="20"/>
              </w:rPr>
            </w:pPr>
          </w:p>
        </w:tc>
        <w:tc>
          <w:tcPr>
            <w:tcW w:w="850" w:type="dxa"/>
            <w:shd w:val="clear" w:color="auto" w:fill="auto"/>
          </w:tcPr>
          <w:p w14:paraId="7F727A8B" w14:textId="77777777" w:rsidR="003979C2" w:rsidRPr="00972396" w:rsidRDefault="003979C2">
            <w:pPr>
              <w:jc w:val="right"/>
              <w:rPr>
                <w:sz w:val="20"/>
              </w:rPr>
            </w:pPr>
            <w:r w:rsidRPr="00972396">
              <w:rPr>
                <w:sz w:val="20"/>
              </w:rPr>
              <w:t>1</w:t>
            </w:r>
          </w:p>
        </w:tc>
        <w:tc>
          <w:tcPr>
            <w:tcW w:w="1276" w:type="dxa"/>
            <w:shd w:val="clear" w:color="auto" w:fill="auto"/>
          </w:tcPr>
          <w:p w14:paraId="65D430E3" w14:textId="77777777" w:rsidR="003979C2" w:rsidRPr="00972396" w:rsidRDefault="003979C2">
            <w:pPr>
              <w:rPr>
                <w:sz w:val="20"/>
              </w:rPr>
            </w:pPr>
          </w:p>
        </w:tc>
        <w:tc>
          <w:tcPr>
            <w:tcW w:w="335" w:type="dxa"/>
            <w:shd w:val="clear" w:color="auto" w:fill="auto"/>
          </w:tcPr>
          <w:p w14:paraId="18646130" w14:textId="77777777" w:rsidR="003979C2" w:rsidRPr="00972396" w:rsidRDefault="003979C2">
            <w:pPr>
              <w:rPr>
                <w:sz w:val="20"/>
              </w:rPr>
            </w:pPr>
          </w:p>
        </w:tc>
        <w:tc>
          <w:tcPr>
            <w:tcW w:w="799" w:type="dxa"/>
            <w:shd w:val="clear" w:color="auto" w:fill="auto"/>
          </w:tcPr>
          <w:p w14:paraId="5DF1376B" w14:textId="77777777" w:rsidR="003979C2" w:rsidRPr="00972396" w:rsidRDefault="003979C2">
            <w:pPr>
              <w:jc w:val="right"/>
              <w:rPr>
                <w:sz w:val="20"/>
              </w:rPr>
            </w:pPr>
            <w:r w:rsidRPr="00972396">
              <w:rPr>
                <w:sz w:val="20"/>
              </w:rPr>
              <w:t>1</w:t>
            </w:r>
          </w:p>
        </w:tc>
        <w:tc>
          <w:tcPr>
            <w:tcW w:w="1276" w:type="dxa"/>
            <w:shd w:val="clear" w:color="auto" w:fill="auto"/>
          </w:tcPr>
          <w:p w14:paraId="09E7DA91" w14:textId="77777777" w:rsidR="003979C2" w:rsidRPr="00972396" w:rsidRDefault="003979C2">
            <w:pPr>
              <w:rPr>
                <w:sz w:val="20"/>
              </w:rPr>
            </w:pPr>
          </w:p>
        </w:tc>
      </w:tr>
      <w:tr w:rsidR="003979C2" w:rsidRPr="00972396" w14:paraId="614368AF" w14:textId="77777777" w:rsidTr="00B52D9C">
        <w:tc>
          <w:tcPr>
            <w:tcW w:w="2127" w:type="dxa"/>
            <w:shd w:val="clear" w:color="auto" w:fill="auto"/>
          </w:tcPr>
          <w:p w14:paraId="2CCD9F5E" w14:textId="77777777" w:rsidR="003979C2" w:rsidRPr="00972396" w:rsidRDefault="003979C2" w:rsidP="005836D2">
            <w:pPr>
              <w:ind w:firstLine="175"/>
              <w:rPr>
                <w:sz w:val="20"/>
              </w:rPr>
            </w:pPr>
            <w:r w:rsidRPr="00972396">
              <w:rPr>
                <w:sz w:val="20"/>
              </w:rPr>
              <w:t>Yes</w:t>
            </w:r>
          </w:p>
        </w:tc>
        <w:tc>
          <w:tcPr>
            <w:tcW w:w="283" w:type="dxa"/>
            <w:shd w:val="clear" w:color="auto" w:fill="auto"/>
          </w:tcPr>
          <w:p w14:paraId="676797A3" w14:textId="77777777" w:rsidR="003979C2" w:rsidRPr="00972396" w:rsidRDefault="003979C2" w:rsidP="005836D2">
            <w:pPr>
              <w:rPr>
                <w:sz w:val="20"/>
              </w:rPr>
            </w:pPr>
          </w:p>
        </w:tc>
        <w:tc>
          <w:tcPr>
            <w:tcW w:w="1276" w:type="dxa"/>
            <w:shd w:val="clear" w:color="auto" w:fill="auto"/>
          </w:tcPr>
          <w:p w14:paraId="0C3134CA" w14:textId="77777777" w:rsidR="003979C2" w:rsidRPr="00972396" w:rsidRDefault="003979C2" w:rsidP="005836D2">
            <w:pPr>
              <w:jc w:val="center"/>
              <w:rPr>
                <w:sz w:val="20"/>
              </w:rPr>
            </w:pPr>
            <w:r w:rsidRPr="00972396">
              <w:rPr>
                <w:sz w:val="20"/>
              </w:rPr>
              <w:t>7</w:t>
            </w:r>
          </w:p>
        </w:tc>
        <w:tc>
          <w:tcPr>
            <w:tcW w:w="1417" w:type="dxa"/>
            <w:shd w:val="clear" w:color="auto" w:fill="auto"/>
          </w:tcPr>
          <w:p w14:paraId="56C2E46D" w14:textId="77777777" w:rsidR="003979C2" w:rsidRPr="00972396" w:rsidRDefault="003979C2" w:rsidP="005836D2">
            <w:pPr>
              <w:jc w:val="center"/>
              <w:rPr>
                <w:sz w:val="20"/>
              </w:rPr>
            </w:pPr>
            <w:r w:rsidRPr="00972396">
              <w:rPr>
                <w:sz w:val="20"/>
              </w:rPr>
              <w:t>32</w:t>
            </w:r>
          </w:p>
        </w:tc>
        <w:tc>
          <w:tcPr>
            <w:tcW w:w="284" w:type="dxa"/>
            <w:shd w:val="clear" w:color="auto" w:fill="auto"/>
          </w:tcPr>
          <w:p w14:paraId="0DC20889" w14:textId="77777777" w:rsidR="003979C2" w:rsidRPr="00972396" w:rsidRDefault="003979C2" w:rsidP="005836D2">
            <w:pPr>
              <w:rPr>
                <w:sz w:val="20"/>
              </w:rPr>
            </w:pPr>
          </w:p>
        </w:tc>
        <w:tc>
          <w:tcPr>
            <w:tcW w:w="850" w:type="dxa"/>
            <w:shd w:val="clear" w:color="auto" w:fill="auto"/>
          </w:tcPr>
          <w:p w14:paraId="67CE2890" w14:textId="77777777" w:rsidR="003979C2" w:rsidRPr="00972396" w:rsidRDefault="003979C2">
            <w:pPr>
              <w:jc w:val="right"/>
              <w:rPr>
                <w:sz w:val="20"/>
              </w:rPr>
            </w:pPr>
            <w:r w:rsidRPr="00972396">
              <w:rPr>
                <w:sz w:val="20"/>
              </w:rPr>
              <w:t>0.3</w:t>
            </w:r>
          </w:p>
        </w:tc>
        <w:tc>
          <w:tcPr>
            <w:tcW w:w="1276" w:type="dxa"/>
            <w:shd w:val="clear" w:color="auto" w:fill="auto"/>
          </w:tcPr>
          <w:p w14:paraId="6AF71060" w14:textId="77777777" w:rsidR="003979C2" w:rsidRPr="00972396" w:rsidRDefault="003979C2">
            <w:pPr>
              <w:rPr>
                <w:sz w:val="20"/>
              </w:rPr>
            </w:pPr>
            <w:r w:rsidRPr="00972396">
              <w:rPr>
                <w:sz w:val="20"/>
              </w:rPr>
              <w:t>(0.1-0.9)</w:t>
            </w:r>
          </w:p>
        </w:tc>
        <w:tc>
          <w:tcPr>
            <w:tcW w:w="335" w:type="dxa"/>
            <w:shd w:val="clear" w:color="auto" w:fill="auto"/>
          </w:tcPr>
          <w:p w14:paraId="233C1A94" w14:textId="77777777" w:rsidR="003979C2" w:rsidRPr="00972396" w:rsidRDefault="003979C2">
            <w:pPr>
              <w:rPr>
                <w:sz w:val="20"/>
              </w:rPr>
            </w:pPr>
          </w:p>
        </w:tc>
        <w:tc>
          <w:tcPr>
            <w:tcW w:w="799" w:type="dxa"/>
            <w:shd w:val="clear" w:color="auto" w:fill="auto"/>
          </w:tcPr>
          <w:p w14:paraId="53D4623A" w14:textId="77777777" w:rsidR="003979C2" w:rsidRPr="00972396" w:rsidRDefault="003979C2">
            <w:pPr>
              <w:jc w:val="right"/>
              <w:rPr>
                <w:sz w:val="20"/>
              </w:rPr>
            </w:pPr>
            <w:r w:rsidRPr="00972396">
              <w:rPr>
                <w:sz w:val="20"/>
              </w:rPr>
              <w:t>0.2</w:t>
            </w:r>
          </w:p>
        </w:tc>
        <w:tc>
          <w:tcPr>
            <w:tcW w:w="1276" w:type="dxa"/>
            <w:shd w:val="clear" w:color="auto" w:fill="auto"/>
          </w:tcPr>
          <w:p w14:paraId="15C92955" w14:textId="77777777" w:rsidR="003979C2" w:rsidRPr="00972396" w:rsidRDefault="003979C2">
            <w:pPr>
              <w:rPr>
                <w:sz w:val="20"/>
              </w:rPr>
            </w:pPr>
            <w:r w:rsidRPr="00972396">
              <w:rPr>
                <w:sz w:val="20"/>
              </w:rPr>
              <w:t>(0.1-0.9)</w:t>
            </w:r>
          </w:p>
        </w:tc>
      </w:tr>
      <w:tr w:rsidR="003979C2" w:rsidRPr="00972396" w14:paraId="3D080393" w14:textId="77777777" w:rsidTr="00B52D9C">
        <w:trPr>
          <w:trHeight w:val="113"/>
        </w:trPr>
        <w:tc>
          <w:tcPr>
            <w:tcW w:w="2127" w:type="dxa"/>
            <w:tcBorders>
              <w:bottom w:val="single" w:sz="12" w:space="0" w:color="auto"/>
            </w:tcBorders>
            <w:shd w:val="clear" w:color="auto" w:fill="auto"/>
          </w:tcPr>
          <w:p w14:paraId="7213F45D" w14:textId="77777777" w:rsidR="003979C2" w:rsidRPr="00972396" w:rsidRDefault="003979C2" w:rsidP="005836D2">
            <w:pPr>
              <w:spacing w:line="240" w:lineRule="auto"/>
              <w:ind w:firstLine="175"/>
              <w:rPr>
                <w:sz w:val="20"/>
              </w:rPr>
            </w:pPr>
          </w:p>
        </w:tc>
        <w:tc>
          <w:tcPr>
            <w:tcW w:w="283" w:type="dxa"/>
            <w:tcBorders>
              <w:bottom w:val="single" w:sz="12" w:space="0" w:color="auto"/>
            </w:tcBorders>
            <w:shd w:val="clear" w:color="auto" w:fill="auto"/>
          </w:tcPr>
          <w:p w14:paraId="0292781E" w14:textId="77777777" w:rsidR="003979C2" w:rsidRPr="00972396" w:rsidRDefault="003979C2" w:rsidP="005836D2">
            <w:pPr>
              <w:spacing w:line="240" w:lineRule="auto"/>
              <w:rPr>
                <w:sz w:val="20"/>
              </w:rPr>
            </w:pPr>
          </w:p>
        </w:tc>
        <w:tc>
          <w:tcPr>
            <w:tcW w:w="1276" w:type="dxa"/>
            <w:tcBorders>
              <w:bottom w:val="single" w:sz="12" w:space="0" w:color="auto"/>
            </w:tcBorders>
            <w:shd w:val="clear" w:color="auto" w:fill="auto"/>
          </w:tcPr>
          <w:p w14:paraId="4816D2C4" w14:textId="77777777" w:rsidR="003979C2" w:rsidRPr="00972396" w:rsidRDefault="003979C2" w:rsidP="005836D2">
            <w:pPr>
              <w:spacing w:line="240" w:lineRule="auto"/>
              <w:jc w:val="center"/>
              <w:rPr>
                <w:sz w:val="20"/>
              </w:rPr>
            </w:pPr>
          </w:p>
        </w:tc>
        <w:tc>
          <w:tcPr>
            <w:tcW w:w="1417" w:type="dxa"/>
            <w:tcBorders>
              <w:bottom w:val="single" w:sz="12" w:space="0" w:color="auto"/>
            </w:tcBorders>
            <w:shd w:val="clear" w:color="auto" w:fill="auto"/>
          </w:tcPr>
          <w:p w14:paraId="2EA08811" w14:textId="77777777" w:rsidR="003979C2" w:rsidRPr="00972396" w:rsidRDefault="003979C2" w:rsidP="005836D2">
            <w:pPr>
              <w:spacing w:line="240" w:lineRule="auto"/>
              <w:jc w:val="center"/>
              <w:rPr>
                <w:sz w:val="20"/>
              </w:rPr>
            </w:pPr>
          </w:p>
        </w:tc>
        <w:tc>
          <w:tcPr>
            <w:tcW w:w="284" w:type="dxa"/>
            <w:tcBorders>
              <w:bottom w:val="single" w:sz="12" w:space="0" w:color="auto"/>
            </w:tcBorders>
            <w:shd w:val="clear" w:color="auto" w:fill="auto"/>
          </w:tcPr>
          <w:p w14:paraId="5F90BD01" w14:textId="77777777" w:rsidR="003979C2" w:rsidRPr="00972396" w:rsidRDefault="003979C2" w:rsidP="005836D2">
            <w:pPr>
              <w:spacing w:line="240" w:lineRule="auto"/>
              <w:rPr>
                <w:sz w:val="20"/>
              </w:rPr>
            </w:pPr>
          </w:p>
        </w:tc>
        <w:tc>
          <w:tcPr>
            <w:tcW w:w="850" w:type="dxa"/>
            <w:tcBorders>
              <w:bottom w:val="single" w:sz="12" w:space="0" w:color="auto"/>
            </w:tcBorders>
            <w:shd w:val="clear" w:color="auto" w:fill="auto"/>
          </w:tcPr>
          <w:p w14:paraId="4EAFBE7B" w14:textId="77777777" w:rsidR="003979C2" w:rsidRPr="00972396" w:rsidRDefault="003979C2" w:rsidP="00B52D9C">
            <w:pPr>
              <w:spacing w:line="240" w:lineRule="auto"/>
              <w:jc w:val="right"/>
              <w:rPr>
                <w:sz w:val="20"/>
              </w:rPr>
            </w:pPr>
          </w:p>
        </w:tc>
        <w:tc>
          <w:tcPr>
            <w:tcW w:w="1276" w:type="dxa"/>
            <w:tcBorders>
              <w:bottom w:val="single" w:sz="12" w:space="0" w:color="auto"/>
            </w:tcBorders>
            <w:shd w:val="clear" w:color="auto" w:fill="auto"/>
          </w:tcPr>
          <w:p w14:paraId="472B5CD5" w14:textId="77777777" w:rsidR="003979C2" w:rsidRPr="00972396" w:rsidRDefault="003979C2" w:rsidP="00B52D9C">
            <w:pPr>
              <w:spacing w:line="240" w:lineRule="auto"/>
              <w:rPr>
                <w:sz w:val="20"/>
              </w:rPr>
            </w:pPr>
          </w:p>
        </w:tc>
        <w:tc>
          <w:tcPr>
            <w:tcW w:w="335" w:type="dxa"/>
            <w:tcBorders>
              <w:bottom w:val="single" w:sz="12" w:space="0" w:color="auto"/>
            </w:tcBorders>
            <w:shd w:val="clear" w:color="auto" w:fill="auto"/>
          </w:tcPr>
          <w:p w14:paraId="659543A6" w14:textId="77777777" w:rsidR="003979C2" w:rsidRPr="00972396" w:rsidRDefault="003979C2" w:rsidP="00B52D9C">
            <w:pPr>
              <w:spacing w:line="240" w:lineRule="auto"/>
              <w:rPr>
                <w:sz w:val="20"/>
              </w:rPr>
            </w:pPr>
          </w:p>
        </w:tc>
        <w:tc>
          <w:tcPr>
            <w:tcW w:w="799" w:type="dxa"/>
            <w:tcBorders>
              <w:bottom w:val="single" w:sz="12" w:space="0" w:color="auto"/>
            </w:tcBorders>
            <w:shd w:val="clear" w:color="auto" w:fill="auto"/>
          </w:tcPr>
          <w:p w14:paraId="2A512334" w14:textId="77777777" w:rsidR="003979C2" w:rsidRPr="00972396" w:rsidRDefault="003979C2" w:rsidP="00B52D9C">
            <w:pPr>
              <w:spacing w:line="240" w:lineRule="auto"/>
              <w:jc w:val="right"/>
              <w:rPr>
                <w:sz w:val="20"/>
              </w:rPr>
            </w:pPr>
          </w:p>
        </w:tc>
        <w:tc>
          <w:tcPr>
            <w:tcW w:w="1276" w:type="dxa"/>
            <w:tcBorders>
              <w:bottom w:val="single" w:sz="12" w:space="0" w:color="auto"/>
            </w:tcBorders>
            <w:shd w:val="clear" w:color="auto" w:fill="auto"/>
          </w:tcPr>
          <w:p w14:paraId="05C04AF3" w14:textId="77777777" w:rsidR="003979C2" w:rsidRPr="00972396" w:rsidRDefault="003979C2" w:rsidP="00B52D9C">
            <w:pPr>
              <w:spacing w:line="240" w:lineRule="auto"/>
              <w:rPr>
                <w:sz w:val="20"/>
              </w:rPr>
            </w:pPr>
          </w:p>
        </w:tc>
      </w:tr>
    </w:tbl>
    <w:p w14:paraId="777DFA30" w14:textId="77777777" w:rsidR="003979C2" w:rsidRPr="00225390" w:rsidRDefault="003979C2" w:rsidP="003979C2">
      <w:pPr>
        <w:rPr>
          <w:vertAlign w:val="superscript"/>
        </w:rPr>
      </w:pPr>
    </w:p>
    <w:p w14:paraId="36F3F0D5" w14:textId="77777777" w:rsidR="003979C2" w:rsidRPr="0050752B" w:rsidRDefault="003979C2" w:rsidP="003979C2">
      <w:pPr>
        <w:rPr>
          <w:sz w:val="20"/>
        </w:rPr>
      </w:pPr>
      <w:proofErr w:type="spellStart"/>
      <w:proofErr w:type="gramStart"/>
      <w:r w:rsidRPr="0050752B">
        <w:rPr>
          <w:sz w:val="20"/>
          <w:vertAlign w:val="superscript"/>
        </w:rPr>
        <w:t>a</w:t>
      </w:r>
      <w:r w:rsidRPr="0050752B">
        <w:rPr>
          <w:sz w:val="20"/>
        </w:rPr>
        <w:t>Each</w:t>
      </w:r>
      <w:proofErr w:type="spellEnd"/>
      <w:proofErr w:type="gramEnd"/>
      <w:r w:rsidRPr="0050752B">
        <w:rPr>
          <w:sz w:val="20"/>
        </w:rPr>
        <w:t xml:space="preserve"> risk factor was examined independently</w:t>
      </w:r>
    </w:p>
    <w:p w14:paraId="476AFCB6" w14:textId="77777777" w:rsidR="003979C2" w:rsidRPr="0050752B" w:rsidRDefault="003979C2" w:rsidP="003979C2">
      <w:pPr>
        <w:rPr>
          <w:sz w:val="20"/>
        </w:rPr>
      </w:pPr>
      <w:proofErr w:type="spellStart"/>
      <w:proofErr w:type="gramStart"/>
      <w:r w:rsidRPr="0050752B">
        <w:rPr>
          <w:sz w:val="20"/>
          <w:vertAlign w:val="superscript"/>
        </w:rPr>
        <w:t>b</w:t>
      </w:r>
      <w:r w:rsidRPr="0050752B">
        <w:rPr>
          <w:sz w:val="20"/>
        </w:rPr>
        <w:t>Unadjusted</w:t>
      </w:r>
      <w:proofErr w:type="spellEnd"/>
      <w:proofErr w:type="gramEnd"/>
    </w:p>
    <w:p w14:paraId="6E6DAA15" w14:textId="77777777" w:rsidR="003979C2" w:rsidRPr="0050752B" w:rsidRDefault="003979C2" w:rsidP="003979C2">
      <w:pPr>
        <w:rPr>
          <w:sz w:val="20"/>
        </w:rPr>
      </w:pPr>
      <w:proofErr w:type="spellStart"/>
      <w:proofErr w:type="gramStart"/>
      <w:r w:rsidRPr="0050752B">
        <w:rPr>
          <w:sz w:val="20"/>
          <w:vertAlign w:val="superscript"/>
        </w:rPr>
        <w:t>c</w:t>
      </w:r>
      <w:r w:rsidRPr="0050752B">
        <w:rPr>
          <w:sz w:val="20"/>
        </w:rPr>
        <w:t>Adjusted</w:t>
      </w:r>
      <w:proofErr w:type="spellEnd"/>
      <w:proofErr w:type="gramEnd"/>
      <w:r w:rsidRPr="0050752B">
        <w:rPr>
          <w:sz w:val="20"/>
        </w:rPr>
        <w:t xml:space="preserve"> for body mass index (&lt;25, 25-29.9, ≥30 kg/m</w:t>
      </w:r>
      <w:r w:rsidRPr="0050752B">
        <w:rPr>
          <w:sz w:val="20"/>
          <w:vertAlign w:val="superscript"/>
        </w:rPr>
        <w:t>2</w:t>
      </w:r>
      <w:r w:rsidRPr="0050752B">
        <w:rPr>
          <w:sz w:val="20"/>
        </w:rPr>
        <w:t>) and past history of diabetes</w:t>
      </w:r>
    </w:p>
    <w:p w14:paraId="0022CAEA" w14:textId="77777777" w:rsidR="003979C2" w:rsidRPr="003613CE" w:rsidRDefault="003979C2" w:rsidP="003979C2"/>
    <w:p w14:paraId="51CF1A0B" w14:textId="04AE0B58" w:rsidR="003979C2" w:rsidRDefault="003979C2" w:rsidP="003979C2"/>
    <w:p w14:paraId="11270A31" w14:textId="77777777" w:rsidR="003979C2" w:rsidRDefault="003979C2" w:rsidP="00B52D9C"/>
    <w:p w14:paraId="21BEB4C6" w14:textId="77777777" w:rsidR="003979C2" w:rsidRDefault="003979C2" w:rsidP="003979C2">
      <w:pPr>
        <w:sectPr w:rsidR="003979C2">
          <w:footerReference w:type="default" r:id="rId13"/>
          <w:pgSz w:w="11906" w:h="16838"/>
          <w:pgMar w:top="1440" w:right="1440" w:bottom="1440" w:left="1440" w:header="708" w:footer="708" w:gutter="0"/>
          <w:cols w:space="708"/>
          <w:docGrid w:linePitch="360"/>
        </w:sectPr>
      </w:pPr>
    </w:p>
    <w:p w14:paraId="2C29C189" w14:textId="77777777" w:rsidR="003979C2" w:rsidRDefault="003979C2" w:rsidP="003979C2"/>
    <w:p w14:paraId="58F261AF" w14:textId="77777777" w:rsidR="003979C2" w:rsidRDefault="003979C2" w:rsidP="003979C2">
      <w:pPr>
        <w:pStyle w:val="Heading4"/>
        <w:ind w:left="1440" w:hanging="1440"/>
      </w:pPr>
      <w:r>
        <w:t>Table 2</w:t>
      </w:r>
      <w:r>
        <w:tab/>
        <w:t>Current exposure to hand-transmitted vibration among workers with a previous diagnosis of hand-arm vibration syndrome</w:t>
      </w:r>
    </w:p>
    <w:p w14:paraId="659A6A43" w14:textId="77777777" w:rsidR="003979C2" w:rsidRDefault="003979C2" w:rsidP="003979C2"/>
    <w:tbl>
      <w:tblPr>
        <w:tblpPr w:leftFromText="180" w:rightFromText="180" w:vertAnchor="page" w:horzAnchor="margin" w:tblpXSpec="center" w:tblpY="2786"/>
        <w:tblW w:w="0" w:type="auto"/>
        <w:tblLook w:val="04A0" w:firstRow="1" w:lastRow="0" w:firstColumn="1" w:lastColumn="0" w:noHBand="0" w:noVBand="1"/>
      </w:tblPr>
      <w:tblGrid>
        <w:gridCol w:w="1959"/>
        <w:gridCol w:w="246"/>
        <w:gridCol w:w="1402"/>
        <w:gridCol w:w="1599"/>
        <w:gridCol w:w="284"/>
        <w:gridCol w:w="1701"/>
        <w:gridCol w:w="1559"/>
      </w:tblGrid>
      <w:tr w:rsidR="003979C2" w:rsidRPr="00972396" w14:paraId="1DDC984B" w14:textId="77777777" w:rsidTr="00B52D9C">
        <w:tc>
          <w:tcPr>
            <w:tcW w:w="1959" w:type="dxa"/>
            <w:vMerge w:val="restart"/>
            <w:tcBorders>
              <w:top w:val="single" w:sz="12" w:space="0" w:color="auto"/>
            </w:tcBorders>
            <w:shd w:val="clear" w:color="auto" w:fill="auto"/>
          </w:tcPr>
          <w:p w14:paraId="6FEB778F" w14:textId="77777777" w:rsidR="003979C2" w:rsidRPr="00972396" w:rsidRDefault="003979C2" w:rsidP="005836D2">
            <w:r w:rsidRPr="00972396">
              <w:rPr>
                <w:b/>
              </w:rPr>
              <w:t>Current exposure to HTV (A8 in m/s</w:t>
            </w:r>
            <w:r w:rsidRPr="00972396">
              <w:rPr>
                <w:b/>
                <w:vertAlign w:val="superscript"/>
              </w:rPr>
              <w:t>2</w:t>
            </w:r>
            <w:r w:rsidRPr="00972396">
              <w:rPr>
                <w:b/>
              </w:rPr>
              <w:t>)</w:t>
            </w:r>
          </w:p>
        </w:tc>
        <w:tc>
          <w:tcPr>
            <w:tcW w:w="246" w:type="dxa"/>
            <w:tcBorders>
              <w:top w:val="single" w:sz="12" w:space="0" w:color="auto"/>
            </w:tcBorders>
            <w:shd w:val="clear" w:color="auto" w:fill="auto"/>
          </w:tcPr>
          <w:p w14:paraId="3756A661" w14:textId="77777777" w:rsidR="003979C2" w:rsidRPr="00972396" w:rsidRDefault="003979C2" w:rsidP="005836D2">
            <w:pPr>
              <w:rPr>
                <w:b/>
              </w:rPr>
            </w:pPr>
          </w:p>
        </w:tc>
        <w:tc>
          <w:tcPr>
            <w:tcW w:w="3001" w:type="dxa"/>
            <w:gridSpan w:val="2"/>
            <w:tcBorders>
              <w:top w:val="single" w:sz="12" w:space="0" w:color="auto"/>
            </w:tcBorders>
            <w:shd w:val="clear" w:color="auto" w:fill="auto"/>
          </w:tcPr>
          <w:p w14:paraId="1239B3C7" w14:textId="77777777" w:rsidR="003979C2" w:rsidRPr="00972396" w:rsidRDefault="003979C2" w:rsidP="005836D2">
            <w:pPr>
              <w:jc w:val="center"/>
              <w:rPr>
                <w:b/>
              </w:rPr>
            </w:pPr>
            <w:r w:rsidRPr="00972396">
              <w:rPr>
                <w:b/>
              </w:rPr>
              <w:t>CTS cases</w:t>
            </w:r>
          </w:p>
        </w:tc>
        <w:tc>
          <w:tcPr>
            <w:tcW w:w="284" w:type="dxa"/>
            <w:tcBorders>
              <w:top w:val="single" w:sz="12" w:space="0" w:color="auto"/>
            </w:tcBorders>
            <w:shd w:val="clear" w:color="auto" w:fill="auto"/>
          </w:tcPr>
          <w:p w14:paraId="4AB29948" w14:textId="77777777" w:rsidR="003979C2" w:rsidRPr="00972396" w:rsidRDefault="003979C2" w:rsidP="005836D2">
            <w:pPr>
              <w:jc w:val="center"/>
              <w:rPr>
                <w:b/>
              </w:rPr>
            </w:pPr>
          </w:p>
        </w:tc>
        <w:tc>
          <w:tcPr>
            <w:tcW w:w="3260" w:type="dxa"/>
            <w:gridSpan w:val="2"/>
            <w:tcBorders>
              <w:top w:val="single" w:sz="12" w:space="0" w:color="auto"/>
            </w:tcBorders>
            <w:shd w:val="clear" w:color="auto" w:fill="auto"/>
          </w:tcPr>
          <w:p w14:paraId="40AF3DA4" w14:textId="77777777" w:rsidR="003979C2" w:rsidRPr="00972396" w:rsidRDefault="003979C2" w:rsidP="005836D2">
            <w:pPr>
              <w:jc w:val="center"/>
            </w:pPr>
            <w:r w:rsidRPr="00972396">
              <w:rPr>
                <w:b/>
              </w:rPr>
              <w:t>Controls</w:t>
            </w:r>
          </w:p>
        </w:tc>
      </w:tr>
      <w:tr w:rsidR="003979C2" w:rsidRPr="00972396" w14:paraId="643E606C" w14:textId="77777777" w:rsidTr="00B52D9C">
        <w:tc>
          <w:tcPr>
            <w:tcW w:w="1959" w:type="dxa"/>
            <w:vMerge/>
            <w:shd w:val="clear" w:color="auto" w:fill="auto"/>
          </w:tcPr>
          <w:p w14:paraId="32CB3550" w14:textId="77777777" w:rsidR="003979C2" w:rsidRPr="00972396" w:rsidRDefault="003979C2" w:rsidP="00B52D9C"/>
        </w:tc>
        <w:tc>
          <w:tcPr>
            <w:tcW w:w="246" w:type="dxa"/>
            <w:shd w:val="clear" w:color="auto" w:fill="auto"/>
          </w:tcPr>
          <w:p w14:paraId="38C8FD27" w14:textId="77777777" w:rsidR="003979C2" w:rsidRPr="00972396" w:rsidRDefault="003979C2" w:rsidP="00B52D9C">
            <w:pPr>
              <w:rPr>
                <w:b/>
              </w:rPr>
            </w:pPr>
          </w:p>
        </w:tc>
        <w:tc>
          <w:tcPr>
            <w:tcW w:w="1402" w:type="dxa"/>
            <w:shd w:val="clear" w:color="auto" w:fill="auto"/>
          </w:tcPr>
          <w:p w14:paraId="11A498C3" w14:textId="77777777" w:rsidR="003979C2" w:rsidRPr="00972396" w:rsidRDefault="003979C2" w:rsidP="00B52D9C">
            <w:pPr>
              <w:jc w:val="center"/>
            </w:pPr>
            <w:r w:rsidRPr="00972396">
              <w:rPr>
                <w:b/>
              </w:rPr>
              <w:t>Previous diagnosis  of HAVS</w:t>
            </w:r>
          </w:p>
        </w:tc>
        <w:tc>
          <w:tcPr>
            <w:tcW w:w="1599" w:type="dxa"/>
            <w:shd w:val="clear" w:color="auto" w:fill="auto"/>
          </w:tcPr>
          <w:p w14:paraId="72853147" w14:textId="77777777" w:rsidR="003979C2" w:rsidRPr="00972396" w:rsidRDefault="003979C2" w:rsidP="00B52D9C">
            <w:pPr>
              <w:jc w:val="center"/>
            </w:pPr>
            <w:r w:rsidRPr="00972396">
              <w:rPr>
                <w:b/>
              </w:rPr>
              <w:t>No previous diagnosis  of HAVS</w:t>
            </w:r>
          </w:p>
        </w:tc>
        <w:tc>
          <w:tcPr>
            <w:tcW w:w="284" w:type="dxa"/>
            <w:shd w:val="clear" w:color="auto" w:fill="auto"/>
          </w:tcPr>
          <w:p w14:paraId="7AC052B9" w14:textId="77777777" w:rsidR="003979C2" w:rsidRPr="00972396" w:rsidRDefault="003979C2" w:rsidP="00B52D9C">
            <w:pPr>
              <w:jc w:val="center"/>
              <w:rPr>
                <w:b/>
              </w:rPr>
            </w:pPr>
          </w:p>
        </w:tc>
        <w:tc>
          <w:tcPr>
            <w:tcW w:w="1701" w:type="dxa"/>
            <w:shd w:val="clear" w:color="auto" w:fill="auto"/>
          </w:tcPr>
          <w:p w14:paraId="3F326CA2" w14:textId="77777777" w:rsidR="003979C2" w:rsidRPr="00972396" w:rsidRDefault="003979C2" w:rsidP="00B52D9C">
            <w:pPr>
              <w:jc w:val="center"/>
            </w:pPr>
            <w:r w:rsidRPr="00972396">
              <w:rPr>
                <w:b/>
              </w:rPr>
              <w:t>Previous diagnosis  of HAVS</w:t>
            </w:r>
          </w:p>
        </w:tc>
        <w:tc>
          <w:tcPr>
            <w:tcW w:w="1559" w:type="dxa"/>
            <w:shd w:val="clear" w:color="auto" w:fill="auto"/>
          </w:tcPr>
          <w:p w14:paraId="0C7E4C36" w14:textId="77777777" w:rsidR="003979C2" w:rsidRPr="00972396" w:rsidRDefault="003979C2" w:rsidP="00B52D9C">
            <w:pPr>
              <w:jc w:val="center"/>
            </w:pPr>
            <w:r w:rsidRPr="00972396">
              <w:rPr>
                <w:b/>
              </w:rPr>
              <w:t>No previous diagnosis  of HAVS</w:t>
            </w:r>
          </w:p>
        </w:tc>
      </w:tr>
      <w:tr w:rsidR="003979C2" w:rsidRPr="00972396" w14:paraId="5C33E0AD" w14:textId="77777777" w:rsidTr="00B52D9C">
        <w:tc>
          <w:tcPr>
            <w:tcW w:w="1959" w:type="dxa"/>
            <w:tcBorders>
              <w:top w:val="single" w:sz="12" w:space="0" w:color="auto"/>
            </w:tcBorders>
            <w:shd w:val="clear" w:color="auto" w:fill="auto"/>
          </w:tcPr>
          <w:p w14:paraId="480600E7" w14:textId="77777777" w:rsidR="003979C2" w:rsidRPr="00972396" w:rsidRDefault="003979C2" w:rsidP="005836D2"/>
        </w:tc>
        <w:tc>
          <w:tcPr>
            <w:tcW w:w="246" w:type="dxa"/>
            <w:tcBorders>
              <w:top w:val="single" w:sz="12" w:space="0" w:color="auto"/>
            </w:tcBorders>
            <w:shd w:val="clear" w:color="auto" w:fill="auto"/>
          </w:tcPr>
          <w:p w14:paraId="295D6673" w14:textId="77777777" w:rsidR="003979C2" w:rsidRPr="00972396" w:rsidRDefault="003979C2" w:rsidP="005836D2"/>
        </w:tc>
        <w:tc>
          <w:tcPr>
            <w:tcW w:w="1402" w:type="dxa"/>
            <w:tcBorders>
              <w:top w:val="single" w:sz="12" w:space="0" w:color="auto"/>
            </w:tcBorders>
            <w:shd w:val="clear" w:color="auto" w:fill="auto"/>
          </w:tcPr>
          <w:p w14:paraId="7F301D05" w14:textId="77777777" w:rsidR="003979C2" w:rsidRPr="00972396" w:rsidRDefault="003979C2" w:rsidP="005836D2"/>
        </w:tc>
        <w:tc>
          <w:tcPr>
            <w:tcW w:w="1599" w:type="dxa"/>
            <w:tcBorders>
              <w:top w:val="single" w:sz="12" w:space="0" w:color="auto"/>
            </w:tcBorders>
            <w:shd w:val="clear" w:color="auto" w:fill="auto"/>
          </w:tcPr>
          <w:p w14:paraId="73D64173" w14:textId="77777777" w:rsidR="003979C2" w:rsidRPr="00972396" w:rsidRDefault="003979C2" w:rsidP="005836D2"/>
        </w:tc>
        <w:tc>
          <w:tcPr>
            <w:tcW w:w="284" w:type="dxa"/>
            <w:tcBorders>
              <w:top w:val="single" w:sz="12" w:space="0" w:color="auto"/>
            </w:tcBorders>
            <w:shd w:val="clear" w:color="auto" w:fill="auto"/>
          </w:tcPr>
          <w:p w14:paraId="7D99C3B2" w14:textId="77777777" w:rsidR="003979C2" w:rsidRPr="00972396" w:rsidRDefault="003979C2" w:rsidP="005836D2"/>
        </w:tc>
        <w:tc>
          <w:tcPr>
            <w:tcW w:w="1701" w:type="dxa"/>
            <w:tcBorders>
              <w:top w:val="single" w:sz="12" w:space="0" w:color="auto"/>
            </w:tcBorders>
            <w:shd w:val="clear" w:color="auto" w:fill="auto"/>
          </w:tcPr>
          <w:p w14:paraId="0EF58BAA" w14:textId="77777777" w:rsidR="003979C2" w:rsidRPr="00972396" w:rsidRDefault="003979C2" w:rsidP="00B52D9C"/>
        </w:tc>
        <w:tc>
          <w:tcPr>
            <w:tcW w:w="1559" w:type="dxa"/>
            <w:tcBorders>
              <w:top w:val="single" w:sz="12" w:space="0" w:color="auto"/>
            </w:tcBorders>
            <w:shd w:val="clear" w:color="auto" w:fill="auto"/>
          </w:tcPr>
          <w:p w14:paraId="7CFB9FF1" w14:textId="77777777" w:rsidR="003979C2" w:rsidRPr="00972396" w:rsidRDefault="003979C2" w:rsidP="00B52D9C"/>
        </w:tc>
      </w:tr>
      <w:tr w:rsidR="003979C2" w:rsidRPr="00972396" w14:paraId="302969EE" w14:textId="77777777" w:rsidTr="00B52D9C">
        <w:tc>
          <w:tcPr>
            <w:tcW w:w="1959" w:type="dxa"/>
            <w:shd w:val="clear" w:color="auto" w:fill="auto"/>
          </w:tcPr>
          <w:p w14:paraId="4D3F3E10" w14:textId="77777777" w:rsidR="003979C2" w:rsidRPr="00972396" w:rsidRDefault="003979C2" w:rsidP="005836D2">
            <w:r w:rsidRPr="00972396">
              <w:t>&lt;2.5</w:t>
            </w:r>
          </w:p>
        </w:tc>
        <w:tc>
          <w:tcPr>
            <w:tcW w:w="246" w:type="dxa"/>
            <w:shd w:val="clear" w:color="auto" w:fill="auto"/>
          </w:tcPr>
          <w:p w14:paraId="0E3CD743" w14:textId="77777777" w:rsidR="003979C2" w:rsidRPr="00972396" w:rsidRDefault="003979C2" w:rsidP="005836D2"/>
        </w:tc>
        <w:tc>
          <w:tcPr>
            <w:tcW w:w="1402" w:type="dxa"/>
            <w:shd w:val="clear" w:color="auto" w:fill="auto"/>
          </w:tcPr>
          <w:p w14:paraId="4F1AEAF3" w14:textId="77777777" w:rsidR="003979C2" w:rsidRPr="00972396" w:rsidRDefault="003979C2" w:rsidP="005836D2">
            <w:pPr>
              <w:jc w:val="center"/>
            </w:pPr>
            <w:r w:rsidRPr="00972396">
              <w:t>2</w:t>
            </w:r>
          </w:p>
        </w:tc>
        <w:tc>
          <w:tcPr>
            <w:tcW w:w="1599" w:type="dxa"/>
            <w:shd w:val="clear" w:color="auto" w:fill="auto"/>
          </w:tcPr>
          <w:p w14:paraId="56B43C4D" w14:textId="77777777" w:rsidR="003979C2" w:rsidRPr="00972396" w:rsidRDefault="003979C2" w:rsidP="005836D2">
            <w:pPr>
              <w:jc w:val="center"/>
            </w:pPr>
            <w:r w:rsidRPr="00972396">
              <w:t>1</w:t>
            </w:r>
          </w:p>
        </w:tc>
        <w:tc>
          <w:tcPr>
            <w:tcW w:w="284" w:type="dxa"/>
            <w:shd w:val="clear" w:color="auto" w:fill="auto"/>
          </w:tcPr>
          <w:p w14:paraId="5B7A2F83" w14:textId="77777777" w:rsidR="003979C2" w:rsidRPr="00972396" w:rsidRDefault="003979C2" w:rsidP="005836D2">
            <w:pPr>
              <w:jc w:val="center"/>
            </w:pPr>
          </w:p>
        </w:tc>
        <w:tc>
          <w:tcPr>
            <w:tcW w:w="1701" w:type="dxa"/>
            <w:shd w:val="clear" w:color="auto" w:fill="auto"/>
          </w:tcPr>
          <w:p w14:paraId="797D90C0" w14:textId="77777777" w:rsidR="003979C2" w:rsidRPr="00972396" w:rsidRDefault="003979C2" w:rsidP="00B52D9C">
            <w:pPr>
              <w:jc w:val="center"/>
            </w:pPr>
            <w:r w:rsidRPr="00972396">
              <w:t>4</w:t>
            </w:r>
          </w:p>
        </w:tc>
        <w:tc>
          <w:tcPr>
            <w:tcW w:w="1559" w:type="dxa"/>
            <w:shd w:val="clear" w:color="auto" w:fill="auto"/>
          </w:tcPr>
          <w:p w14:paraId="6126FF9F" w14:textId="77777777" w:rsidR="003979C2" w:rsidRPr="00972396" w:rsidRDefault="003979C2" w:rsidP="00B52D9C">
            <w:pPr>
              <w:jc w:val="center"/>
            </w:pPr>
            <w:r w:rsidRPr="00972396">
              <w:t>11</w:t>
            </w:r>
          </w:p>
        </w:tc>
      </w:tr>
      <w:tr w:rsidR="003979C2" w:rsidRPr="00972396" w14:paraId="6A39CCF1" w14:textId="77777777" w:rsidTr="00B52D9C">
        <w:tc>
          <w:tcPr>
            <w:tcW w:w="1959" w:type="dxa"/>
            <w:shd w:val="clear" w:color="auto" w:fill="auto"/>
          </w:tcPr>
          <w:p w14:paraId="3FD189E8" w14:textId="77777777" w:rsidR="003979C2" w:rsidRPr="00972396" w:rsidRDefault="003979C2" w:rsidP="005836D2">
            <w:r w:rsidRPr="00972396">
              <w:t>2.5-3.9</w:t>
            </w:r>
          </w:p>
        </w:tc>
        <w:tc>
          <w:tcPr>
            <w:tcW w:w="246" w:type="dxa"/>
            <w:shd w:val="clear" w:color="auto" w:fill="auto"/>
          </w:tcPr>
          <w:p w14:paraId="64A456D5" w14:textId="77777777" w:rsidR="003979C2" w:rsidRPr="00972396" w:rsidRDefault="003979C2" w:rsidP="005836D2"/>
        </w:tc>
        <w:tc>
          <w:tcPr>
            <w:tcW w:w="1402" w:type="dxa"/>
            <w:shd w:val="clear" w:color="auto" w:fill="auto"/>
          </w:tcPr>
          <w:p w14:paraId="0FA40325" w14:textId="77777777" w:rsidR="003979C2" w:rsidRPr="00972396" w:rsidRDefault="003979C2" w:rsidP="005836D2">
            <w:pPr>
              <w:jc w:val="center"/>
            </w:pPr>
            <w:r w:rsidRPr="00972396">
              <w:t>12</w:t>
            </w:r>
          </w:p>
        </w:tc>
        <w:tc>
          <w:tcPr>
            <w:tcW w:w="1599" w:type="dxa"/>
            <w:shd w:val="clear" w:color="auto" w:fill="auto"/>
          </w:tcPr>
          <w:p w14:paraId="22196D26" w14:textId="77777777" w:rsidR="003979C2" w:rsidRPr="00972396" w:rsidRDefault="003979C2" w:rsidP="005836D2">
            <w:pPr>
              <w:jc w:val="center"/>
            </w:pPr>
            <w:r w:rsidRPr="00972396">
              <w:t>5</w:t>
            </w:r>
          </w:p>
        </w:tc>
        <w:tc>
          <w:tcPr>
            <w:tcW w:w="284" w:type="dxa"/>
            <w:shd w:val="clear" w:color="auto" w:fill="auto"/>
          </w:tcPr>
          <w:p w14:paraId="447D01F4" w14:textId="77777777" w:rsidR="003979C2" w:rsidRPr="00972396" w:rsidRDefault="003979C2" w:rsidP="005836D2">
            <w:pPr>
              <w:jc w:val="center"/>
            </w:pPr>
          </w:p>
        </w:tc>
        <w:tc>
          <w:tcPr>
            <w:tcW w:w="1701" w:type="dxa"/>
            <w:shd w:val="clear" w:color="auto" w:fill="auto"/>
          </w:tcPr>
          <w:p w14:paraId="0AC0BB7F" w14:textId="77777777" w:rsidR="003979C2" w:rsidRPr="00972396" w:rsidRDefault="003979C2" w:rsidP="00B52D9C">
            <w:pPr>
              <w:jc w:val="center"/>
            </w:pPr>
            <w:r w:rsidRPr="00972396">
              <w:t>11</w:t>
            </w:r>
          </w:p>
        </w:tc>
        <w:tc>
          <w:tcPr>
            <w:tcW w:w="1559" w:type="dxa"/>
            <w:shd w:val="clear" w:color="auto" w:fill="auto"/>
          </w:tcPr>
          <w:p w14:paraId="1EE5A00D" w14:textId="77777777" w:rsidR="003979C2" w:rsidRPr="00972396" w:rsidRDefault="003979C2" w:rsidP="00B52D9C">
            <w:pPr>
              <w:jc w:val="center"/>
            </w:pPr>
            <w:r w:rsidRPr="00972396">
              <w:t>13</w:t>
            </w:r>
          </w:p>
        </w:tc>
      </w:tr>
      <w:tr w:rsidR="003979C2" w:rsidRPr="00972396" w14:paraId="244B8C82" w14:textId="77777777" w:rsidTr="00B52D9C">
        <w:tc>
          <w:tcPr>
            <w:tcW w:w="1959" w:type="dxa"/>
            <w:shd w:val="clear" w:color="auto" w:fill="auto"/>
          </w:tcPr>
          <w:p w14:paraId="4678188F" w14:textId="77777777" w:rsidR="003979C2" w:rsidRPr="00972396" w:rsidRDefault="003979C2" w:rsidP="005836D2">
            <w:r w:rsidRPr="00972396">
              <w:t>≥4.0</w:t>
            </w:r>
          </w:p>
        </w:tc>
        <w:tc>
          <w:tcPr>
            <w:tcW w:w="246" w:type="dxa"/>
            <w:shd w:val="clear" w:color="auto" w:fill="auto"/>
          </w:tcPr>
          <w:p w14:paraId="08530C15" w14:textId="77777777" w:rsidR="003979C2" w:rsidRPr="00972396" w:rsidRDefault="003979C2" w:rsidP="005836D2"/>
        </w:tc>
        <w:tc>
          <w:tcPr>
            <w:tcW w:w="1402" w:type="dxa"/>
            <w:shd w:val="clear" w:color="auto" w:fill="auto"/>
          </w:tcPr>
          <w:p w14:paraId="750324D8" w14:textId="77777777" w:rsidR="003979C2" w:rsidRPr="00972396" w:rsidRDefault="003979C2" w:rsidP="005836D2">
            <w:pPr>
              <w:jc w:val="center"/>
            </w:pPr>
            <w:r w:rsidRPr="00972396">
              <w:t>2</w:t>
            </w:r>
          </w:p>
        </w:tc>
        <w:tc>
          <w:tcPr>
            <w:tcW w:w="1599" w:type="dxa"/>
            <w:shd w:val="clear" w:color="auto" w:fill="auto"/>
          </w:tcPr>
          <w:p w14:paraId="14A95A8C" w14:textId="77777777" w:rsidR="003979C2" w:rsidRPr="00972396" w:rsidRDefault="003979C2" w:rsidP="005836D2">
            <w:pPr>
              <w:jc w:val="center"/>
            </w:pPr>
            <w:r w:rsidRPr="00972396">
              <w:t>1</w:t>
            </w:r>
          </w:p>
        </w:tc>
        <w:tc>
          <w:tcPr>
            <w:tcW w:w="284" w:type="dxa"/>
            <w:shd w:val="clear" w:color="auto" w:fill="auto"/>
          </w:tcPr>
          <w:p w14:paraId="40036BE0" w14:textId="77777777" w:rsidR="003979C2" w:rsidRPr="00972396" w:rsidRDefault="003979C2" w:rsidP="005836D2">
            <w:pPr>
              <w:jc w:val="center"/>
            </w:pPr>
          </w:p>
        </w:tc>
        <w:tc>
          <w:tcPr>
            <w:tcW w:w="1701" w:type="dxa"/>
            <w:shd w:val="clear" w:color="auto" w:fill="auto"/>
          </w:tcPr>
          <w:p w14:paraId="5E4E40FF" w14:textId="77777777" w:rsidR="003979C2" w:rsidRPr="00972396" w:rsidRDefault="003979C2" w:rsidP="00B52D9C">
            <w:pPr>
              <w:jc w:val="center"/>
            </w:pPr>
            <w:r w:rsidRPr="00972396">
              <w:t>7</w:t>
            </w:r>
          </w:p>
        </w:tc>
        <w:tc>
          <w:tcPr>
            <w:tcW w:w="1559" w:type="dxa"/>
            <w:shd w:val="clear" w:color="auto" w:fill="auto"/>
          </w:tcPr>
          <w:p w14:paraId="7B20618E" w14:textId="77777777" w:rsidR="003979C2" w:rsidRPr="00972396" w:rsidRDefault="003979C2" w:rsidP="00B52D9C">
            <w:pPr>
              <w:jc w:val="center"/>
            </w:pPr>
            <w:r w:rsidRPr="00972396">
              <w:t>7</w:t>
            </w:r>
          </w:p>
        </w:tc>
      </w:tr>
    </w:tbl>
    <w:p w14:paraId="015A1DE3" w14:textId="77777777" w:rsidR="003979C2" w:rsidRPr="004365E2" w:rsidRDefault="003979C2" w:rsidP="003979C2"/>
    <w:p w14:paraId="79394BF4" w14:textId="77777777" w:rsidR="004365E2" w:rsidRPr="003979C2" w:rsidRDefault="004365E2" w:rsidP="003979C2"/>
    <w:sectPr w:rsidR="004365E2" w:rsidRPr="003979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B9C28" w14:textId="77777777" w:rsidR="003507DB" w:rsidRDefault="003507DB" w:rsidP="007B0865">
      <w:pPr>
        <w:spacing w:line="240" w:lineRule="auto"/>
      </w:pPr>
      <w:r>
        <w:separator/>
      </w:r>
    </w:p>
  </w:endnote>
  <w:endnote w:type="continuationSeparator" w:id="0">
    <w:p w14:paraId="32D1AE36" w14:textId="77777777" w:rsidR="003507DB" w:rsidRDefault="003507DB" w:rsidP="007B0865">
      <w:pPr>
        <w:spacing w:line="240" w:lineRule="auto"/>
      </w:pPr>
      <w:r>
        <w:continuationSeparator/>
      </w:r>
    </w:p>
  </w:endnote>
  <w:endnote w:type="continuationNotice" w:id="1">
    <w:p w14:paraId="1377E69A" w14:textId="77777777" w:rsidR="003507DB" w:rsidRDefault="003507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D1479" w14:textId="570C262E" w:rsidR="005836D2" w:rsidRDefault="00583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3BC37" w14:textId="77777777" w:rsidR="00364A28" w:rsidRPr="003979C2" w:rsidRDefault="00364A28" w:rsidP="00397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39FCC" w14:textId="77777777" w:rsidR="003507DB" w:rsidRDefault="003507DB" w:rsidP="007B0865">
      <w:pPr>
        <w:spacing w:line="240" w:lineRule="auto"/>
      </w:pPr>
      <w:r>
        <w:separator/>
      </w:r>
    </w:p>
  </w:footnote>
  <w:footnote w:type="continuationSeparator" w:id="0">
    <w:p w14:paraId="1547501A" w14:textId="77777777" w:rsidR="003507DB" w:rsidRDefault="003507DB" w:rsidP="007B0865">
      <w:pPr>
        <w:spacing w:line="240" w:lineRule="auto"/>
      </w:pPr>
      <w:r>
        <w:continuationSeparator/>
      </w:r>
    </w:p>
  </w:footnote>
  <w:footnote w:type="continuationNotice" w:id="1">
    <w:p w14:paraId="72EEEABB" w14:textId="77777777" w:rsidR="003507DB" w:rsidRDefault="003507D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52AB6" w14:textId="77777777" w:rsidR="005836D2" w:rsidRDefault="00583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7437"/>
    <w:multiLevelType w:val="hybridMultilevel"/>
    <w:tmpl w:val="65F8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33694D"/>
    <w:multiLevelType w:val="hybridMultilevel"/>
    <w:tmpl w:val="DDA8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92"/>
    <w:rsid w:val="00005CE5"/>
    <w:rsid w:val="00006251"/>
    <w:rsid w:val="00075355"/>
    <w:rsid w:val="000B4134"/>
    <w:rsid w:val="000C32EC"/>
    <w:rsid w:val="000C6B25"/>
    <w:rsid w:val="000D2105"/>
    <w:rsid w:val="000E4122"/>
    <w:rsid w:val="000F6342"/>
    <w:rsid w:val="00122E5E"/>
    <w:rsid w:val="00155C3C"/>
    <w:rsid w:val="00163F88"/>
    <w:rsid w:val="001A00D5"/>
    <w:rsid w:val="001F3465"/>
    <w:rsid w:val="00216CB5"/>
    <w:rsid w:val="00221048"/>
    <w:rsid w:val="00225390"/>
    <w:rsid w:val="00227D82"/>
    <w:rsid w:val="002424AF"/>
    <w:rsid w:val="00276BE5"/>
    <w:rsid w:val="00277C63"/>
    <w:rsid w:val="00282A07"/>
    <w:rsid w:val="0029729B"/>
    <w:rsid w:val="002A2F30"/>
    <w:rsid w:val="002A5F23"/>
    <w:rsid w:val="002B1BCB"/>
    <w:rsid w:val="002D0583"/>
    <w:rsid w:val="002D6017"/>
    <w:rsid w:val="002D60BE"/>
    <w:rsid w:val="00330FD3"/>
    <w:rsid w:val="003507DB"/>
    <w:rsid w:val="00354622"/>
    <w:rsid w:val="003613CE"/>
    <w:rsid w:val="00362E51"/>
    <w:rsid w:val="00364A28"/>
    <w:rsid w:val="00365ACD"/>
    <w:rsid w:val="003934C6"/>
    <w:rsid w:val="003979C2"/>
    <w:rsid w:val="003A0729"/>
    <w:rsid w:val="00404F7D"/>
    <w:rsid w:val="00420EF1"/>
    <w:rsid w:val="00430B29"/>
    <w:rsid w:val="004365E2"/>
    <w:rsid w:val="004A17E7"/>
    <w:rsid w:val="004A7FB3"/>
    <w:rsid w:val="00502775"/>
    <w:rsid w:val="0050752B"/>
    <w:rsid w:val="005269BB"/>
    <w:rsid w:val="005836D2"/>
    <w:rsid w:val="0058418A"/>
    <w:rsid w:val="00584DDE"/>
    <w:rsid w:val="005B1550"/>
    <w:rsid w:val="005F4B52"/>
    <w:rsid w:val="006246EE"/>
    <w:rsid w:val="00633BA9"/>
    <w:rsid w:val="00635E3E"/>
    <w:rsid w:val="006403BC"/>
    <w:rsid w:val="00673911"/>
    <w:rsid w:val="00691821"/>
    <w:rsid w:val="006C738D"/>
    <w:rsid w:val="006E4247"/>
    <w:rsid w:val="006E4ABB"/>
    <w:rsid w:val="006E519C"/>
    <w:rsid w:val="006F1F95"/>
    <w:rsid w:val="007010B3"/>
    <w:rsid w:val="00755EDE"/>
    <w:rsid w:val="00781CC9"/>
    <w:rsid w:val="007A03B7"/>
    <w:rsid w:val="007B0865"/>
    <w:rsid w:val="007B3646"/>
    <w:rsid w:val="00812832"/>
    <w:rsid w:val="008238CA"/>
    <w:rsid w:val="00855C1B"/>
    <w:rsid w:val="008613AD"/>
    <w:rsid w:val="00874DBD"/>
    <w:rsid w:val="008B09DA"/>
    <w:rsid w:val="008C1265"/>
    <w:rsid w:val="008F5B3A"/>
    <w:rsid w:val="0090497A"/>
    <w:rsid w:val="00913397"/>
    <w:rsid w:val="00922CC1"/>
    <w:rsid w:val="00934727"/>
    <w:rsid w:val="00953714"/>
    <w:rsid w:val="00972396"/>
    <w:rsid w:val="00985374"/>
    <w:rsid w:val="00994C3C"/>
    <w:rsid w:val="009972BB"/>
    <w:rsid w:val="009C5294"/>
    <w:rsid w:val="009E2DF8"/>
    <w:rsid w:val="00A22665"/>
    <w:rsid w:val="00A50E55"/>
    <w:rsid w:val="00A607E7"/>
    <w:rsid w:val="00A75B38"/>
    <w:rsid w:val="00A87338"/>
    <w:rsid w:val="00AC5AAF"/>
    <w:rsid w:val="00AD2900"/>
    <w:rsid w:val="00AF09E9"/>
    <w:rsid w:val="00AF29CE"/>
    <w:rsid w:val="00B13054"/>
    <w:rsid w:val="00B52D9C"/>
    <w:rsid w:val="00B71AC3"/>
    <w:rsid w:val="00C1747F"/>
    <w:rsid w:val="00C50024"/>
    <w:rsid w:val="00C51DA5"/>
    <w:rsid w:val="00C56210"/>
    <w:rsid w:val="00C64ACD"/>
    <w:rsid w:val="00C757CD"/>
    <w:rsid w:val="00CA2A92"/>
    <w:rsid w:val="00CC391B"/>
    <w:rsid w:val="00D259D4"/>
    <w:rsid w:val="00D3207C"/>
    <w:rsid w:val="00D4117C"/>
    <w:rsid w:val="00D97408"/>
    <w:rsid w:val="00DB5A07"/>
    <w:rsid w:val="00DC075B"/>
    <w:rsid w:val="00DC6772"/>
    <w:rsid w:val="00DE4995"/>
    <w:rsid w:val="00DE4B24"/>
    <w:rsid w:val="00E05CD9"/>
    <w:rsid w:val="00E128DD"/>
    <w:rsid w:val="00E52025"/>
    <w:rsid w:val="00E57F2A"/>
    <w:rsid w:val="00E718BE"/>
    <w:rsid w:val="00E73DBC"/>
    <w:rsid w:val="00EB6CC1"/>
    <w:rsid w:val="00EE1C75"/>
    <w:rsid w:val="00EF71C3"/>
    <w:rsid w:val="00F00BE9"/>
    <w:rsid w:val="00F03064"/>
    <w:rsid w:val="00F34071"/>
    <w:rsid w:val="00F400F6"/>
    <w:rsid w:val="00F46C4E"/>
    <w:rsid w:val="00F8447C"/>
    <w:rsid w:val="00F92997"/>
    <w:rsid w:val="00FD1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D2"/>
    <w:pPr>
      <w:spacing w:line="276" w:lineRule="auto"/>
    </w:pPr>
    <w:rPr>
      <w:rFonts w:ascii="Arial" w:hAnsi="Arial" w:cs="Arial"/>
      <w:sz w:val="22"/>
      <w:szCs w:val="22"/>
      <w:lang w:eastAsia="en-US"/>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imes New Roman" w:hAnsi="Arial Narrow" w:cs="Times New Roman"/>
      <w:b/>
      <w:bCs/>
      <w:sz w:val="28"/>
      <w:szCs w:val="28"/>
      <w:lang w:val="x-none" w:eastAsia="x-none"/>
    </w:rPr>
  </w:style>
  <w:style w:type="paragraph" w:styleId="Heading2">
    <w:name w:val="heading 2"/>
    <w:basedOn w:val="Normal"/>
    <w:next w:val="Normal"/>
    <w:link w:val="Heading2Char"/>
    <w:autoRedefine/>
    <w:uiPriority w:val="9"/>
    <w:unhideWhenUsed/>
    <w:qFormat/>
    <w:rsid w:val="005836D2"/>
    <w:pPr>
      <w:keepNext/>
      <w:keepLines/>
      <w:spacing w:before="200"/>
      <w:jc w:val="both"/>
      <w:outlineLvl w:val="1"/>
    </w:pPr>
    <w:rPr>
      <w:rFonts w:eastAsia="Times New Roman" w:cs="Times New Roman"/>
      <w:bCs/>
      <w:i/>
      <w:sz w:val="20"/>
      <w:szCs w:val="26"/>
      <w:lang w:val="x-none" w:eastAsia="x-none"/>
    </w:rPr>
  </w:style>
  <w:style w:type="paragraph" w:styleId="Heading3">
    <w:name w:val="heading 3"/>
    <w:basedOn w:val="Normal"/>
    <w:next w:val="Normal"/>
    <w:link w:val="Heading3Char"/>
    <w:uiPriority w:val="9"/>
    <w:semiHidden/>
    <w:unhideWhenUsed/>
    <w:qFormat/>
    <w:rsid w:val="005836D2"/>
    <w:pPr>
      <w:keepNext/>
      <w:keepLines/>
      <w:spacing w:before="200"/>
      <w:jc w:val="both"/>
      <w:outlineLvl w:val="2"/>
    </w:pPr>
    <w:rPr>
      <w:rFonts w:eastAsia="Times New Roman" w:cs="Times New Roman"/>
      <w:b/>
      <w:bCs/>
      <w:i/>
      <w:sz w:val="20"/>
      <w:szCs w:val="20"/>
      <w:lang w:val="x-none" w:eastAsia="x-none"/>
    </w:rPr>
  </w:style>
  <w:style w:type="paragraph" w:styleId="Heading4">
    <w:name w:val="heading 4"/>
    <w:basedOn w:val="Normal"/>
    <w:next w:val="Normal"/>
    <w:link w:val="Heading4Char"/>
    <w:uiPriority w:val="9"/>
    <w:unhideWhenUsed/>
    <w:qFormat/>
    <w:rsid w:val="005836D2"/>
    <w:pPr>
      <w:keepNext/>
      <w:keepLines/>
      <w:spacing w:before="200"/>
      <w:outlineLvl w:val="3"/>
    </w:pPr>
    <w:rPr>
      <w:rFonts w:ascii="Arial Narrow" w:eastAsia="Times New Roman" w:hAnsi="Arial Narrow" w:cs="Times New Roman"/>
      <w:b/>
      <w:bCs/>
      <w:i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4F7D"/>
    <w:rPr>
      <w:rFonts w:ascii="Arial Narrow" w:eastAsia="Times New Roman" w:hAnsi="Arial Narrow" w:cs="Times New Roman"/>
      <w:b/>
      <w:bCs/>
      <w:sz w:val="28"/>
      <w:szCs w:val="28"/>
    </w:rPr>
  </w:style>
  <w:style w:type="character" w:customStyle="1" w:styleId="Heading2Char">
    <w:name w:val="Heading 2 Char"/>
    <w:link w:val="Heading2"/>
    <w:uiPriority w:val="9"/>
    <w:rsid w:val="008C1265"/>
    <w:rPr>
      <w:rFonts w:ascii="Arial" w:eastAsia="Times New Roman" w:hAnsi="Arial"/>
      <w:bCs/>
      <w:i/>
      <w:szCs w:val="26"/>
      <w:lang w:val="x-none" w:eastAsia="x-none"/>
    </w:rPr>
  </w:style>
  <w:style w:type="paragraph" w:styleId="NoSpacing">
    <w:name w:val="No Spacing"/>
    <w:uiPriority w:val="1"/>
    <w:qFormat/>
    <w:rsid w:val="005836D2"/>
    <w:pPr>
      <w:spacing w:line="276" w:lineRule="auto"/>
    </w:pPr>
    <w:rPr>
      <w:rFonts w:ascii="Arial" w:hAnsi="Arial" w:cs="Arial"/>
      <w:i/>
      <w:sz w:val="22"/>
      <w:szCs w:val="22"/>
      <w:lang w:eastAsia="en-US"/>
    </w:rPr>
  </w:style>
  <w:style w:type="character" w:customStyle="1" w:styleId="Heading3Char">
    <w:name w:val="Heading 3 Char"/>
    <w:link w:val="Heading3"/>
    <w:uiPriority w:val="9"/>
    <w:semiHidden/>
    <w:rsid w:val="008C1265"/>
    <w:rPr>
      <w:rFonts w:ascii="Arial" w:eastAsia="Times New Roman" w:hAnsi="Arial"/>
      <w:b/>
      <w:bCs/>
      <w:i/>
      <w:lang w:val="x-none" w:eastAsia="x-none"/>
    </w:rPr>
  </w:style>
  <w:style w:type="character" w:customStyle="1" w:styleId="Heading4Char">
    <w:name w:val="Heading 4 Char"/>
    <w:link w:val="Heading4"/>
    <w:uiPriority w:val="9"/>
    <w:rsid w:val="00584DDE"/>
    <w:rPr>
      <w:rFonts w:ascii="Arial Narrow" w:eastAsia="Times New Roman" w:hAnsi="Arial Narrow"/>
      <w:b/>
      <w:bCs/>
      <w:iCs/>
      <w:sz w:val="24"/>
      <w:lang w:val="x-none" w:eastAsia="x-none"/>
    </w:rPr>
  </w:style>
  <w:style w:type="paragraph" w:styleId="Header">
    <w:name w:val="header"/>
    <w:basedOn w:val="Normal"/>
    <w:link w:val="HeaderChar"/>
    <w:uiPriority w:val="99"/>
    <w:unhideWhenUsed/>
    <w:rsid w:val="005836D2"/>
    <w:pPr>
      <w:tabs>
        <w:tab w:val="center" w:pos="4513"/>
        <w:tab w:val="right" w:pos="9026"/>
      </w:tabs>
      <w:spacing w:line="240" w:lineRule="auto"/>
    </w:pPr>
    <w:rPr>
      <w:rFonts w:cs="Times New Roman"/>
      <w:sz w:val="20"/>
      <w:szCs w:val="20"/>
      <w:lang w:val="x-none" w:eastAsia="x-none"/>
    </w:rPr>
  </w:style>
  <w:style w:type="character" w:customStyle="1" w:styleId="HeaderChar">
    <w:name w:val="Header Char"/>
    <w:link w:val="Header"/>
    <w:uiPriority w:val="99"/>
    <w:rsid w:val="007B0865"/>
    <w:rPr>
      <w:rFonts w:ascii="Arial" w:hAnsi="Arial"/>
      <w:lang w:val="x-none" w:eastAsia="x-none"/>
    </w:rPr>
  </w:style>
  <w:style w:type="paragraph" w:styleId="Footer">
    <w:name w:val="footer"/>
    <w:basedOn w:val="Normal"/>
    <w:link w:val="FooterChar"/>
    <w:uiPriority w:val="99"/>
    <w:unhideWhenUsed/>
    <w:rsid w:val="005836D2"/>
    <w:pPr>
      <w:tabs>
        <w:tab w:val="center" w:pos="4513"/>
        <w:tab w:val="right" w:pos="9026"/>
      </w:tabs>
      <w:spacing w:line="240" w:lineRule="auto"/>
    </w:pPr>
    <w:rPr>
      <w:rFonts w:cs="Times New Roman"/>
      <w:sz w:val="20"/>
      <w:szCs w:val="20"/>
      <w:lang w:val="x-none" w:eastAsia="x-none"/>
    </w:rPr>
  </w:style>
  <w:style w:type="character" w:customStyle="1" w:styleId="FooterChar">
    <w:name w:val="Footer Char"/>
    <w:link w:val="Footer"/>
    <w:uiPriority w:val="99"/>
    <w:rsid w:val="007B0865"/>
    <w:rPr>
      <w:rFonts w:ascii="Arial" w:hAnsi="Arial"/>
      <w:lang w:val="x-none" w:eastAsia="x-none"/>
    </w:rPr>
  </w:style>
  <w:style w:type="table" w:styleId="TableGrid">
    <w:name w:val="Table Grid"/>
    <w:basedOn w:val="TableNormal"/>
    <w:uiPriority w:val="59"/>
    <w:rsid w:val="0022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F30"/>
    <w:pPr>
      <w:ind w:left="720"/>
      <w:contextualSpacing/>
    </w:pPr>
  </w:style>
  <w:style w:type="character" w:styleId="Hyperlink">
    <w:name w:val="Hyperlink"/>
    <w:uiPriority w:val="99"/>
    <w:unhideWhenUsed/>
    <w:rsid w:val="005836D2"/>
    <w:rPr>
      <w:color w:val="0000FF"/>
      <w:u w:val="single"/>
    </w:rPr>
  </w:style>
  <w:style w:type="character" w:styleId="CommentReference">
    <w:name w:val="annotation reference"/>
    <w:uiPriority w:val="99"/>
    <w:semiHidden/>
    <w:unhideWhenUsed/>
    <w:rsid w:val="00221048"/>
    <w:rPr>
      <w:sz w:val="16"/>
      <w:szCs w:val="16"/>
    </w:rPr>
  </w:style>
  <w:style w:type="paragraph" w:styleId="CommentText">
    <w:name w:val="annotation text"/>
    <w:basedOn w:val="Normal"/>
    <w:link w:val="CommentTextChar"/>
    <w:uiPriority w:val="99"/>
    <w:semiHidden/>
    <w:unhideWhenUsed/>
    <w:rsid w:val="005836D2"/>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221048"/>
    <w:rPr>
      <w:rFonts w:ascii="Arial" w:hAnsi="Arial"/>
      <w:lang w:val="x-none" w:eastAsia="x-none"/>
    </w:rPr>
  </w:style>
  <w:style w:type="paragraph" w:styleId="CommentSubject">
    <w:name w:val="annotation subject"/>
    <w:basedOn w:val="CommentText"/>
    <w:next w:val="CommentText"/>
    <w:link w:val="CommentSubjectChar"/>
    <w:uiPriority w:val="99"/>
    <w:semiHidden/>
    <w:unhideWhenUsed/>
    <w:rsid w:val="005836D2"/>
    <w:rPr>
      <w:b/>
      <w:bCs/>
    </w:rPr>
  </w:style>
  <w:style w:type="character" w:customStyle="1" w:styleId="CommentSubjectChar">
    <w:name w:val="Comment Subject Char"/>
    <w:link w:val="CommentSubject"/>
    <w:uiPriority w:val="99"/>
    <w:semiHidden/>
    <w:rsid w:val="00221048"/>
    <w:rPr>
      <w:rFonts w:ascii="Arial" w:hAnsi="Arial"/>
      <w:b/>
      <w:bCs/>
      <w:lang w:val="x-none" w:eastAsia="x-none"/>
    </w:rPr>
  </w:style>
  <w:style w:type="paragraph" w:styleId="BalloonText">
    <w:name w:val="Balloon Text"/>
    <w:basedOn w:val="Normal"/>
    <w:link w:val="BalloonTextChar"/>
    <w:uiPriority w:val="99"/>
    <w:semiHidden/>
    <w:unhideWhenUsed/>
    <w:rsid w:val="00221048"/>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210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D2"/>
    <w:pPr>
      <w:spacing w:line="276" w:lineRule="auto"/>
    </w:pPr>
    <w:rPr>
      <w:rFonts w:ascii="Arial" w:hAnsi="Arial" w:cs="Arial"/>
      <w:sz w:val="22"/>
      <w:szCs w:val="22"/>
      <w:lang w:eastAsia="en-US"/>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imes New Roman" w:hAnsi="Arial Narrow" w:cs="Times New Roman"/>
      <w:b/>
      <w:bCs/>
      <w:sz w:val="28"/>
      <w:szCs w:val="28"/>
      <w:lang w:val="x-none" w:eastAsia="x-none"/>
    </w:rPr>
  </w:style>
  <w:style w:type="paragraph" w:styleId="Heading2">
    <w:name w:val="heading 2"/>
    <w:basedOn w:val="Normal"/>
    <w:next w:val="Normal"/>
    <w:link w:val="Heading2Char"/>
    <w:autoRedefine/>
    <w:uiPriority w:val="9"/>
    <w:unhideWhenUsed/>
    <w:qFormat/>
    <w:rsid w:val="005836D2"/>
    <w:pPr>
      <w:keepNext/>
      <w:keepLines/>
      <w:spacing w:before="200"/>
      <w:jc w:val="both"/>
      <w:outlineLvl w:val="1"/>
    </w:pPr>
    <w:rPr>
      <w:rFonts w:eastAsia="Times New Roman" w:cs="Times New Roman"/>
      <w:bCs/>
      <w:i/>
      <w:sz w:val="20"/>
      <w:szCs w:val="26"/>
      <w:lang w:val="x-none" w:eastAsia="x-none"/>
    </w:rPr>
  </w:style>
  <w:style w:type="paragraph" w:styleId="Heading3">
    <w:name w:val="heading 3"/>
    <w:basedOn w:val="Normal"/>
    <w:next w:val="Normal"/>
    <w:link w:val="Heading3Char"/>
    <w:uiPriority w:val="9"/>
    <w:semiHidden/>
    <w:unhideWhenUsed/>
    <w:qFormat/>
    <w:rsid w:val="005836D2"/>
    <w:pPr>
      <w:keepNext/>
      <w:keepLines/>
      <w:spacing w:before="200"/>
      <w:jc w:val="both"/>
      <w:outlineLvl w:val="2"/>
    </w:pPr>
    <w:rPr>
      <w:rFonts w:eastAsia="Times New Roman" w:cs="Times New Roman"/>
      <w:b/>
      <w:bCs/>
      <w:i/>
      <w:sz w:val="20"/>
      <w:szCs w:val="20"/>
      <w:lang w:val="x-none" w:eastAsia="x-none"/>
    </w:rPr>
  </w:style>
  <w:style w:type="paragraph" w:styleId="Heading4">
    <w:name w:val="heading 4"/>
    <w:basedOn w:val="Normal"/>
    <w:next w:val="Normal"/>
    <w:link w:val="Heading4Char"/>
    <w:uiPriority w:val="9"/>
    <w:unhideWhenUsed/>
    <w:qFormat/>
    <w:rsid w:val="005836D2"/>
    <w:pPr>
      <w:keepNext/>
      <w:keepLines/>
      <w:spacing w:before="200"/>
      <w:outlineLvl w:val="3"/>
    </w:pPr>
    <w:rPr>
      <w:rFonts w:ascii="Arial Narrow" w:eastAsia="Times New Roman" w:hAnsi="Arial Narrow" w:cs="Times New Roman"/>
      <w:b/>
      <w:bCs/>
      <w:i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4F7D"/>
    <w:rPr>
      <w:rFonts w:ascii="Arial Narrow" w:eastAsia="Times New Roman" w:hAnsi="Arial Narrow" w:cs="Times New Roman"/>
      <w:b/>
      <w:bCs/>
      <w:sz w:val="28"/>
      <w:szCs w:val="28"/>
    </w:rPr>
  </w:style>
  <w:style w:type="character" w:customStyle="1" w:styleId="Heading2Char">
    <w:name w:val="Heading 2 Char"/>
    <w:link w:val="Heading2"/>
    <w:uiPriority w:val="9"/>
    <w:rsid w:val="008C1265"/>
    <w:rPr>
      <w:rFonts w:ascii="Arial" w:eastAsia="Times New Roman" w:hAnsi="Arial"/>
      <w:bCs/>
      <w:i/>
      <w:szCs w:val="26"/>
      <w:lang w:val="x-none" w:eastAsia="x-none"/>
    </w:rPr>
  </w:style>
  <w:style w:type="paragraph" w:styleId="NoSpacing">
    <w:name w:val="No Spacing"/>
    <w:uiPriority w:val="1"/>
    <w:qFormat/>
    <w:rsid w:val="005836D2"/>
    <w:pPr>
      <w:spacing w:line="276" w:lineRule="auto"/>
    </w:pPr>
    <w:rPr>
      <w:rFonts w:ascii="Arial" w:hAnsi="Arial" w:cs="Arial"/>
      <w:i/>
      <w:sz w:val="22"/>
      <w:szCs w:val="22"/>
      <w:lang w:eastAsia="en-US"/>
    </w:rPr>
  </w:style>
  <w:style w:type="character" w:customStyle="1" w:styleId="Heading3Char">
    <w:name w:val="Heading 3 Char"/>
    <w:link w:val="Heading3"/>
    <w:uiPriority w:val="9"/>
    <w:semiHidden/>
    <w:rsid w:val="008C1265"/>
    <w:rPr>
      <w:rFonts w:ascii="Arial" w:eastAsia="Times New Roman" w:hAnsi="Arial"/>
      <w:b/>
      <w:bCs/>
      <w:i/>
      <w:lang w:val="x-none" w:eastAsia="x-none"/>
    </w:rPr>
  </w:style>
  <w:style w:type="character" w:customStyle="1" w:styleId="Heading4Char">
    <w:name w:val="Heading 4 Char"/>
    <w:link w:val="Heading4"/>
    <w:uiPriority w:val="9"/>
    <w:rsid w:val="00584DDE"/>
    <w:rPr>
      <w:rFonts w:ascii="Arial Narrow" w:eastAsia="Times New Roman" w:hAnsi="Arial Narrow"/>
      <w:b/>
      <w:bCs/>
      <w:iCs/>
      <w:sz w:val="24"/>
      <w:lang w:val="x-none" w:eastAsia="x-none"/>
    </w:rPr>
  </w:style>
  <w:style w:type="paragraph" w:styleId="Header">
    <w:name w:val="header"/>
    <w:basedOn w:val="Normal"/>
    <w:link w:val="HeaderChar"/>
    <w:uiPriority w:val="99"/>
    <w:unhideWhenUsed/>
    <w:rsid w:val="005836D2"/>
    <w:pPr>
      <w:tabs>
        <w:tab w:val="center" w:pos="4513"/>
        <w:tab w:val="right" w:pos="9026"/>
      </w:tabs>
      <w:spacing w:line="240" w:lineRule="auto"/>
    </w:pPr>
    <w:rPr>
      <w:rFonts w:cs="Times New Roman"/>
      <w:sz w:val="20"/>
      <w:szCs w:val="20"/>
      <w:lang w:val="x-none" w:eastAsia="x-none"/>
    </w:rPr>
  </w:style>
  <w:style w:type="character" w:customStyle="1" w:styleId="HeaderChar">
    <w:name w:val="Header Char"/>
    <w:link w:val="Header"/>
    <w:uiPriority w:val="99"/>
    <w:rsid w:val="007B0865"/>
    <w:rPr>
      <w:rFonts w:ascii="Arial" w:hAnsi="Arial"/>
      <w:lang w:val="x-none" w:eastAsia="x-none"/>
    </w:rPr>
  </w:style>
  <w:style w:type="paragraph" w:styleId="Footer">
    <w:name w:val="footer"/>
    <w:basedOn w:val="Normal"/>
    <w:link w:val="FooterChar"/>
    <w:uiPriority w:val="99"/>
    <w:unhideWhenUsed/>
    <w:rsid w:val="005836D2"/>
    <w:pPr>
      <w:tabs>
        <w:tab w:val="center" w:pos="4513"/>
        <w:tab w:val="right" w:pos="9026"/>
      </w:tabs>
      <w:spacing w:line="240" w:lineRule="auto"/>
    </w:pPr>
    <w:rPr>
      <w:rFonts w:cs="Times New Roman"/>
      <w:sz w:val="20"/>
      <w:szCs w:val="20"/>
      <w:lang w:val="x-none" w:eastAsia="x-none"/>
    </w:rPr>
  </w:style>
  <w:style w:type="character" w:customStyle="1" w:styleId="FooterChar">
    <w:name w:val="Footer Char"/>
    <w:link w:val="Footer"/>
    <w:uiPriority w:val="99"/>
    <w:rsid w:val="007B0865"/>
    <w:rPr>
      <w:rFonts w:ascii="Arial" w:hAnsi="Arial"/>
      <w:lang w:val="x-none" w:eastAsia="x-none"/>
    </w:rPr>
  </w:style>
  <w:style w:type="table" w:styleId="TableGrid">
    <w:name w:val="Table Grid"/>
    <w:basedOn w:val="TableNormal"/>
    <w:uiPriority w:val="59"/>
    <w:rsid w:val="0022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F30"/>
    <w:pPr>
      <w:ind w:left="720"/>
      <w:contextualSpacing/>
    </w:pPr>
  </w:style>
  <w:style w:type="character" w:styleId="Hyperlink">
    <w:name w:val="Hyperlink"/>
    <w:uiPriority w:val="99"/>
    <w:unhideWhenUsed/>
    <w:rsid w:val="005836D2"/>
    <w:rPr>
      <w:color w:val="0000FF"/>
      <w:u w:val="single"/>
    </w:rPr>
  </w:style>
  <w:style w:type="character" w:styleId="CommentReference">
    <w:name w:val="annotation reference"/>
    <w:uiPriority w:val="99"/>
    <w:semiHidden/>
    <w:unhideWhenUsed/>
    <w:rsid w:val="00221048"/>
    <w:rPr>
      <w:sz w:val="16"/>
      <w:szCs w:val="16"/>
    </w:rPr>
  </w:style>
  <w:style w:type="paragraph" w:styleId="CommentText">
    <w:name w:val="annotation text"/>
    <w:basedOn w:val="Normal"/>
    <w:link w:val="CommentTextChar"/>
    <w:uiPriority w:val="99"/>
    <w:semiHidden/>
    <w:unhideWhenUsed/>
    <w:rsid w:val="005836D2"/>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221048"/>
    <w:rPr>
      <w:rFonts w:ascii="Arial" w:hAnsi="Arial"/>
      <w:lang w:val="x-none" w:eastAsia="x-none"/>
    </w:rPr>
  </w:style>
  <w:style w:type="paragraph" w:styleId="CommentSubject">
    <w:name w:val="annotation subject"/>
    <w:basedOn w:val="CommentText"/>
    <w:next w:val="CommentText"/>
    <w:link w:val="CommentSubjectChar"/>
    <w:uiPriority w:val="99"/>
    <w:semiHidden/>
    <w:unhideWhenUsed/>
    <w:rsid w:val="005836D2"/>
    <w:rPr>
      <w:b/>
      <w:bCs/>
    </w:rPr>
  </w:style>
  <w:style w:type="character" w:customStyle="1" w:styleId="CommentSubjectChar">
    <w:name w:val="Comment Subject Char"/>
    <w:link w:val="CommentSubject"/>
    <w:uiPriority w:val="99"/>
    <w:semiHidden/>
    <w:rsid w:val="00221048"/>
    <w:rPr>
      <w:rFonts w:ascii="Arial" w:hAnsi="Arial"/>
      <w:b/>
      <w:bCs/>
      <w:lang w:val="x-none" w:eastAsia="x-none"/>
    </w:rPr>
  </w:style>
  <w:style w:type="paragraph" w:styleId="BalloonText">
    <w:name w:val="Balloon Text"/>
    <w:basedOn w:val="Normal"/>
    <w:link w:val="BalloonTextChar"/>
    <w:uiPriority w:val="99"/>
    <w:semiHidden/>
    <w:unhideWhenUsed/>
    <w:rsid w:val="00221048"/>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21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e.gov.uk/vibration/hav/vibrationcalc.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VIBRATION/hav/regulations.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D666F-A773-4930-A8ED-60162425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2610</Words>
  <Characters>14879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17455</CharactersWithSpaces>
  <SharedDoc>false</SharedDoc>
  <HLinks>
    <vt:vector size="12" baseType="variant">
      <vt:variant>
        <vt:i4>5832787</vt:i4>
      </vt:variant>
      <vt:variant>
        <vt:i4>3</vt:i4>
      </vt:variant>
      <vt:variant>
        <vt:i4>0</vt:i4>
      </vt:variant>
      <vt:variant>
        <vt:i4>5</vt:i4>
      </vt:variant>
      <vt:variant>
        <vt:lpwstr>http://www.hse.gov.uk/vibration/hav/vibrationcalc.htm</vt:lpwstr>
      </vt:variant>
      <vt:variant>
        <vt:lpwstr/>
      </vt:variant>
      <vt:variant>
        <vt:i4>2097202</vt:i4>
      </vt:variant>
      <vt:variant>
        <vt:i4>0</vt:i4>
      </vt:variant>
      <vt:variant>
        <vt:i4>0</vt:i4>
      </vt:variant>
      <vt:variant>
        <vt:i4>5</vt:i4>
      </vt:variant>
      <vt:variant>
        <vt:lpwstr>http://www.hse.gov.uk/VIBRATION/hav/regulations.htm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2016-01-07T15:00:00Z</cp:lastPrinted>
  <dcterms:created xsi:type="dcterms:W3CDTF">2016-06-23T14:07:00Z</dcterms:created>
  <dcterms:modified xsi:type="dcterms:W3CDTF">2016-06-23T14:07:00Z</dcterms:modified>
</cp:coreProperties>
</file>