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9926E" w14:textId="11DBD56E" w:rsidR="000F2F55" w:rsidRPr="004A523D" w:rsidRDefault="00BF0BC1" w:rsidP="004A523D">
      <w:pPr>
        <w:rPr>
          <w:sz w:val="32"/>
        </w:rPr>
      </w:pPr>
      <w:bookmarkStart w:id="0" w:name="_GoBack"/>
      <w:bookmarkEnd w:id="0"/>
      <w:r w:rsidRPr="004A523D">
        <w:rPr>
          <w:b/>
          <w:sz w:val="32"/>
        </w:rPr>
        <w:t xml:space="preserve">Combined </w:t>
      </w:r>
      <w:r w:rsidR="00EE6CF4" w:rsidRPr="004A523D">
        <w:rPr>
          <w:b/>
          <w:sz w:val="32"/>
        </w:rPr>
        <w:t xml:space="preserve">Measures of Upper and Lower Body Strength </w:t>
      </w:r>
      <w:r w:rsidRPr="004A523D">
        <w:rPr>
          <w:b/>
          <w:sz w:val="32"/>
        </w:rPr>
        <w:t xml:space="preserve">and </w:t>
      </w:r>
      <w:r w:rsidR="00EE6CF4" w:rsidRPr="004A523D">
        <w:rPr>
          <w:b/>
          <w:sz w:val="32"/>
        </w:rPr>
        <w:t xml:space="preserve">Subgroup Differences in </w:t>
      </w:r>
      <w:r w:rsidRPr="004A523D">
        <w:rPr>
          <w:b/>
          <w:sz w:val="32"/>
        </w:rPr>
        <w:t xml:space="preserve">Subsequent </w:t>
      </w:r>
      <w:r w:rsidR="00EE6CF4" w:rsidRPr="004A523D">
        <w:rPr>
          <w:b/>
          <w:sz w:val="32"/>
        </w:rPr>
        <w:t>Survival</w:t>
      </w:r>
      <w:r w:rsidR="00EF28AB" w:rsidRPr="004A523D">
        <w:rPr>
          <w:b/>
          <w:sz w:val="32"/>
        </w:rPr>
        <w:t xml:space="preserve"> Among the Older Population of England</w:t>
      </w:r>
    </w:p>
    <w:p w14:paraId="6EF56F8D" w14:textId="030AB998" w:rsidR="000F2F55" w:rsidRPr="00124735" w:rsidRDefault="000F2F55" w:rsidP="00124735">
      <w:pPr>
        <w:rPr>
          <w:sz w:val="24"/>
          <w:szCs w:val="24"/>
        </w:rPr>
      </w:pPr>
    </w:p>
    <w:p w14:paraId="58C565E3" w14:textId="77777777" w:rsidR="000F2F55" w:rsidRDefault="000F2F55" w:rsidP="004A523D">
      <w:pPr>
        <w:pStyle w:val="Heading1"/>
      </w:pPr>
      <w:r>
        <w:t>Introduction</w:t>
      </w:r>
    </w:p>
    <w:p w14:paraId="4B3971EE" w14:textId="5F3E1600" w:rsidR="004469A6" w:rsidRDefault="00D37B66">
      <w:r>
        <w:t xml:space="preserve">Population </w:t>
      </w:r>
      <w:r w:rsidR="00D56024">
        <w:t>aging is typically defined as the change in a small number of quanti</w:t>
      </w:r>
      <w:r w:rsidR="000424E5">
        <w:t>t</w:t>
      </w:r>
      <w:r w:rsidR="00D56024">
        <w:t>ie</w:t>
      </w:r>
      <w:r w:rsidR="000424E5">
        <w:t>s, such as the old age dependency ratio, the proportion of the population who are defined as old (often 60+ or 65+ years old</w:t>
      </w:r>
      <w:r w:rsidR="003E71D9">
        <w:t>)</w:t>
      </w:r>
      <w:r w:rsidR="000424E5">
        <w:t xml:space="preserve">, and the median age of the population. </w:t>
      </w:r>
      <w:r w:rsidR="004469A6">
        <w:t>Estimates of these quantities and other</w:t>
      </w:r>
      <w:r w:rsidR="002A2C5E">
        <w:t>s</w:t>
      </w:r>
      <w:r w:rsidR="004469A6">
        <w:t xml:space="preserve"> </w:t>
      </w:r>
      <w:r w:rsidR="002A2C5E">
        <w:t>have been</w:t>
      </w:r>
      <w:r w:rsidR="004469A6">
        <w:t xml:space="preserve"> published by the United Nations, for all countries at 5-year intervals, using estimates for the period 1950-2010 and projections from 2015-2100</w:t>
      </w:r>
      <w:r w:rsidR="00EA43D4">
        <w:t xml:space="preserve"> </w:t>
      </w:r>
      <w:r w:rsidR="00EA43D4">
        <w:fldChar w:fldCharType="begin"/>
      </w:r>
      <w:r w:rsidR="00AF7B1F">
        <w:instrText xml:space="preserve"> ADDIN ZOTERO_ITEM CSL_CITATION {"citationID":"en36llp09","properties":{"formattedCitation":"(United Nations, 2013)","plainCitation":"(United Nations, 2013)"},"citationItems":[{"id":7704,"uris":["http://zotero.org/groups/169898/items/5SD94RVX"],"uri":["http://zotero.org/groups/169898/items/5SD94RVX"],"itemData":{"id":7704,"type":"report","title":"World Population Ageing 2013","publisher":"Department of Economic and Social Affairs, Population Division","publisher-place":"New York, USA","event-place":"New York, USA","URL":"http://www.un.org/en/development/desa/population/publications/pdf/ageing/WorldPopulationAgeing2013.pdf","note":"00000","number":"ST/ESA/SER.A/348","author":[{"family":"United Nations","given":""}],"issued":{"date-parts":[["2013"]]}}}],"schema":"https://github.com/citation-style-language/schema/raw/master/csl-citation.json"} </w:instrText>
      </w:r>
      <w:r w:rsidR="00EA43D4">
        <w:fldChar w:fldCharType="separate"/>
      </w:r>
      <w:r w:rsidR="00AE3EE1" w:rsidRPr="004A523D">
        <w:rPr>
          <w:rFonts w:ascii="Calibri" w:hAnsi="Calibri"/>
        </w:rPr>
        <w:t>(United Nations, 2013)</w:t>
      </w:r>
      <w:r w:rsidR="00EA43D4">
        <w:fldChar w:fldCharType="end"/>
      </w:r>
      <w:r w:rsidR="00EA43D4">
        <w:t>.</w:t>
      </w:r>
      <w:r w:rsidR="004469A6">
        <w:t xml:space="preserve"> </w:t>
      </w:r>
      <w:r w:rsidR="00167362">
        <w:t>Those figures provide the basis of hundreds of analyses and discussions of population aging. Nevertheless, these commonly used numbers provide a misleading and incomplete picture of population aging.</w:t>
      </w:r>
    </w:p>
    <w:p w14:paraId="5139AE75" w14:textId="77777777" w:rsidR="004469A6" w:rsidRDefault="004469A6"/>
    <w:p w14:paraId="51DC3F6A" w14:textId="60F4D6D6" w:rsidR="00846E46" w:rsidRDefault="00662D84">
      <w:r>
        <w:t xml:space="preserve">The traditional measures of population aging produce a misleading picture of population aging </w:t>
      </w:r>
      <w:r w:rsidR="005A72DA">
        <w:t xml:space="preserve">because </w:t>
      </w:r>
      <w:r w:rsidR="003E71D9">
        <w:t xml:space="preserve">of two reasons. First, </w:t>
      </w:r>
      <w:r w:rsidR="005A72DA">
        <w:t xml:space="preserve">they do not take differences in the </w:t>
      </w:r>
      <w:r w:rsidR="00B50D8B">
        <w:t xml:space="preserve">age-specific </w:t>
      </w:r>
      <w:r w:rsidR="005A72DA">
        <w:t xml:space="preserve">characteristics of people into account. </w:t>
      </w:r>
      <w:r w:rsidR="000B15CB">
        <w:t>65 year olds, for example, in 2050 will not be like 65 year olds in 2000.</w:t>
      </w:r>
      <w:r>
        <w:t xml:space="preserve"> The </w:t>
      </w:r>
      <w:r>
        <w:lastRenderedPageBreak/>
        <w:t>life expectancy of older people has been increasing in most countries of the world</w:t>
      </w:r>
      <w:r w:rsidR="00A0445D">
        <w:t xml:space="preserve"> </w:t>
      </w:r>
      <w:r w:rsidR="00A0445D">
        <w:fldChar w:fldCharType="begin"/>
      </w:r>
      <w:r w:rsidR="00AF7B1F">
        <w:instrText xml:space="preserve"> ADDIN ZOTERO_ITEM CSL_CITATION {"citationID":"1raa77lbdi","properties":{"formattedCitation":"(United Nations, 2015)","plainCitation":"(United Nations, 2015)"},"citationItems":[{"id":7883,"uris":["http://zotero.org/groups/169898/items/DV9FTDUH"],"uri":["http://zotero.org/groups/169898/items/DV9FTDUH"],"itemData":{"id":7883,"type":"report","title":"World Population Prospects: The 2015 Revision","publisher":"Department of Economic and Social Affairs, Population Division","publisher-place":"New York, NY","event-place":"New York, NY","URL":"http://esa.un.org/unpd/wpp/","note":"00000","author":[{"family":"United Nations","given":""}],"issued":{"date-parts":[["2015",9,25]]}}}],"schema":"https://github.com/citation-style-language/schema/raw/master/csl-citation.json"} </w:instrText>
      </w:r>
      <w:r w:rsidR="00A0445D">
        <w:fldChar w:fldCharType="separate"/>
      </w:r>
      <w:r w:rsidR="000A1E63" w:rsidRPr="004A523D">
        <w:rPr>
          <w:rFonts w:ascii="Calibri" w:hAnsi="Calibri"/>
        </w:rPr>
        <w:t>(United Nations, 2015)</w:t>
      </w:r>
      <w:r w:rsidR="00A0445D">
        <w:fldChar w:fldCharType="end"/>
      </w:r>
      <w:r>
        <w:t xml:space="preserve">. </w:t>
      </w:r>
      <w:r w:rsidR="00B50D8B">
        <w:t>Age-specific measures of physical and mental capacity have been increasing</w:t>
      </w:r>
      <w:r w:rsidR="00A0445D">
        <w:t xml:space="preserve"> </w:t>
      </w:r>
      <w:r w:rsidR="00A0445D">
        <w:fldChar w:fldCharType="begin"/>
      </w:r>
      <w:r w:rsidR="00AF7B1F">
        <w:instrText xml:space="preserve"> ADDIN ZOTERO_ITEM CSL_CITATION {"citationID":"c4vg9l5he","properties":{"formattedCitation":"(Bordone, Scherbov, &amp; Steiber, 2014; Christensen, Doblhammer, Rau, &amp; Vaupel, 2009; Vaupel, 2010)","plainCitation":"(Bordone, Scherbov, &amp; Steiber, 2014; Christensen, Doblhammer, Rau, &amp; Vaupel, 2009; Vaupel, 2010)"},"citationItems":[{"id":8118,"uris":["http://zotero.org/groups/169898/items/TE39HQ8F"],"uri":["http://zotero.org/groups/169898/items/TE39HQ8F"],"itemData":{"id":8118,"type":"report","title":"Is population ageing decelerating in terms of cognition?","publisher":"International Institute for Applied Systems Analysis","publisher-place":"Laxenburg, Austria","genre":"Interim Report","event-place":"Laxenburg, Austria","abstract":"Higher chronological age tends to be associated with lower cognitive functioning in all cohorts. However, in light of increasing healthy life expectancy, people of a certain age today may perform better in terms of cognition than people of the same age in the past. To test this contention, we use tests of cognitive functioning collected in the German Socio-Economic Panel (SOEP) and the English Longitudinal Study of Ageing (ELSA) in two points in time with a 6-year interval. Focusing on the population aged 50 and above, we investigate change over time in cognitive functioning along three dimensions (memory, verbal fluency, and speed of processing). Results based on a repeat cross-sectional design that overcomes potential bias from retest effects suggest that cognitive functioning has improved across survey waves on all of these dimensions. This indicates an extension of significant Flynn effects (which have mainly been studied in children, adolescents, and young adults) to older populations. We find significant secular improvements in cognitive functioning for both women and men, across age groups and educational strata. Several explanations are proposed that go beyond the role of education as the initial driver of the cohort cognitive improvements.","URL":"http://www.iiasa.ac.at/publication/more_IR-14-015.php","note":"00000","number":"IR-14-015","author":[{"family":"Bordone","given":"Valeria"},{"family":"Scherbov","given":"Sergei"},{"family":"Steiber","given":"Nadia"}],"issued":{"date-parts":[["2014",1,10]]}}},{"id":7734,"uris":["http://zotero.org/groups/169898/items/79FSQIT4"],"uri":["http://zotero.org/groups/169898/items/79FSQIT4"],"itemData":{"id":7734,"type":"article-journal","title":"Ageing populations: the challenges ahead","container-title":"The Lancet","page":"1196-1208","volume":"374","issue":"9696","source":"ScienceDirect","abstract":"Summary\nIf the pace of increase in life expectancy in developed countries over the past two centuries continues through the 21st century, most babies born since 2000 in France, Germany, Italy, the UK, the USA, Canada, Japan, and other countries with long life expectancies will celebrate their 100th birthdays. Although trends differ between countries, populations of nearly all such countries are ageing as a result of low fertility, low immigration, and long lives. A key question is: are increases in life expectancy accompanied by a concurrent postponement of functional limitations and disability? The answer is still open, but research suggests that ageing processes are modifiable and that people are living longer without severe disability. This finding, together with technological and medical development and redistribution of work, will be important for our chances to meet the challenges of ageing populations.","URL":"http://www.sciencedirect.com/science/article/pii/S0140673609614604","DOI":"10.1016/S0140-6736(09)61460-4","ISSN":"0140-6736","note":"00940","shortTitle":"Ageing populations","journalAbbreviation":"The Lancet","author":[{"family":"Christensen","given":"Kaare"},{"family":"Doblhammer","given":"Gabriele"},{"family":"Rau","given":"Roland"},{"family":"Vaupel","given":"James W"}],"issued":{"date-parts":[["2009",10,9]]},"accessed":{"date-parts":[["2014",6,10]]}}},{"id":7648,"uris":["http://zotero.org/groups/169898/items/3CT6THST"],"uri":["http://zotero.org/groups/169898/items/3CT6THST"],"itemData":{"id":7648,"type":"article-journal","title":"Biodemography of human ageing","container-title":"Nature","page":"536-542","volume":"464","issue":"7288","source":"www.nature.com","abstract":"Human senescence has been delayed by a decade. This finding, documented in 1994 and bolstered since, is a fundamental discovery about the biology of human ageing, and one with profound implications for individuals, society and the economy. Remarkably, the rate of deterioration with age seems to be constant across individuals and over time: it seems that death is being delayed because people are reaching old age in better health. Research by demographers, epidemiologists and other biomedical researchers suggests that further progress is likely to be made in advancing the frontier of survival — and healthy survival — to even greater ages.","URL":"http://www.nature.com/nature/journal/v464/n7288/full/nature08984.html","DOI":"10.1038/nature08984","ISSN":"0028-0836","note":"00300","journalAbbreviation":"Nature","language":"en","author":[{"family":"Vaupel","given":"James W."}],"issued":{"date-parts":[["2010",3,25]]},"accessed":{"date-parts":[["2013",10,25]]}}}],"schema":"https://github.com/citation-style-language/schema/raw/master/csl-citation.json"} </w:instrText>
      </w:r>
      <w:r w:rsidR="00A0445D">
        <w:fldChar w:fldCharType="separate"/>
      </w:r>
      <w:r w:rsidR="00AE3EE1" w:rsidRPr="004A523D">
        <w:rPr>
          <w:rFonts w:ascii="Calibri" w:hAnsi="Calibri"/>
        </w:rPr>
        <w:t>(Bordone, Scherbov, &amp; Steiber, 2014; Christensen, Doblhammer, Rau, &amp; Vaupel, 2009; Vaupel, 2010)</w:t>
      </w:r>
      <w:r w:rsidR="00A0445D">
        <w:fldChar w:fldCharType="end"/>
      </w:r>
      <w:r w:rsidR="00B50D8B">
        <w:t>. By utilizing only a single characteristic of people, their chronological age, traditional measures ignore all those improvements</w:t>
      </w:r>
      <w:r w:rsidR="00F60771">
        <w:t xml:space="preserve"> and therefore </w:t>
      </w:r>
      <w:r w:rsidR="001B73AA">
        <w:t>disregard</w:t>
      </w:r>
      <w:r w:rsidR="00F60771">
        <w:t xml:space="preserve"> many changes that are important for the study of population aging.</w:t>
      </w:r>
    </w:p>
    <w:p w14:paraId="1457EFDB" w14:textId="77777777" w:rsidR="00E27B91" w:rsidRDefault="00E27B91"/>
    <w:p w14:paraId="5131BE72" w14:textId="1703F63D" w:rsidR="00F60771" w:rsidRDefault="00F60771">
      <w:r>
        <w:t>In a number of papers, Sanderson and Scherbov have argued that if one were limited to choosing a single characteristic to summarize dimensions of aging, it would not be chronological age, but rather remaining life expectancy</w:t>
      </w:r>
      <w:r w:rsidR="00F97762">
        <w:t xml:space="preserve"> </w:t>
      </w:r>
      <w:r w:rsidR="00F97762">
        <w:fldChar w:fldCharType="begin"/>
      </w:r>
      <w:r w:rsidR="00AF7B1F">
        <w:instrText xml:space="preserve"> ADDIN ZOTERO_ITEM CSL_CITATION {"citationID":"84j1bjp32","properties":{"formattedCitation":"(Sanderson &amp; Scherbov, 2005, 2008b, 2010, 2013)","plainCitation":"(Sanderson &amp; Scherbov, 2005, 2008b, 2010, 2013)"},"citationItems":[{"id":8028,"uris":["http://zotero.org/groups/169898/items/MTTZ56ZX"],"uri":["http://zotero.org/groups/169898/items/MTTZ56ZX"],"itemData":{"id":8028,"type":"article-journal","title":"Average remaining lifetimes can increase as human populations age","container-title":"Nature","page":"811-813","volume":"435","issue":"7043","source":"www.nature.com","abstract":"Increases in median ages, the most commonly used measure of population ageing, are rapid in today's wealthier countries, and population ageing is widely considered to be a significant challenge to the well-being of citizens there. Conventional measures of age count years since birth; however, as lives lengthen, we need to think of age also in terms of years left until death or in proportion to the expanding lifespan. Here we propose a new measure of ageing: the median age of the population standardized for expected remaining years of life. We show, using historical data and forecasts for Germany, Japan and the United States, that although these populations will be growing older, as measured by their median ages, they will probably experience periods in which they grow younger, as measured by their standardized median ages. Furthermore, we provide forecasts for these countries of the old-age dependency ratio rescaled for increases in life expectancy at birth. These ratios are forecasted to change much less than their unscaled counterparts, and also exhibit periods when the population is effectively growing younger.","URL":"http://www.nature.com/nature/journal/v435/n7043/abs/nature03593.html","DOI":"10.1038/nature03593","ISSN":"0028-0836","note":"00085","journalAbbreviation":"Nature","language":"en","author":[{"family":"Sanderson","given":"Warren C."},{"family":"Scherbov","given":"Sergei"}],"issued":{"date-parts":[["2005",6,9]]},"accessed":{"date-parts":[["2014",6,5]]}}},{"id":8200,"uris":["http://zotero.org/groups/169898/items/XJSI3868"],"uri":["http://zotero.org/groups/169898/items/XJSI3868"],"itemData":{"id":8200,"type":"book","title":"Rethinking age and aging","collection-title":"Population Bulletin","publisher":"Population Reference Bureau","publisher-place":"Washington, D.C.","event-place":"Washington, D.C.","URL":"http://www.prb.org/pdf08/63.4aging.pdf","note":"00072 Population Bulletin, vol 63, no. 4","author":[{"family":"Sanderson","given":"Warren C."},{"family":"Scherbov","given":"Sergei"}],"issued":{"date-parts":[["2008",12]]}}},{"id":7725,"uris":["http://zotero.org/groups/169898/items/6RMHTNTJ"],"uri":["http://zotero.org/groups/169898/items/6RMHTNTJ"],"itemData":{"id":7725,"type":"article-journal","title":"Remeasuring aging","container-title":"Science","page":"1287-1288","volume":"329","issue":"5997","source":"www.sciencemag.org","abstract":"Population aging is an international concern, in part because of consequences of coming age-structure changes, e.g., growth in the number of elderly, decline in the number of youth, and accompanying economic and social costs (1–4). These expectations are based on conventional measures of aging that link expected phenotypes to fixed chronological ages. But as life expectancies increase and people remain healthy longer, measures based solely on fixed chronological ages can be misleading. Recently, we published aging forecasts for all countries based on new measures that account for changes in longevity (5–8). Here, we add new forecasts based on disability status. Both types of forecasts exhibit a slower pace of aging compared with the conventional ones.","URL":"http://www.sciencemag.org/content/329/5997/1287","DOI":"10.1126/science.1193647","ISSN":"0036-8075, 1095-9203","note":"00090 PMID: 20829469","journalAbbreviation":"Science","language":"en","author":[{"family":"Sanderson","given":"Warren C."},{"family":"Scherbov","given":"Sergei"}],"issued":{"date-parts":[["2010",9,10]]},"accessed":{"date-parts":[["2014",6,10]]}}},{"id":7866,"uris":["http://zotero.org/groups/169898/items/D97RI69K"],"uri":["http://zotero.org/groups/169898/items/D97RI69K"],"itemData":{"id":7866,"type":"article-journal","title":"The characteristics approach to the measurement of population aging","container-title":"Population and Development Review","page":"673-685","volume":"39","issue":"4","source":"Wiley Online Library","abstract":"Conventional measures of population aging, such as proportions over age 65, can present a misleading picture of the aging process by not taking account of changes in people's characteristics beyond their chronological age—for example, changes in remaining life expectancy, health and morbidity, disability rates, and cognitive functioning. The “characteristics approach” set out in this article encompasses multiple features of population aging, yielding new measures that can better inform both demographic analysis and public policy debate. We relate the brief history of this approach, examine its basic mathematical structure, and give empirical examples of the insights it offers, drawing on data from West Germany, Japan, Russia, and the United States.","URL":"http://onlinelibrary.wiley.com/doi/10.1111/j.1728-4457.2013.00633.x/abstract","DOI":"10.1111/j.1728-4457.2013.00633.x","ISSN":"1728-4457","note":"00001","journalAbbreviation":"Popul. Dev. Rev.","language":"en","author":[{"family":"Sanderson","given":"Warren C."},{"family":"Scherbov","given":"Sergei"}],"issued":{"date-parts":[["2013",12,1]]},"accessed":{"date-parts":[["2014",6,5]]}}}],"schema":"https://github.com/citation-style-language/schema/raw/master/csl-citation.json"} </w:instrText>
      </w:r>
      <w:r w:rsidR="00F97762">
        <w:fldChar w:fldCharType="separate"/>
      </w:r>
      <w:r w:rsidR="00AE3EE1" w:rsidRPr="004A523D">
        <w:rPr>
          <w:rFonts w:ascii="Calibri" w:hAnsi="Calibri"/>
        </w:rPr>
        <w:t>(Sanderson &amp; Scherbov, 2005, 2008b, 2010, 2013)</w:t>
      </w:r>
      <w:r w:rsidR="00F97762">
        <w:fldChar w:fldCharType="end"/>
      </w:r>
      <w:r>
        <w:t xml:space="preserve">. Remaining life expectancy is more highly related to </w:t>
      </w:r>
      <w:r w:rsidR="00E27B91">
        <w:t>how well people function both physically and cognitively than is chronological age when looking across countries and over time. Measures of population aging analogous to those produced</w:t>
      </w:r>
      <w:r w:rsidR="00B73ABA" w:rsidRPr="00B73ABA">
        <w:t xml:space="preserve"> </w:t>
      </w:r>
      <w:r w:rsidR="00B73ABA">
        <w:t>by the United Nations using ages based on remaining life expectancy</w:t>
      </w:r>
      <w:r w:rsidR="00E27B91">
        <w:t xml:space="preserve"> have</w:t>
      </w:r>
      <w:r w:rsidR="00B73ABA">
        <w:t xml:space="preserve"> been published and show a very different picture of population aging than the traditional measures</w:t>
      </w:r>
      <w:r w:rsidR="00CE341B">
        <w:t xml:space="preserve"> </w:t>
      </w:r>
      <w:r w:rsidR="00CE341B">
        <w:fldChar w:fldCharType="begin"/>
      </w:r>
      <w:r w:rsidR="00AF7B1F">
        <w:instrText xml:space="preserve"> ADDIN ZOTERO_ITEM CSL_CITATION {"citationID":"c6tpbj9u1","properties":{"formattedCitation":"(Sanderson &amp; Scherbov, 2008a; Scherbov &amp; Sanderson, 2014)","plainCitation":"(Sanderson &amp; Scherbov, 2008a; Scherbov &amp; Sanderson, 2014)"},"citationItems":[{"id":7891,"uris":["http://zotero.org/groups/169898/items/EJ2R2589"],"uri":["http://zotero.org/groups/169898/items/EJ2R2589"],"itemData":{"id":7891,"type":"article","title":"Conventional and Prospective Measures of Population Aging, 1995, 2005, 2025, 2045","publisher":"Population Reference Bureau","URL":"http://www.prb.org/excel08/age-ageing_table.xls","note":"00000","author":[{"family":"Sanderson","given":"Warren C."},{"family":"Scherbov","given":"Sergei"}],"issued":{"date-parts":[["2008"]]}}},{"id":8170,"uris":["http://zotero.org/groups/169898/items/VZ4C5SKH"],"uri":["http://zotero.org/groups/169898/items/VZ4C5SKH"],"itemData":{"id":8170,"type":"webpage","title":"Prospective Measures of Population Aging: Version 1.0, June, 2014","URL":"www.reaging.org/indicators","note":"00000","shortTitle":"Prospective Measures of Population Aging","author":[{"family":"Scherbov","given":"Sergei"},{"family":"Sanderson","given":"Warren C."}],"issued":{"date-parts":[["2014"]]}}}],"schema":"https://github.com/citation-style-language/schema/raw/master/csl-citation.json"} </w:instrText>
      </w:r>
      <w:r w:rsidR="00CE341B">
        <w:fldChar w:fldCharType="separate"/>
      </w:r>
      <w:r w:rsidR="00AE3EE1" w:rsidRPr="004A523D">
        <w:rPr>
          <w:rFonts w:ascii="Calibri" w:hAnsi="Calibri"/>
        </w:rPr>
        <w:t>(Sanderson &amp; Scherbov, 2008a; Scherbov &amp; Sanderson, 2014)</w:t>
      </w:r>
      <w:r w:rsidR="00CE341B">
        <w:fldChar w:fldCharType="end"/>
      </w:r>
      <w:r w:rsidR="00B73ABA">
        <w:t>.</w:t>
      </w:r>
    </w:p>
    <w:p w14:paraId="6442CAEA" w14:textId="77777777" w:rsidR="004C7D13" w:rsidRDefault="004C7D13"/>
    <w:p w14:paraId="4497F1F2" w14:textId="30A5594B" w:rsidR="00E27B91" w:rsidRDefault="00B73ABA">
      <w:r>
        <w:t xml:space="preserve">The second problem with </w:t>
      </w:r>
      <w:r w:rsidR="000A4B2E">
        <w:t>the traditional approach to the measurement of population aging is its incompleteness. Population aging is inherently a multidimensional phenom</w:t>
      </w:r>
      <w:r w:rsidR="00F31934">
        <w:t xml:space="preserve">enon. Taking this </w:t>
      </w:r>
      <w:r w:rsidR="00F31934">
        <w:lastRenderedPageBreak/>
        <w:t>multidimensionality into account requires a methodology which recognizes and quantifies multiple aspects of aging and allows measures to be com</w:t>
      </w:r>
      <w:r w:rsidR="00AC0576">
        <w:t xml:space="preserve">bined and analyzed </w:t>
      </w:r>
      <w:r w:rsidR="004F1210">
        <w:t>with</w:t>
      </w:r>
      <w:r w:rsidR="00AC0576">
        <w:t>in a unified framework. The traditional approach does not do this.</w:t>
      </w:r>
    </w:p>
    <w:p w14:paraId="6AD29439" w14:textId="77777777" w:rsidR="00B73ABA" w:rsidRDefault="00B73ABA"/>
    <w:p w14:paraId="399C3B60" w14:textId="5CBA8740" w:rsidR="00B73ABA" w:rsidRDefault="00B80FE3">
      <w:r>
        <w:t xml:space="preserve">Sanderson </w:t>
      </w:r>
      <w:r w:rsidR="002A29AF">
        <w:t>and</w:t>
      </w:r>
      <w:r w:rsidR="008E018B">
        <w:t xml:space="preserve"> </w:t>
      </w:r>
      <w:r>
        <w:t>Scherbov</w:t>
      </w:r>
      <w:r w:rsidR="008E018B">
        <w:t xml:space="preserve"> </w:t>
      </w:r>
      <w:r w:rsidR="002A29AF">
        <w:fldChar w:fldCharType="begin"/>
      </w:r>
      <w:r w:rsidR="00AF7B1F">
        <w:instrText xml:space="preserve"> ADDIN ZOTERO_ITEM CSL_CITATION {"citationID":"2k5blnvnuv","properties":{"formattedCitation":"(2013)","plainCitation":"(2013)"},"citationItems":[{"id":7866,"uris":["http://zotero.org/groups/169898/items/D97RI69K"],"uri":["http://zotero.org/groups/169898/items/D97RI69K"],"itemData":{"id":7866,"type":"article-journal","title":"The characteristics approach to the measurement of population aging","container-title":"Population and Development Review","page":"673-685","volume":"39","issue":"4","source":"Wiley Online Library","abstract":"Conventional measures of population aging, such as proportions over age 65, can present a misleading picture of the aging process by not taking account of changes in people's characteristics beyond their chronological age—for example, changes in remaining life expectancy, health and morbidity, disability rates, and cognitive functioning. The “characteristics approach” set out in this article encompasses multiple features of population aging, yielding new measures that can better inform both demographic analysis and public policy debate. We relate the brief history of this approach, examine its basic mathematical structure, and give empirical examples of the insights it offers, drawing on data from West Germany, Japan, Russia, and the United States.","URL":"http://onlinelibrary.wiley.com/doi/10.1111/j.1728-4457.2013.00633.x/abstract","DOI":"10.1111/j.1728-4457.2013.00633.x","ISSN":"1728-4457","note":"00001","journalAbbreviation":"Popul. Dev. Rev.","language":"en","author":[{"family":"Sanderson","given":"Warren C."},{"family":"Scherbov","given":"Sergei"}],"issued":{"date-parts":[["2013",12,1]]},"accessed":{"date-parts":[["2014",6,5]]}},"suppress-author":true}],"schema":"https://github.com/citation-style-language/schema/raw/master/csl-citation.json"} </w:instrText>
      </w:r>
      <w:r w:rsidR="002A29AF">
        <w:fldChar w:fldCharType="separate"/>
      </w:r>
      <w:r w:rsidR="002A29AF" w:rsidRPr="004A523D">
        <w:rPr>
          <w:rFonts w:ascii="Calibri" w:hAnsi="Calibri"/>
        </w:rPr>
        <w:t>(2013)</w:t>
      </w:r>
      <w:r w:rsidR="002A29AF">
        <w:fldChar w:fldCharType="end"/>
      </w:r>
      <w:r>
        <w:t xml:space="preserve">provide a framework in which population aging can be studied on the basis of age-specific characteristics of people that can vary </w:t>
      </w:r>
      <w:r w:rsidR="00F11497">
        <w:t xml:space="preserve">over </w:t>
      </w:r>
      <w:r>
        <w:t>time and space. It allows population aging to be studied in a multidimensional framework and for characteristics of people</w:t>
      </w:r>
      <w:r w:rsidR="00073F18">
        <w:t xml:space="preserve"> that are measured in different units to be transformed into a common unit, comparable year</w:t>
      </w:r>
      <w:r w:rsidR="006C0F10">
        <w:t>s</w:t>
      </w:r>
      <w:r w:rsidR="00073F18">
        <w:t xml:space="preserve"> of age</w:t>
      </w:r>
      <w:r w:rsidR="00DD4F5B">
        <w:t>,</w:t>
      </w:r>
      <w:r w:rsidR="00073F18">
        <w:t xml:space="preserve"> called “alpha-ages”. This paper is the first attempt at applying the Sanderson </w:t>
      </w:r>
      <w:r w:rsidR="002A29AF">
        <w:t>and</w:t>
      </w:r>
      <w:r w:rsidR="008E018B">
        <w:t xml:space="preserve"> </w:t>
      </w:r>
      <w:r w:rsidR="00073F18">
        <w:t>Scherbov</w:t>
      </w:r>
      <w:r w:rsidR="008E018B">
        <w:t xml:space="preserve"> </w:t>
      </w:r>
      <w:r w:rsidR="002A29AF">
        <w:fldChar w:fldCharType="begin"/>
      </w:r>
      <w:r w:rsidR="00AF7B1F">
        <w:instrText xml:space="preserve"> ADDIN ZOTERO_ITEM CSL_CITATION {"citationID":"vdhpR8Tu","properties":{"formattedCitation":"(2013)","plainCitation":"(2013)"},"citationItems":[{"id":7866,"uris":["http://zotero.org/groups/169898/items/D97RI69K"],"uri":["http://zotero.org/groups/169898/items/D97RI69K"],"itemData":{"id":7866,"type":"article-journal","title":"The characteristics approach to the measurement of population aging","container-title":"Population and Development Review","page":"673-685","volume":"39","issue":"4","source":"Wiley Online Library","abstract":"Conventional measures of population aging, such as proportions over age 65, can present a misleading picture of the aging process by not taking account of changes in people's characteristics beyond their chronological age—for example, changes in remaining life expectancy, health and morbidity, disability rates, and cognitive functioning. The “characteristics approach” set out in this article encompasses multiple features of population aging, yielding new measures that can better inform both demographic analysis and public policy debate. We relate the brief history of this approach, examine its basic mathematical structure, and give empirical examples of the insights it offers, drawing on data from West Germany, Japan, Russia, and the United States.","URL":"http://onlinelibrary.wiley.com/doi/10.1111/j.1728-4457.2013.00633.x/abstract","DOI":"10.1111/j.1728-4457.2013.00633.x","ISSN":"1728-4457","note":"00001","journalAbbreviation":"Popul. Dev. Rev.","language":"en","author":[{"family":"Sanderson","given":"Warren C."},{"family":"Scherbov","given":"Sergei"}],"issued":{"date-parts":[["2013",12,1]]},"accessed":{"date-parts":[["2014",6,5]]}},"suppress-author":true}],"schema":"https://github.com/citation-style-language/schema/raw/master/csl-citation.json"} </w:instrText>
      </w:r>
      <w:r w:rsidR="002A29AF">
        <w:fldChar w:fldCharType="separate"/>
      </w:r>
      <w:r w:rsidR="002A29AF" w:rsidRPr="005F3EF1">
        <w:rPr>
          <w:rFonts w:ascii="Calibri" w:hAnsi="Calibri"/>
        </w:rPr>
        <w:t>(2013)</w:t>
      </w:r>
      <w:r w:rsidR="002A29AF">
        <w:fldChar w:fldCharType="end"/>
      </w:r>
      <w:r w:rsidR="00073F18">
        <w:t xml:space="preserve"> approach in a</w:t>
      </w:r>
      <w:r w:rsidR="006C0F10">
        <w:t xml:space="preserve"> multidimensional context.</w:t>
      </w:r>
    </w:p>
    <w:p w14:paraId="52130217" w14:textId="77777777" w:rsidR="006C0F10" w:rsidRDefault="006C0F10"/>
    <w:p w14:paraId="33B78E7C" w14:textId="758FF69B" w:rsidR="008275BD" w:rsidRDefault="005B2A03">
      <w:r>
        <w:t xml:space="preserve">This paper is organized as follows. In the second section, we provide a brief description of the Sanderson </w:t>
      </w:r>
      <w:r w:rsidR="001C0AFD">
        <w:t xml:space="preserve">and </w:t>
      </w:r>
      <w:r>
        <w:t>Scherbov</w:t>
      </w:r>
      <w:r w:rsidR="00C02700">
        <w:t xml:space="preserve"> </w:t>
      </w:r>
      <w:r w:rsidR="001C0AFD">
        <w:fldChar w:fldCharType="begin"/>
      </w:r>
      <w:r w:rsidR="00AF7B1F">
        <w:instrText xml:space="preserve"> ADDIN ZOTERO_ITEM CSL_CITATION {"citationID":"UePd78fY","properties":{"formattedCitation":"(2013)","plainCitation":"(2013)"},"citationItems":[{"id":7866,"uris":["http://zotero.org/groups/169898/items/D97RI69K"],"uri":["http://zotero.org/groups/169898/items/D97RI69K"],"itemData":{"id":7866,"type":"article-journal","title":"The characteristics approach to the measurement of population aging","container-title":"Population and Development Review","page":"673-685","volume":"39","issue":"4","source":"Wiley Online Library","abstract":"Conventional measures of population aging, such as proportions over age 65, can present a misleading picture of the aging process by not taking account of changes in people's characteristics beyond their chronological age—for example, changes in remaining life expectancy, health and morbidity, disability rates, and cognitive functioning. The “characteristics approach” set out in this article encompasses multiple features of population aging, yielding new measures that can better inform both demographic analysis and public policy debate. We relate the brief history of this approach, examine its basic mathematical structure, and give empirical examples of the insights it offers, drawing on data from West Germany, Japan, Russia, and the United States.","URL":"http://onlinelibrary.wiley.com/doi/10.1111/j.1728-4457.2013.00633.x/abstract","DOI":"10.1111/j.1728-4457.2013.00633.x","ISSN":"1728-4457","note":"00001","journalAbbreviation":"Popul. Dev. Rev.","language":"en","author":[{"family":"Sanderson","given":"Warren C."},{"family":"Scherbov","given":"Sergei"}],"issued":{"date-parts":[["2013",12,1]]},"accessed":{"date-parts":[["2014",6,5]]}},"suppress-author":true}],"schema":"https://github.com/citation-style-language/schema/raw/master/csl-citation.json"} </w:instrText>
      </w:r>
      <w:r w:rsidR="001C0AFD">
        <w:fldChar w:fldCharType="separate"/>
      </w:r>
      <w:r w:rsidR="001C0AFD" w:rsidRPr="005F3EF1">
        <w:rPr>
          <w:rFonts w:ascii="Calibri" w:hAnsi="Calibri"/>
        </w:rPr>
        <w:t>(2013)</w:t>
      </w:r>
      <w:r w:rsidR="001C0AFD">
        <w:fldChar w:fldCharType="end"/>
      </w:r>
      <w:r>
        <w:t xml:space="preserve"> framework and show how comparable alpha-ages can be computed for characteristics of people measured in different metrics. </w:t>
      </w:r>
      <w:r w:rsidR="001E4687">
        <w:t>In section 3, we provide an application of the framework using data from the English Longitudinal Study of Ageing (ELSA)</w:t>
      </w:r>
      <w:r w:rsidR="00C02700">
        <w:t xml:space="preserve"> </w:t>
      </w:r>
      <w:r w:rsidR="00C02700">
        <w:fldChar w:fldCharType="begin"/>
      </w:r>
      <w:r w:rsidR="00AF7B1F">
        <w:instrText xml:space="preserve"> ADDIN ZOTERO_ITEM CSL_CITATION {"citationID":"l8u8k2at","properties":{"formattedCitation":"(The Institute for Fiscal Studies, 2012)","plainCitation":"(The Institute for Fiscal Studies, 2012)"},"citationItems":[{"id":7791,"uris":["http://zotero.org/groups/169898/items/9RUXFDA7"],"uri":["http://zotero.org/groups/169898/items/9RUXFDA7"],"itemData":{"id":7791,"type":"report","title":"English Longitudinal Study of Ageing (ELSA)","publisher":"NatCen Social Research, University College London and Institute for Fiscal Studies","publisher-place":"London","event-place":"London","URL":"http://www.ifs.org.uk/ELSA","author":[{"family":"The Institute for Fiscal Studies","given":""}],"issued":{"date-parts":[["2012"]]}}}],"schema":"https://github.com/citation-style-language/schema/raw/master/csl-citation.json"} </w:instrText>
      </w:r>
      <w:r w:rsidR="00C02700">
        <w:fldChar w:fldCharType="separate"/>
      </w:r>
      <w:r w:rsidR="00AE3EE1" w:rsidRPr="004A523D">
        <w:rPr>
          <w:rFonts w:ascii="Calibri" w:hAnsi="Calibri"/>
        </w:rPr>
        <w:t>(The Institute for Fiscal Studies, 2012)</w:t>
      </w:r>
      <w:r w:rsidR="00C02700">
        <w:fldChar w:fldCharType="end"/>
      </w:r>
      <w:r w:rsidR="001E4687">
        <w:t xml:space="preserve">. </w:t>
      </w:r>
      <w:r w:rsidR="008B38B4">
        <w:t>In particular, we compute alpha-age differentials across educational subgroups using hand-grip strength as a measure of upper body strength and chair rise speed as a measure of lower body strength. The literature shows that both are predictive of subsequent mortality</w:t>
      </w:r>
      <w:r w:rsidR="00354E5B">
        <w:t xml:space="preserve"> </w:t>
      </w:r>
      <w:r w:rsidR="00354E5B">
        <w:fldChar w:fldCharType="begin"/>
      </w:r>
      <w:r w:rsidR="00AF7B1F">
        <w:instrText xml:space="preserve"> ADDIN ZOTERO_ITEM CSL_CITATION {"citationID":"tk239g3te","properties":{"formattedCitation":"(Cooper et al., 2011; Cooper, Strand, Hardy, Patel, &amp; Kuh, 2014; Hurst et al., 2013)","plainCitation":"(Cooper et al., 2011; Cooper, Strand, Hardy, Patel, &amp; Kuh, 2014; Hurst et al., 2013)"},"citationItems":[{"id":8090,"uris":["http://zotero.org/groups/169898/items/RR45XJPE"],"uri":["http://zotero.org/groups/169898/items/RR45XJPE"],"itemData":{"id":8090,"type":"article-journal","title":"Age and gender differences in physical capability levels from mid-life onwards: The harmonisation and meta-analysis of data from eight UK cohort studies","container-title":"PLoS ONE","page":"e27899","volume":"6","issue":"11","source":"PLoS ONE","abstract":"Using data from eight UK cohorts participating in the Healthy Ageing across the Life Course (HALCyon) research programme, with ages at physical capability assessment ranging from 50 to 90+ years, we harmonised data on objective measures of physical capability (i.e. grip strength, chair rising ability, walking speed, timed get up and go, and standing balance performance) and investigated the cross-sectional age and gender differences in these measures. Levels of physical capability were generally lower in study participants of older ages, and men performed better than women (for example, results from meta-analyses (N = 14,213 (5 studies)), found that men had 12.62 kg (11.34, 13.90) higher grip strength than women after adjustment for age and body size), although for walking speed, this gender difference was attenuated after adjustment for body size. There was also evidence that the gender difference in grip strength diminished with increasing age,whereas the gender difference in walking speed widened (p&lt;0.01 for interactions between age and gender in both cases). This study highlights not only the presence of age and gender differences in objective measures of physical capability but provides a demonstration that harmonisation of data from several large cohort studies is possible. These harmonised data are now being used within HALCyon to understand the lifetime social and biological determinants of physical capability and its changes with age.","URL":"http://dx.doi.org/10.1371/journal.pone.0027899","DOI":"10.1371/journal.pone.0027899","shortTitle":"Age and Gender Differences in Physical Capability Levels from Mid-Life Onwards","journalAbbreviation":"PLoS ONE","author":[{"family":"Cooper","given":"Rachel"},{"family":"Hardy","given":"Rebecca"},{"family":"Aihie Sayer","given":"Avan"},{"family":"Ben-Shlomo","given":"Yoav"},{"family":"Birnie","given":"Kate"},{"family":"Cooper","given":"Cyrus"},{"family":"Craig","given":"Leone"},{"family":"Deary","given":"Ian J."},{"family":"Demakakos","given":"Panayotes"},{"family":"Gallacher","given":"John"},{"family":"McNeill","given":"Geraldine"},{"family":"Martin","given":"Richard M."},{"family":"Starr","given":"John M."},{"family":"Steptoe","given":"Andrew"},{"family":"Kuh","given":"Diana"},{"literal":"on behalf of the HALCyon study team"}],"issued":{"date-parts":[["2011",11,16]]},"accessed":{"date-parts":[["2013",5,22]]}}},{"id":7886,"uris":["http://zotero.org/groups/169898/items/EBUQ97QH"],"uri":["http://zotero.org/groups/169898/items/EBUQ97QH"],"itemData":{"id":7886,"type":"article-journal","title":"Physical capability in mid-life and survival over 13 years of follow-up: British birth cohort study","container-title":"British Medical Journal","page":"g2219","volume":"348","abstract":"Objectives To examine associations between three commonly used objective measures of physical capability assessed at age 53 and a composite score of these measures and all cause mortality; to investigate whether being unable to perform these tests is associated with mortality. Design Cohort study. Setting MRC National Survey of Health and Development in England, Scotland, and Wales. Participants 1355 men and 1411 women with data on physical capability at age 53 who were linked to the National Health Service (NHS) central register for death notification. Main outcome measure All cause mortality between ages 53 (1999) and 66 (2012). Results For each of the three measures of physical capability (grip strength, chair rise speed, and standing balance time) those participants unable to perform the test and those in the lowest performing fifth were found to have higher mortality rates than those in the highest fifth. Adjustment for baseline covariates partially attenuated associations but in fully adjusted models the main associations remained. For example, the fully adjusted hazard ratio of all cause mortality for the lowest compared with the highest fifth of a composite score of physical capability was 3.68 (95% confidence interval 2.03 to 6.68). Those people who could not perform any of the tests had considerably higher rates of death compared with those people able to perform all three tests (8.40, 4.35 to 16.23). When a series of models including different combinations of the measures were compared by using likelihood ratio tests, all three measures of physical capability were found to improve model fit, and a model including all three measures produced the highest estimate of predictive ability (Harrell's C index 0.71, 95% confidence interval 0.65 to 0.77). There was some evidence that standing balance time was more strongly associated with mortality than the other two measures. Conclusions Lower levels of physical capability at age 53 and inability to perform capability tests are associated with higher rates of mortality. Even at this relatively young age these measures identify groups of people who are less likely than others to achieve a long and healthy life.","DOI":"10.1136/bmj.g2219","ISSN":"1756-1833","note":"00021 \nWOS:000335475500002","journalAbbreviation":"BMJ","author":[{"family":"Cooper","given":"Rachel"},{"family":"Strand","given":"Bjorn Heine"},{"family":"Hardy","given":"Rebecca"},{"family":"Patel","given":"Kushang V."},{"family":"Kuh","given":"Diana"}],"issued":{"date-parts":[["2014",4,29]]}}},{"id":7727,"uris":["http://zotero.org/groups/169898/items/6UTF79A5"],"uri":["http://zotero.org/groups/169898/items/6UTF79A5"],"itemData":{"id":7727,"type":"article-journal","title":"Lifetime socioeconomic inequalities in physical and cognitive aging","container-title":"American Journal of Public Health","page":"1641-1648","volume":"103","issue":"9","abstract":"Objectives. We examined the relationship between childhood and adult socioeconomic position (SEP) and objectively assessed, later-life functioning. Methods. We used the Medical Research Council's National Survey of Health and Development data to examine performance at 60 to 64 years (obtained in 2006-2011) for a representative UK sample. We compared 9 physical and cognitive performance measures (forced expiratory volume, forced vital capacity, handgrip strength, chair rise time, standing balance time, timed get up and go speed, verbal memory score, processing speed, and simple reaction time) over the SEP distribution. Results. Each performance measure was socially graded. Those at the top of the childhood SEP distribution had between 7% and 20% better performance than those at the bottom. Inequalities generally persisted after adjustment for adult SEP. When we combined the 9 performance measures, the relative difference was 66% (95% confidence interval = 53%, 78%). Conclusions. Public health practice should monitor and target inequalities in functional performance, as well as risk of disease and death. Effective strategies will need to affect the social determinants of health in early life to influence inequalities into old age.","DOI":"10.2105/AJPH.2013.301240","ISSN":"0090-0036","note":"00012 \nWOS:000330998200037","journalAbbreviation":"Am J Public Health","author":[{"family":"Hurst","given":"Louise"},{"family":"Stafford","given":"Mai"},{"family":"Cooper","given":"Rachel"},{"family":"Hardy","given":"Rebecca"},{"family":"Richards","given":"Marcus"},{"family":"Kuh","given":"Diana"}],"issued":{"date-parts":[["2013",9]]}}}],"schema":"https://github.com/citation-style-language/schema/raw/master/csl-citation.json"} </w:instrText>
      </w:r>
      <w:r w:rsidR="00354E5B">
        <w:fldChar w:fldCharType="separate"/>
      </w:r>
      <w:r w:rsidR="00AE3EE1" w:rsidRPr="004A523D">
        <w:rPr>
          <w:rFonts w:ascii="Calibri" w:hAnsi="Calibri"/>
        </w:rPr>
        <w:t xml:space="preserve">(Cooper et al., 2011; Cooper, Strand, Hardy, Patel, &amp; Kuh, 2014; Hurst et al., </w:t>
      </w:r>
      <w:r w:rsidR="00AE3EE1" w:rsidRPr="004A523D">
        <w:rPr>
          <w:rFonts w:ascii="Calibri" w:hAnsi="Calibri"/>
        </w:rPr>
        <w:lastRenderedPageBreak/>
        <w:t>2013)</w:t>
      </w:r>
      <w:r w:rsidR="00354E5B">
        <w:fldChar w:fldCharType="end"/>
      </w:r>
      <w:r w:rsidR="008B38B4">
        <w:t xml:space="preserve">. In section 4, </w:t>
      </w:r>
      <w:r w:rsidR="003E71D9">
        <w:t xml:space="preserve">we </w:t>
      </w:r>
      <w:r w:rsidR="000B62DD">
        <w:t>present the results of the analysis. There, w</w:t>
      </w:r>
      <w:r w:rsidR="008B38B4">
        <w:t xml:space="preserve">e compute </w:t>
      </w:r>
      <w:r w:rsidR="000B62DD">
        <w:t xml:space="preserve">alpha-age differentials in subsequent survival rates for the same subgroups and show that the average of the alpha-age differentials using measures of hand-grip strength </w:t>
      </w:r>
      <w:r w:rsidR="00BA3D87">
        <w:t xml:space="preserve">and chair rise speed </w:t>
      </w:r>
      <w:r w:rsidR="000B62DD">
        <w:t>predict</w:t>
      </w:r>
      <w:r w:rsidR="003E71D9">
        <w:t>s</w:t>
      </w:r>
      <w:r w:rsidR="000B62DD">
        <w:t xml:space="preserve"> the subgroup differential i</w:t>
      </w:r>
      <w:r w:rsidR="00BA3D87">
        <w:t>n</w:t>
      </w:r>
      <w:r w:rsidR="000B62DD">
        <w:t xml:space="preserve"> subsequent survival almost exactly. </w:t>
      </w:r>
      <w:r w:rsidR="00DD4F5B">
        <w:t xml:space="preserve">The advantage of combining characteristics is that </w:t>
      </w:r>
      <w:r w:rsidR="000B62DD">
        <w:t xml:space="preserve">the average of the two measures </w:t>
      </w:r>
      <w:r w:rsidR="00BA3D87">
        <w:t>predicts the subgroup differential in survival better than either taken separately. Section 5 contains a concluding discussion.</w:t>
      </w:r>
    </w:p>
    <w:p w14:paraId="231A55BE" w14:textId="740FC5FF" w:rsidR="005B52FB" w:rsidRDefault="005B52FB" w:rsidP="004A523D">
      <w:pPr>
        <w:pStyle w:val="Heading1"/>
      </w:pPr>
      <w:r>
        <w:t>The Characteristics Approach Framework</w:t>
      </w:r>
    </w:p>
    <w:p w14:paraId="3005CAD5" w14:textId="1071C501" w:rsidR="00F9072D" w:rsidRDefault="005B52FB">
      <w:r>
        <w:t xml:space="preserve">In this section, we show how alpha-ages can be computed from information on a variety of characteristics, even though those characteristics are measured in different units. </w:t>
      </w:r>
      <w:r w:rsidR="00DF40D0">
        <w:t xml:space="preserve">Alpha-ages are constant characteristic ages. People with the same alpha-age share the same level of the characteristic. </w:t>
      </w:r>
      <w:r>
        <w:t>The basic element of the framework is a characteristic schedule</w:t>
      </w:r>
      <w:r w:rsidR="00F9072D">
        <w:t xml:space="preserve">, </w:t>
      </w:r>
      <w:r w:rsidR="00F9072D">
        <w:rPr>
          <w:i/>
        </w:rPr>
        <w:t>C(.)</w:t>
      </w:r>
      <w:r w:rsidR="00F9072D">
        <w:t xml:space="preserve"> that maps chronological ages into levels of a specific characteristic.  </w:t>
      </w:r>
    </w:p>
    <w:p w14:paraId="1C2BB782" w14:textId="6CCD205C" w:rsidR="005B52FB" w:rsidRDefault="00FD21F8">
      <w:r w:rsidRPr="00C16407">
        <w:rPr>
          <w:position w:val="-10"/>
        </w:rPr>
        <w:object w:dxaOrig="999" w:dyaOrig="340" w14:anchorId="0A1E6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pt;height:16.75pt" o:ole="">
            <v:imagedata r:id="rId7" o:title=""/>
          </v:shape>
          <o:OLEObject Type="Embed" ProgID="Equation.3" ShapeID="_x0000_i1025" DrawAspect="Content" ObjectID="_1528894891" r:id="rId8"/>
        </w:object>
      </w:r>
      <w:r w:rsidR="00E310B9">
        <w:t>,</w:t>
      </w:r>
      <w:r w:rsidR="00E310B9">
        <w:tab/>
      </w:r>
      <w:r w:rsidR="00E310B9">
        <w:tab/>
      </w:r>
      <w:r w:rsidR="00E310B9">
        <w:tab/>
      </w:r>
      <w:r w:rsidR="00E310B9">
        <w:tab/>
      </w:r>
      <w:r w:rsidR="00E310B9">
        <w:tab/>
      </w:r>
      <w:r w:rsidR="00E310B9">
        <w:tab/>
      </w:r>
      <w:r w:rsidR="00E310B9">
        <w:tab/>
      </w:r>
      <w:r w:rsidR="00E310B9">
        <w:tab/>
      </w:r>
      <w:r w:rsidR="00E310B9">
        <w:tab/>
      </w:r>
      <w:r w:rsidR="00E310B9">
        <w:tab/>
      </w:r>
      <w:r w:rsidR="00E310B9">
        <w:tab/>
        <w:t>(1)</w:t>
      </w:r>
    </w:p>
    <w:p w14:paraId="212700AD" w14:textId="77777777" w:rsidR="00FF498A" w:rsidRDefault="00E310B9">
      <w:r>
        <w:t xml:space="preserve">where </w:t>
      </w:r>
      <w:r>
        <w:rPr>
          <w:i/>
        </w:rPr>
        <w:t>k</w:t>
      </w:r>
      <w:r>
        <w:t xml:space="preserve"> is the level of a characteristic, such as hand-grip strength, observed at age </w:t>
      </w:r>
      <w:r>
        <w:rPr>
          <w:i/>
        </w:rPr>
        <w:t>a</w:t>
      </w:r>
      <w:r w:rsidR="00FD21F8">
        <w:t xml:space="preserve"> in characteristic schedule </w:t>
      </w:r>
      <w:r w:rsidR="00FD21F8">
        <w:rPr>
          <w:i/>
        </w:rPr>
        <w:t>r</w:t>
      </w:r>
      <w:r w:rsidR="00FD21F8">
        <w:t xml:space="preserve">.  </w:t>
      </w:r>
    </w:p>
    <w:p w14:paraId="218E36B9" w14:textId="77777777" w:rsidR="00FF498A" w:rsidRDefault="00FF498A"/>
    <w:p w14:paraId="030EE0A7" w14:textId="3DC2E3C6" w:rsidR="00E310B9" w:rsidRDefault="00FF498A">
      <w:r>
        <w:t>The i</w:t>
      </w:r>
      <w:r w:rsidR="00D4050F">
        <w:t xml:space="preserve">ndex </w:t>
      </w:r>
      <w:r w:rsidR="00D4050F" w:rsidRPr="003750ED">
        <w:rPr>
          <w:i/>
        </w:rPr>
        <w:t>r</w:t>
      </w:r>
      <w:r w:rsidR="00D4050F" w:rsidRPr="003750ED">
        <w:t xml:space="preserve"> may refer to different population</w:t>
      </w:r>
      <w:r w:rsidR="00D4050F">
        <w:t xml:space="preserve">s in time and space or </w:t>
      </w:r>
      <w:r w:rsidR="00621E11">
        <w:t xml:space="preserve">to </w:t>
      </w:r>
      <w:r w:rsidR="00D4050F">
        <w:t>population subgroups.</w:t>
      </w:r>
      <w:r w:rsidR="00621E11">
        <w:t xml:space="preserve"> In other words, the index </w:t>
      </w:r>
      <w:r w:rsidR="00621E11">
        <w:rPr>
          <w:i/>
        </w:rPr>
        <w:t>r</w:t>
      </w:r>
      <w:r w:rsidR="00621E11">
        <w:t xml:space="preserve"> is a short-hand way of referring to </w:t>
      </w:r>
      <w:r w:rsidR="008F3AEA">
        <w:t xml:space="preserve">the group of people for whom the characteristic is measured. For example, a characteristic schedule </w:t>
      </w:r>
      <w:r w:rsidR="008F3AEA">
        <w:rPr>
          <w:i/>
        </w:rPr>
        <w:t>r</w:t>
      </w:r>
      <w:r w:rsidR="008F3AEA">
        <w:t xml:space="preserve"> could refer to women 60 to 85 </w:t>
      </w:r>
      <w:r w:rsidR="008F3AEA">
        <w:lastRenderedPageBreak/>
        <w:t>years old observed in the 2004 wave of ELSA who have completed upper second</w:t>
      </w:r>
      <w:r>
        <w:t>ary</w:t>
      </w:r>
      <w:r w:rsidR="008F3AEA">
        <w:t xml:space="preserve"> </w:t>
      </w:r>
      <w:r>
        <w:t xml:space="preserve">education. Another characteristic schedule, </w:t>
      </w:r>
      <w:r>
        <w:rPr>
          <w:i/>
        </w:rPr>
        <w:t>s</w:t>
      </w:r>
      <w:r>
        <w:t xml:space="preserve">, could refer to 60-85 year old women observed in the 2004 wave of ELSA who have </w:t>
      </w:r>
      <w:r w:rsidR="00F21153">
        <w:t xml:space="preserve">not </w:t>
      </w:r>
      <w:r>
        <w:t xml:space="preserve">completed upper secondary education.  </w:t>
      </w:r>
    </w:p>
    <w:p w14:paraId="204B9AFB" w14:textId="77777777" w:rsidR="00935F84" w:rsidRPr="00D4050F" w:rsidRDefault="00935F84"/>
    <w:p w14:paraId="028C971F" w14:textId="76CDA7AE" w:rsidR="00FD21F8" w:rsidRDefault="00FD21F8">
      <w:r>
        <w:t>If the characteristic schedule is monotonic and invertible, alpha-ages can be derived from the equation</w:t>
      </w:r>
    </w:p>
    <w:p w14:paraId="71B639A0" w14:textId="4B542080" w:rsidR="00FD21F8" w:rsidRDefault="00DF40D0">
      <w:r w:rsidRPr="00C16407">
        <w:rPr>
          <w:position w:val="-12"/>
        </w:rPr>
        <w:object w:dxaOrig="1520" w:dyaOrig="380" w14:anchorId="2FC3F1F9">
          <v:shape id="_x0000_i1026" type="#_x0000_t75" style="width:75.95pt;height:18.75pt" o:ole="">
            <v:imagedata r:id="rId9" o:title=""/>
          </v:shape>
          <o:OLEObject Type="Embed" ProgID="Equation.3" ShapeID="_x0000_i1026" DrawAspect="Content" ObjectID="_1528894892" r:id="rId10"/>
        </w:object>
      </w:r>
      <w:r>
        <w:t>,</w:t>
      </w:r>
      <w:r>
        <w:tab/>
      </w:r>
      <w:r>
        <w:tab/>
      </w:r>
      <w:r>
        <w:tab/>
      </w:r>
      <w:r>
        <w:tab/>
      </w:r>
      <w:r>
        <w:tab/>
      </w:r>
      <w:r>
        <w:tab/>
      </w:r>
      <w:r>
        <w:tab/>
      </w:r>
      <w:r>
        <w:tab/>
      </w:r>
      <w:r>
        <w:tab/>
      </w:r>
      <w:r>
        <w:tab/>
        <w:t>(2)</w:t>
      </w:r>
    </w:p>
    <w:p w14:paraId="57B34ACC" w14:textId="78A8FB7E" w:rsidR="00DF40D0" w:rsidRDefault="00DF40D0">
      <w:r>
        <w:t xml:space="preserve">where </w:t>
      </w:r>
      <w:r w:rsidRPr="00940B1C">
        <w:rPr>
          <w:rFonts w:ascii="Cambria Math" w:hAnsi="Cambria Math"/>
          <w:i/>
        </w:rPr>
        <w:t>𝛼</w:t>
      </w:r>
      <w:r w:rsidRPr="00940B1C">
        <w:t xml:space="preserve"> </w:t>
      </w:r>
      <w:r>
        <w:t xml:space="preserve">is the alpha-age corresponding to chronological age </w:t>
      </w:r>
      <w:r>
        <w:rPr>
          <w:i/>
        </w:rPr>
        <w:t>a</w:t>
      </w:r>
      <w:r>
        <w:t xml:space="preserve"> in characteristic schedule </w:t>
      </w:r>
      <w:r>
        <w:rPr>
          <w:i/>
        </w:rPr>
        <w:t>r</w:t>
      </w:r>
      <w:r>
        <w:t xml:space="preserve">, using characteristic schedule </w:t>
      </w:r>
      <w:r>
        <w:rPr>
          <w:i/>
        </w:rPr>
        <w:t>s</w:t>
      </w:r>
      <w:r>
        <w:t xml:space="preserve"> as a standard.</w:t>
      </w:r>
      <w:r w:rsidR="003C14F9">
        <w:t xml:space="preserve"> In other words, an alpha-age is a chronological age in the standard schedule </w:t>
      </w:r>
      <w:r w:rsidR="003C14F9">
        <w:rPr>
          <w:i/>
        </w:rPr>
        <w:t>s</w:t>
      </w:r>
      <w:r w:rsidR="003C14F9">
        <w:t xml:space="preserve"> where people have the same level of the characteristic as they have at chronological age </w:t>
      </w:r>
      <w:r w:rsidR="003C14F9">
        <w:rPr>
          <w:i/>
        </w:rPr>
        <w:t>a</w:t>
      </w:r>
      <w:r w:rsidR="003C14F9">
        <w:t xml:space="preserve"> in schedule </w:t>
      </w:r>
      <w:r w:rsidR="003C14F9">
        <w:rPr>
          <w:i/>
        </w:rPr>
        <w:t>r</w:t>
      </w:r>
      <w:r w:rsidR="003C14F9">
        <w:t>.</w:t>
      </w:r>
    </w:p>
    <w:p w14:paraId="4948471E" w14:textId="20547FD1" w:rsidR="003C14F9" w:rsidRDefault="003C14F9">
      <w:r>
        <w:t xml:space="preserve">Table 1 shows an example of how alpha-ages are computed.  </w:t>
      </w:r>
    </w:p>
    <w:p w14:paraId="21E6334F" w14:textId="21A97BC8" w:rsidR="00B73ABA" w:rsidRDefault="008B24C5">
      <w:r>
        <w:t xml:space="preserve">Table 1 shows that people at age 65 have characteristic level 100 in schedule </w:t>
      </w:r>
      <w:r>
        <w:rPr>
          <w:i/>
        </w:rPr>
        <w:t>r</w:t>
      </w:r>
      <w:r w:rsidRPr="004A523D">
        <w:t>.</w:t>
      </w:r>
      <w:r>
        <w:rPr>
          <w:i/>
        </w:rPr>
        <w:t xml:space="preserve"> </w:t>
      </w:r>
      <w:r>
        <w:t xml:space="preserve">The table also shows that in the standard schedule </w:t>
      </w:r>
      <w:r>
        <w:rPr>
          <w:i/>
        </w:rPr>
        <w:t>s</w:t>
      </w:r>
      <w:r>
        <w:t xml:space="preserve"> people have that same level of characteristic (100) at age 60. So 60 is the alpha-age of people of age 65 in schedule </w:t>
      </w:r>
      <w:r>
        <w:rPr>
          <w:i/>
        </w:rPr>
        <w:t>r</w:t>
      </w:r>
      <w:r>
        <w:t xml:space="preserve"> using schedule </w:t>
      </w:r>
      <w:r>
        <w:rPr>
          <w:i/>
        </w:rPr>
        <w:t>s</w:t>
      </w:r>
      <w:r>
        <w:t xml:space="preserve"> as a standard.  </w:t>
      </w:r>
    </w:p>
    <w:p w14:paraId="1A479B65" w14:textId="77777777" w:rsidR="007E0536" w:rsidRDefault="007E0536"/>
    <w:p w14:paraId="046247B6" w14:textId="7DFE71E8" w:rsidR="007E0536" w:rsidRDefault="007E0536">
      <w:r>
        <w:t>An important feature of the characteristic</w:t>
      </w:r>
      <w:r w:rsidR="00F917DF">
        <w:t>s</w:t>
      </w:r>
      <w:r>
        <w:t xml:space="preserve"> approach is that different characteristics measured in different units can all be translated into a common metric, alpha-age.</w:t>
      </w:r>
    </w:p>
    <w:p w14:paraId="3BAC9FB2" w14:textId="11130B75" w:rsidR="007E0536" w:rsidRDefault="001E4FEA" w:rsidP="004A523D">
      <w:pPr>
        <w:pStyle w:val="Heading1"/>
      </w:pPr>
      <w:r>
        <w:lastRenderedPageBreak/>
        <w:t>Measuring Hand-grip Strength and Chair Rise Speed Using Alpha-Ages</w:t>
      </w:r>
    </w:p>
    <w:p w14:paraId="0A44C451" w14:textId="77777777" w:rsidR="003966D8" w:rsidRPr="007F5BE1" w:rsidRDefault="003966D8" w:rsidP="004A523D">
      <w:pPr>
        <w:pStyle w:val="Heading2"/>
      </w:pPr>
      <w:r w:rsidRPr="007F5BE1">
        <w:t>Measures</w:t>
      </w:r>
    </w:p>
    <w:p w14:paraId="0D76AE62" w14:textId="27CDF37B" w:rsidR="003966D8" w:rsidRDefault="003966D8" w:rsidP="004A523D">
      <w:pPr>
        <w:autoSpaceDE w:val="0"/>
        <w:autoSpaceDN w:val="0"/>
        <w:adjustRightInd w:val="0"/>
      </w:pPr>
      <w:r w:rsidRPr="00C16407">
        <w:t xml:space="preserve">The physical measures </w:t>
      </w:r>
      <w:r w:rsidR="00D4050F">
        <w:t xml:space="preserve">in ELSA </w:t>
      </w:r>
      <w:r w:rsidRPr="00C16407">
        <w:t>were taken during a nurse visit. For the chair rise test participants aged at least 60 years had to rise 5 times from a chair as fast as possible</w:t>
      </w:r>
      <w:r w:rsidR="00E41CB5">
        <w:t xml:space="preserve">, </w:t>
      </w:r>
      <w:r w:rsidR="00E41CB5" w:rsidRPr="00E41CB5">
        <w:t xml:space="preserve">without using </w:t>
      </w:r>
      <w:r w:rsidR="00CB1ABB">
        <w:t xml:space="preserve">their </w:t>
      </w:r>
      <w:r w:rsidR="00E41CB5" w:rsidRPr="00E41CB5">
        <w:t>arms</w:t>
      </w:r>
      <w:r w:rsidRPr="00C16407">
        <w:t>. In our analysis we are interested in the speed of chair rise, therefore we convert the variable into chair rises per minute. Hand grip strength was measured in kg by using a dynamometer</w:t>
      </w:r>
      <w:r w:rsidR="00534101">
        <w:t>.</w:t>
      </w:r>
      <w:r w:rsidRPr="00C16407">
        <w:t xml:space="preserve"> </w:t>
      </w:r>
      <w:r w:rsidR="00534101">
        <w:t>P</w:t>
      </w:r>
      <w:r w:rsidR="00534101" w:rsidRPr="00C16407">
        <w:t xml:space="preserve">articipants </w:t>
      </w:r>
      <w:r w:rsidRPr="00C16407">
        <w:t xml:space="preserve">performed the test twice on each hand and the maximum measure was taken. In addition to demographic details such as age, participants </w:t>
      </w:r>
      <w:r w:rsidR="00534101">
        <w:t>provided</w:t>
      </w:r>
      <w:r w:rsidR="00534101" w:rsidRPr="00C16407">
        <w:t xml:space="preserve"> </w:t>
      </w:r>
      <w:r w:rsidRPr="00C16407">
        <w:t xml:space="preserve">their highest completed education </w:t>
      </w:r>
      <w:r w:rsidR="00534101">
        <w:t>using</w:t>
      </w:r>
      <w:r w:rsidR="00534101" w:rsidRPr="00C16407">
        <w:t xml:space="preserve"> </w:t>
      </w:r>
      <w:r w:rsidRPr="00C16407">
        <w:t xml:space="preserve">one out of seven categories ranging between no qualification and higher education with </w:t>
      </w:r>
      <w:r w:rsidR="00534101">
        <w:t xml:space="preserve">a </w:t>
      </w:r>
      <w:r w:rsidRPr="00C16407">
        <w:t xml:space="preserve">degree. We coded the seven categories into more educated (nvq2/gce or higher) and less educated (no qualification or nvq1/cse). </w:t>
      </w:r>
    </w:p>
    <w:p w14:paraId="55464C48" w14:textId="1D0815DF" w:rsidR="00FD1E6A" w:rsidRPr="007F5BE1" w:rsidRDefault="00FD1E6A" w:rsidP="004A523D">
      <w:pPr>
        <w:pStyle w:val="Heading2"/>
      </w:pPr>
      <w:r w:rsidRPr="007F5BE1">
        <w:t>Data</w:t>
      </w:r>
    </w:p>
    <w:p w14:paraId="04E9514F" w14:textId="2BB43C2A" w:rsidR="00042174" w:rsidRDefault="003D19C1">
      <w:r w:rsidRPr="00C16407">
        <w:t xml:space="preserve">Starting in 2002, </w:t>
      </w:r>
      <w:r w:rsidR="00B927DF" w:rsidRPr="00C16407">
        <w:t>the English Longitudinal Study of Ageing (ELSA)</w:t>
      </w:r>
      <w:r w:rsidRPr="00C16407">
        <w:t xml:space="preserve"> used a multistage, clustered, stratified sampling strategy to draw </w:t>
      </w:r>
      <w:r w:rsidR="00B927DF" w:rsidRPr="00C16407">
        <w:t>a</w:t>
      </w:r>
      <w:r w:rsidRPr="00C16407">
        <w:t xml:space="preserve"> sample </w:t>
      </w:r>
      <w:r w:rsidR="00A11A2D" w:rsidRPr="00C16407">
        <w:t>with individuals aged</w:t>
      </w:r>
      <w:r w:rsidR="00154F54" w:rsidRPr="00C16407">
        <w:t xml:space="preserve"> at least</w:t>
      </w:r>
      <w:r w:rsidR="00A11A2D" w:rsidRPr="00C16407">
        <w:t xml:space="preserve"> 50 </w:t>
      </w:r>
      <w:r w:rsidR="00020305" w:rsidRPr="00C16407">
        <w:t xml:space="preserve">years </w:t>
      </w:r>
      <w:r w:rsidR="00A11A2D" w:rsidRPr="00C16407">
        <w:t>and living in</w:t>
      </w:r>
      <w:r w:rsidR="00042174" w:rsidRPr="00C16407">
        <w:t xml:space="preserve"> private households in England. The participants </w:t>
      </w:r>
      <w:r w:rsidR="00A11A2D" w:rsidRPr="00C16407">
        <w:t>were followed and re</w:t>
      </w:r>
      <w:r w:rsidR="0040107F" w:rsidRPr="00C16407">
        <w:t>-</w:t>
      </w:r>
      <w:r w:rsidR="00A11A2D" w:rsidRPr="00C16407">
        <w:t>interviewed every second year</w:t>
      </w:r>
      <w:r w:rsidR="00042174" w:rsidRPr="00C16407">
        <w:t xml:space="preserve"> </w:t>
      </w:r>
      <w:r w:rsidR="00154F54" w:rsidRPr="00BE1AC5">
        <w:rPr>
          <w:sz w:val="24"/>
          <w:szCs w:val="24"/>
        </w:rPr>
        <w:fldChar w:fldCharType="begin"/>
      </w:r>
      <w:r w:rsidR="00AF7B1F">
        <w:rPr>
          <w:sz w:val="24"/>
          <w:szCs w:val="24"/>
        </w:rPr>
        <w:instrText xml:space="preserve"> ADDIN ZOTERO_ITEM CSL_CITATION {"citationID":"2na65gt442","properties":{"formattedCitation":"(Banks, Breeze, Lessof, &amp; Nazroo, 2006)","plainCitation":"(Banks, Breeze, Lessof, &amp; Nazroo, 2006)"},"citationItems":[{"id":7862,"uris":["http://zotero.org/groups/169898/items/D5K4UNGP"],"uri":["http://zotero.org/groups/169898/items/D5K4UNGP"],"itemData":{"id":7862,"type":"book","title":"Retirement, health and relationships of the older population in England: the 2004 English Longitudinal Study of Ageing","publisher":"The Institute for Fiscal Studies","publisher-place":"London","event-place":"London","note":"00000","editor":[{"family":"Banks","given":"James"},{"family":"Breeze","given":"Elizabeth"},{"family":"Lessof","given":"Carli"},{"family":"Nazroo","given":"James"}],"issued":{"date-parts":[["2006"]]}}}],"schema":"https://github.com/citation-style-language/schema/raw/master/csl-citation.json"} </w:instrText>
      </w:r>
      <w:r w:rsidR="00154F54" w:rsidRPr="00BE1AC5">
        <w:rPr>
          <w:sz w:val="24"/>
          <w:szCs w:val="24"/>
        </w:rPr>
        <w:fldChar w:fldCharType="separate"/>
      </w:r>
      <w:r w:rsidR="00AE3EE1" w:rsidRPr="004A523D">
        <w:rPr>
          <w:rFonts w:ascii="Calibri" w:hAnsi="Calibri"/>
        </w:rPr>
        <w:t>(Banks, Breeze, Lessof, &amp; Nazroo, 2006)</w:t>
      </w:r>
      <w:r w:rsidR="00154F54" w:rsidRPr="00BE1AC5">
        <w:rPr>
          <w:sz w:val="24"/>
          <w:szCs w:val="24"/>
        </w:rPr>
        <w:fldChar w:fldCharType="end"/>
      </w:r>
      <w:r w:rsidR="00A11A2D" w:rsidRPr="00C16407">
        <w:t xml:space="preserve">. </w:t>
      </w:r>
      <w:r w:rsidR="00042174" w:rsidRPr="00C16407">
        <w:t>Data were collected within a face-to-face interview using CAPI (computer-assisted personal interview) and a self-completion questionnaire. In addition, there was a nurse visit every second wave starting in 2004 to measure physical functioning</w:t>
      </w:r>
      <w:r w:rsidR="008335E9" w:rsidRPr="00C16407">
        <w:t xml:space="preserve"> </w:t>
      </w:r>
      <w:r w:rsidR="008335E9" w:rsidRPr="00C16407">
        <w:lastRenderedPageBreak/>
        <w:t>(e.g., hand-grip strength and chair rise speed)</w:t>
      </w:r>
      <w:r w:rsidR="00042174" w:rsidRPr="00C16407">
        <w:t xml:space="preserve"> and to take blood samples as well as</w:t>
      </w:r>
      <w:r w:rsidR="00020305" w:rsidRPr="00C16407">
        <w:t xml:space="preserve"> collecting</w:t>
      </w:r>
      <w:r w:rsidR="00042174" w:rsidRPr="00C16407">
        <w:t xml:space="preserve"> anthropometric measurements</w:t>
      </w:r>
      <w:r w:rsidR="00020305" w:rsidRPr="00C16407">
        <w:t xml:space="preserve"> (e.g. height, weight)</w:t>
      </w:r>
      <w:r w:rsidR="00042174" w:rsidRPr="00C16407">
        <w:t>.</w:t>
      </w:r>
    </w:p>
    <w:p w14:paraId="3D24C123" w14:textId="77777777" w:rsidR="00706D8B" w:rsidRPr="00C16407" w:rsidRDefault="00706D8B"/>
    <w:p w14:paraId="2793AE6F" w14:textId="418938BC" w:rsidR="008335E9" w:rsidRPr="00BE1AC5" w:rsidRDefault="00154F54">
      <w:pPr>
        <w:rPr>
          <w:sz w:val="24"/>
          <w:szCs w:val="24"/>
        </w:rPr>
      </w:pPr>
      <w:r w:rsidRPr="00C16407">
        <w:t xml:space="preserve">For the purpose of our study, we </w:t>
      </w:r>
      <w:r w:rsidR="00EB5EE2" w:rsidRPr="00C16407">
        <w:t>restrict</w:t>
      </w:r>
      <w:r w:rsidR="00042174" w:rsidRPr="00C16407">
        <w:t xml:space="preserve"> the data to</w:t>
      </w:r>
      <w:r w:rsidRPr="00C16407">
        <w:t xml:space="preserve"> people aged between 60 and 85 years, who participated in the </w:t>
      </w:r>
      <w:r w:rsidR="007941E0" w:rsidRPr="00C16407">
        <w:t>nurse interview</w:t>
      </w:r>
      <w:r w:rsidRPr="00C16407">
        <w:t xml:space="preserve"> in </w:t>
      </w:r>
      <w:r w:rsidR="00B927DF" w:rsidRPr="00C16407">
        <w:t xml:space="preserve">the second wave (i.e. </w:t>
      </w:r>
      <w:r w:rsidRPr="00C16407">
        <w:t>2004</w:t>
      </w:r>
      <w:r w:rsidR="00B927DF" w:rsidRPr="00C16407">
        <w:t>)</w:t>
      </w:r>
      <w:r w:rsidRPr="00C16407">
        <w:t xml:space="preserve"> and whos</w:t>
      </w:r>
      <w:r w:rsidR="00042174" w:rsidRPr="00C16407">
        <w:t>e</w:t>
      </w:r>
      <w:r w:rsidRPr="00C16407">
        <w:t xml:space="preserve"> living status</w:t>
      </w:r>
      <w:r w:rsidR="00782554">
        <w:t xml:space="preserve"> </w:t>
      </w:r>
      <w:r w:rsidR="00C06015" w:rsidRPr="00C16407">
        <w:t>(</w:t>
      </w:r>
      <w:r w:rsidR="00C06015">
        <w:t>i.e.</w:t>
      </w:r>
      <w:r w:rsidR="00C06015" w:rsidRPr="00C16407">
        <w:t xml:space="preserve"> deceased or alive</w:t>
      </w:r>
      <w:r w:rsidR="00C06015">
        <w:t>)</w:t>
      </w:r>
      <w:r w:rsidRPr="00C16407">
        <w:t xml:space="preserve"> </w:t>
      </w:r>
      <w:r w:rsidR="00042174" w:rsidRPr="00C16407">
        <w:t>was tracked</w:t>
      </w:r>
      <w:r w:rsidRPr="00C16407">
        <w:t xml:space="preserve"> until February 1, 2012.</w:t>
      </w:r>
      <w:r w:rsidR="00042174" w:rsidRPr="00C16407">
        <w:t xml:space="preserve"> </w:t>
      </w:r>
      <w:r w:rsidR="00B927DF" w:rsidRPr="00C16407">
        <w:t>Only</w:t>
      </w:r>
      <w:r w:rsidR="00042174" w:rsidRPr="00C16407">
        <w:t xml:space="preserve"> non-institutionalized older adults with complete data on individual education</w:t>
      </w:r>
      <w:r w:rsidR="00922F00" w:rsidRPr="00C16407">
        <w:t xml:space="preserve"> and</w:t>
      </w:r>
      <w:r w:rsidR="00042174" w:rsidRPr="00C16407">
        <w:t xml:space="preserve"> survival information in 2012</w:t>
      </w:r>
      <w:r w:rsidR="00352B3D" w:rsidRPr="00C16407">
        <w:t xml:space="preserve"> are </w:t>
      </w:r>
      <w:r w:rsidR="00C06015">
        <w:t>included in</w:t>
      </w:r>
      <w:r w:rsidR="00352B3D" w:rsidRPr="00C16407">
        <w:t xml:space="preserve"> our study</w:t>
      </w:r>
      <w:r w:rsidR="00042174" w:rsidRPr="00C16407">
        <w:t>.</w:t>
      </w:r>
      <w:r w:rsidR="00B927DF" w:rsidRPr="00C16407">
        <w:t xml:space="preserve"> </w:t>
      </w:r>
      <w:r w:rsidR="008D367E">
        <w:t xml:space="preserve">The resulting </w:t>
      </w:r>
      <w:r w:rsidR="00922F00" w:rsidRPr="00C16407">
        <w:t xml:space="preserve">sample </w:t>
      </w:r>
      <w:r w:rsidR="008D367E">
        <w:t xml:space="preserve">was comprised </w:t>
      </w:r>
      <w:r w:rsidR="00922F00" w:rsidRPr="00C16407">
        <w:t xml:space="preserve">of </w:t>
      </w:r>
      <w:r w:rsidR="007C75A4" w:rsidRPr="00C16407">
        <w:t>4</w:t>
      </w:r>
      <w:r w:rsidR="00922F00" w:rsidRPr="00C16407">
        <w:t>,</w:t>
      </w:r>
      <w:r w:rsidR="007C75A4" w:rsidRPr="00C16407">
        <w:t>520</w:t>
      </w:r>
      <w:r w:rsidR="00922F00" w:rsidRPr="00C16407">
        <w:t xml:space="preserve"> </w:t>
      </w:r>
      <w:r w:rsidR="00352B3D" w:rsidRPr="00C16407">
        <w:t>older adults (</w:t>
      </w:r>
      <w:r w:rsidR="007C75A4" w:rsidRPr="00C16407">
        <w:t>2,143</w:t>
      </w:r>
      <w:r w:rsidR="00352B3D" w:rsidRPr="00C16407">
        <w:t xml:space="preserve"> men and </w:t>
      </w:r>
      <w:r w:rsidR="00922F00" w:rsidRPr="00C16407">
        <w:t>2,</w:t>
      </w:r>
      <w:r w:rsidR="007C75A4" w:rsidRPr="00C16407">
        <w:t>377</w:t>
      </w:r>
      <w:r w:rsidR="00352B3D" w:rsidRPr="00C16407">
        <w:t xml:space="preserve"> women) with an average age of </w:t>
      </w:r>
      <w:r w:rsidR="008A3266" w:rsidRPr="00C16407">
        <w:t>70.</w:t>
      </w:r>
      <w:r w:rsidR="007C75A4" w:rsidRPr="00C16407">
        <w:t xml:space="preserve">2 </w:t>
      </w:r>
      <w:r w:rsidR="001E0832" w:rsidRPr="00C16407">
        <w:t xml:space="preserve">(see </w:t>
      </w:r>
      <w:r w:rsidR="00940F01" w:rsidRPr="00BE6888">
        <w:fldChar w:fldCharType="begin"/>
      </w:r>
      <w:r w:rsidR="00940F01" w:rsidRPr="00BE6888">
        <w:instrText xml:space="preserve"> REF _Ref426460077 \h  \* MERGEFORMAT </w:instrText>
      </w:r>
      <w:r w:rsidR="00940F01" w:rsidRPr="00BE6888">
        <w:fldChar w:fldCharType="separate"/>
      </w:r>
      <w:r w:rsidR="00940F01" w:rsidRPr="00BE6888">
        <w:t xml:space="preserve">Table </w:t>
      </w:r>
      <w:r w:rsidR="00940F01" w:rsidRPr="00BE6888">
        <w:rPr>
          <w:noProof/>
        </w:rPr>
        <w:t>2</w:t>
      </w:r>
      <w:r w:rsidR="00940F01" w:rsidRPr="00BE6888">
        <w:fldChar w:fldCharType="end"/>
      </w:r>
      <w:r w:rsidR="00940F01" w:rsidRPr="00BE6888">
        <w:t xml:space="preserve"> </w:t>
      </w:r>
      <w:r w:rsidR="001E0832" w:rsidRPr="00BE6888">
        <w:t>for descriptive details</w:t>
      </w:r>
      <w:r w:rsidR="00020305" w:rsidRPr="00BE6888">
        <w:t xml:space="preserve"> by education and sex</w:t>
      </w:r>
      <w:r w:rsidR="001E0832" w:rsidRPr="00BE6888">
        <w:t>)</w:t>
      </w:r>
      <w:r w:rsidR="00352B3D" w:rsidRPr="00BE6888">
        <w:t>.</w:t>
      </w:r>
      <w:r w:rsidR="009A2893">
        <w:t xml:space="preserve"> The measures chair rise, grip strength, and anthropometric measures (e.g. height and weight) include missing values (chair rise: 18.5%, grip strength 1.7%, height 4.5%, weight 3.7%) due to nonresponse or refusal to participate, which are excluded from the analysis wherever necessary. </w:t>
      </w:r>
    </w:p>
    <w:p w14:paraId="154083DD" w14:textId="77777777" w:rsidR="008D367E" w:rsidRPr="00BE6888" w:rsidRDefault="008D367E"/>
    <w:p w14:paraId="32EB8866" w14:textId="0BB8D076" w:rsidR="007464B8" w:rsidRPr="00BE1AC5" w:rsidRDefault="007464B8">
      <w:pPr>
        <w:rPr>
          <w:sz w:val="24"/>
          <w:szCs w:val="24"/>
        </w:rPr>
      </w:pPr>
      <w:r w:rsidRPr="00BE6888">
        <w:t>Mean hand-grip strengths by education for people 60-85 years old are shown in Figure 1. Comparable data for chair rise speed are shown in Figure 2.</w:t>
      </w:r>
    </w:p>
    <w:p w14:paraId="714AE1A3" w14:textId="01677A92" w:rsidR="006C42BB" w:rsidRPr="007F5BE1" w:rsidRDefault="00AA1BDB" w:rsidP="004A523D">
      <w:pPr>
        <w:pStyle w:val="Heading2"/>
      </w:pPr>
      <w:r>
        <w:t>Computing Characteristic Schedules</w:t>
      </w:r>
    </w:p>
    <w:p w14:paraId="5554D88A" w14:textId="403D7B0B" w:rsidR="00A4651E" w:rsidRDefault="00FC58D8" w:rsidP="004A523D">
      <w:r w:rsidRPr="00C16407">
        <w:t xml:space="preserve">We </w:t>
      </w:r>
      <w:r w:rsidR="00AA1BDB" w:rsidRPr="00C16407">
        <w:t>computed characteristic schedules</w:t>
      </w:r>
      <w:r w:rsidR="008674FB" w:rsidRPr="00C16407">
        <w:t xml:space="preserve"> </w:t>
      </w:r>
      <w:r w:rsidR="00535858">
        <w:t>for</w:t>
      </w:r>
      <w:r w:rsidR="00535858" w:rsidRPr="00C16407">
        <w:t xml:space="preserve"> </w:t>
      </w:r>
      <w:r w:rsidR="00AA1BDB" w:rsidRPr="00C16407">
        <w:t>hand-grip strength and chair rise speed</w:t>
      </w:r>
      <w:r w:rsidRPr="00C16407">
        <w:t xml:space="preserve"> separately for men and women </w:t>
      </w:r>
      <w:r w:rsidR="00AA1BDB">
        <w:t>using</w:t>
      </w:r>
      <w:r w:rsidR="00AA1BDB" w:rsidRPr="00C16407">
        <w:t xml:space="preserve"> </w:t>
      </w:r>
      <w:r w:rsidR="006C42BB" w:rsidRPr="00C16407">
        <w:t>truncated regression models</w:t>
      </w:r>
      <w:r w:rsidRPr="00C16407">
        <w:t xml:space="preserve"> </w:t>
      </w:r>
      <w:r w:rsidRPr="003750ED">
        <w:fldChar w:fldCharType="begin"/>
      </w:r>
      <w:r w:rsidR="00AF7B1F">
        <w:instrText xml:space="preserve"> ADDIN ZOTERO_ITEM CSL_CITATION {"citationID":"28id0d90lt","properties":{"formattedCitation":"(Amemiya, 1973)","plainCitation":"(Amemiya, 1973)"},"citationItems":[{"id":7632,"uris":["http://zotero.org/groups/169898/items/2HJ9P6I4"],"uri":["http://zotero.org/groups/169898/items/2HJ9P6I4"],"itemData":{"id":7632,"type":"article-journal","title":"Regression analysis when the dependent variable is truncated normal","container-title":"Econometrica","page":"997-1016","volume":"41","issue":"6","source":"JSTOR","abstract":"The paper deals with a measure theoretic model of a pure exchange economy. There are two kinds of traders: \"big\" traders, represented by atoms of the measure space, and \"small\" traders, represented by the atomless part of the measure space. The restriction of an allocation to the atomless sector is called competitive if there exists a price vector such that the consumption of every \"small\" trader is a maximal element (in terms of his preference) in the budget set defined by that price vector and by his initial endowment. We consider the set of allocations that are not blocked by any atomless coalition, or by the complement of any atomless coalition, and call it the &lt;tex-math&gt;$\\scr{I}^{2}\\text{-core}$&lt;/tex-math&gt;. The main results of the paper consist in defining sufficient conditions under which allocations in the &lt;tex-math&gt;$\\scr{I}^{2}\\text{-core}$&lt;/tex-math&gt; have a competitive restriction to the atomless sector, and vice versa. The economic implications and significance of the results are briefly discussed.","URL":"http://www.jstor.org/stable/1914031","DOI":"10.2307/1914031","ISSN":"0012-9682","note":"01139","journalAbbreviation":"Econometrica","author":[{"family":"Amemiya","given":"Takeshi"}],"issued":{"date-parts":[["1973",11,1]]},"accessed":{"date-parts":[["2015",8,19]]}}}],"schema":"https://github.com/citation-style-language/schema/raw/master/csl-citation.json"} </w:instrText>
      </w:r>
      <w:r w:rsidRPr="003750ED">
        <w:fldChar w:fldCharType="separate"/>
      </w:r>
      <w:r w:rsidR="00AE3EE1" w:rsidRPr="004A523D">
        <w:rPr>
          <w:rFonts w:ascii="Calibri" w:hAnsi="Calibri"/>
        </w:rPr>
        <w:t>(Amemiya, 1973)</w:t>
      </w:r>
      <w:r w:rsidRPr="003750ED">
        <w:fldChar w:fldCharType="end"/>
      </w:r>
      <w:r w:rsidRPr="00C16407">
        <w:t xml:space="preserve">. </w:t>
      </w:r>
      <w:r w:rsidR="00575CC3" w:rsidRPr="00C16407">
        <w:t xml:space="preserve">We </w:t>
      </w:r>
      <w:r w:rsidR="00AA1BDB">
        <w:t>treated</w:t>
      </w:r>
      <w:r w:rsidR="00AA1BDB" w:rsidRPr="00C16407">
        <w:t xml:space="preserve"> </w:t>
      </w:r>
      <w:r w:rsidR="00575CC3" w:rsidRPr="00C16407">
        <w:t>observations in the physical performance tests below the 1st percentile as outliers and coded them as missing</w:t>
      </w:r>
      <w:r w:rsidR="00AA1BDB">
        <w:t xml:space="preserve">. </w:t>
      </w:r>
      <w:r w:rsidR="00445BC4">
        <w:lastRenderedPageBreak/>
        <w:t>T</w:t>
      </w:r>
      <w:r w:rsidR="00575CC3" w:rsidRPr="00C16407">
        <w:t xml:space="preserve">he </w:t>
      </w:r>
      <w:r w:rsidR="00445BC4">
        <w:t xml:space="preserve">resulting </w:t>
      </w:r>
      <w:r w:rsidR="00575CC3" w:rsidRPr="00C16407">
        <w:t xml:space="preserve">truncation points </w:t>
      </w:r>
      <w:r w:rsidR="00445BC4">
        <w:t>were</w:t>
      </w:r>
      <w:r w:rsidR="00575CC3" w:rsidRPr="00C16407">
        <w:t xml:space="preserve"> 8kg for hand grip strength and 11 rises/min for chair rise.</w:t>
      </w:r>
      <w:r w:rsidR="003D0D14">
        <w:t xml:space="preserve"> Table</w:t>
      </w:r>
      <w:r w:rsidR="005A2E8D">
        <w:t>s</w:t>
      </w:r>
      <w:r w:rsidR="003D0D14">
        <w:t xml:space="preserve"> 3</w:t>
      </w:r>
      <w:r w:rsidR="005A2E8D">
        <w:t xml:space="preserve"> through 6</w:t>
      </w:r>
      <w:r w:rsidR="003D0D14">
        <w:t xml:space="preserve"> report the results of the truncated regressions</w:t>
      </w:r>
      <w:r w:rsidR="00094CBE">
        <w:t xml:space="preserve">. We tested for nonlinearity of the characteristic schedules in age by adding age-squared terms, but those terms were always statistically insignificant and insignificant </w:t>
      </w:r>
      <w:r w:rsidR="002E75F2">
        <w:t xml:space="preserve">in </w:t>
      </w:r>
      <w:r w:rsidR="00094CBE">
        <w:t>magnitude.</w:t>
      </w:r>
      <w:r w:rsidR="008B3DF6">
        <w:t xml:space="preserve"> We also tested alternative specifications in which separate truncated regressions were run for each education group. The coefficients of age were essentially the same when the education subgroups were run separately </w:t>
      </w:r>
      <w:r w:rsidR="00B00D4D">
        <w:t xml:space="preserve">as </w:t>
      </w:r>
      <w:r w:rsidR="008B3DF6">
        <w:t>they are in the regressions below.</w:t>
      </w:r>
      <w:r w:rsidR="00602A35">
        <w:t xml:space="preserve"> Intercept terms adjusted for subgroup differences in height, weight and level of education were also almost identical.</w:t>
      </w:r>
      <w:r w:rsidR="00027B30">
        <w:t xml:space="preserve"> We tried including height in the regressions for chair rise speed, but it was never statistically significant.</w:t>
      </w:r>
    </w:p>
    <w:p w14:paraId="69CE360E" w14:textId="0C6E2F96" w:rsidR="00445BC4" w:rsidRPr="00C16407" w:rsidRDefault="00445BC4" w:rsidP="004A523D">
      <w:pPr>
        <w:pStyle w:val="Heading2"/>
      </w:pPr>
      <w:r w:rsidRPr="00C16407">
        <w:t>Computing Alpha-Ages</w:t>
      </w:r>
    </w:p>
    <w:p w14:paraId="52F9BFBE" w14:textId="23BAFE38" w:rsidR="00F77670" w:rsidRDefault="00CF5348">
      <w:pPr>
        <w:autoSpaceDE w:val="0"/>
        <w:autoSpaceDN w:val="0"/>
        <w:adjustRightInd w:val="0"/>
      </w:pPr>
      <w:r>
        <w:t>For each characteristic, hand-grip strength and chair rise speed, w</w:t>
      </w:r>
      <w:r w:rsidR="009E16F6">
        <w:t>e obtained four characteristic schedules</w:t>
      </w:r>
      <w:r>
        <w:t>, two for gender and two for level of education</w:t>
      </w:r>
      <w:r w:rsidR="009E16F6">
        <w:t xml:space="preserve">. </w:t>
      </w:r>
      <w:r w:rsidR="00C50F80">
        <w:t xml:space="preserve">They are all linear in age. </w:t>
      </w:r>
      <w:r w:rsidR="0018450E">
        <w:t>The computation of alpha-ages requires two characteristic schedules</w:t>
      </w:r>
      <w:r w:rsidR="009E69EA">
        <w:t xml:space="preserve">, the index schedule </w:t>
      </w:r>
      <w:r w:rsidR="009E69EA">
        <w:rPr>
          <w:i/>
        </w:rPr>
        <w:t>r</w:t>
      </w:r>
      <w:r w:rsidR="009E69EA">
        <w:t xml:space="preserve"> and the standard schedule </w:t>
      </w:r>
      <w:r w:rsidR="009E69EA">
        <w:rPr>
          <w:i/>
        </w:rPr>
        <w:t>s</w:t>
      </w:r>
      <w:r w:rsidR="009E69EA">
        <w:t xml:space="preserve">. </w:t>
      </w:r>
      <w:r w:rsidR="004B3744">
        <w:t xml:space="preserve">Here we have chosen the index schedule to refer to people with more education and the reference </w:t>
      </w:r>
      <w:r w:rsidR="00B00D4D">
        <w:t xml:space="preserve">standard </w:t>
      </w:r>
      <w:r w:rsidR="004B3744">
        <w:t xml:space="preserve">schedule to refer to people with less education. </w:t>
      </w:r>
      <w:r w:rsidR="009E69EA">
        <w:t>So for each characteristic, we can compute two alpha-ages,</w:t>
      </w:r>
      <w:r w:rsidR="009E69EA" w:rsidRPr="009E69EA">
        <w:t xml:space="preserve"> </w:t>
      </w:r>
      <w:r w:rsidR="009E69EA">
        <w:t>one for each gender. These alpha-ages show the effects of education</w:t>
      </w:r>
      <w:r w:rsidR="00BB440C">
        <w:t>al differences</w:t>
      </w:r>
      <w:r w:rsidR="009E69EA">
        <w:t>.</w:t>
      </w:r>
      <w:r w:rsidR="00BB440C">
        <w:t xml:space="preserve">  </w:t>
      </w:r>
    </w:p>
    <w:p w14:paraId="69C5BB5B" w14:textId="77777777" w:rsidR="00BB440C" w:rsidRDefault="00BB440C">
      <w:pPr>
        <w:autoSpaceDE w:val="0"/>
        <w:autoSpaceDN w:val="0"/>
        <w:adjustRightInd w:val="0"/>
      </w:pPr>
    </w:p>
    <w:p w14:paraId="61B18BBE" w14:textId="31D344BC" w:rsidR="00BB440C" w:rsidRDefault="00BB440C">
      <w:pPr>
        <w:autoSpaceDE w:val="0"/>
        <w:autoSpaceDN w:val="0"/>
        <w:adjustRightInd w:val="0"/>
      </w:pPr>
      <w:r>
        <w:lastRenderedPageBreak/>
        <w:t xml:space="preserve">For example, let us consider the computation of the alpha-age </w:t>
      </w:r>
      <w:r w:rsidR="005B616A">
        <w:t xml:space="preserve">for women for the characteristic hand-grip strength. </w:t>
      </w:r>
      <w:r w:rsidR="00D747C1">
        <w:t xml:space="preserve">The computation of alpha-ages begins with </w:t>
      </w:r>
      <w:r w:rsidR="002E334C">
        <w:t xml:space="preserve">the selection of a chronological age in the characteristic schedule </w:t>
      </w:r>
      <w:r w:rsidR="002E334C">
        <w:rPr>
          <w:i/>
        </w:rPr>
        <w:t>r</w:t>
      </w:r>
      <w:r w:rsidR="002E334C">
        <w:t xml:space="preserve"> and determining the associated level of the characteristic. </w:t>
      </w:r>
      <w:r w:rsidR="00B00D4D">
        <w:t>F</w:t>
      </w:r>
      <w:r w:rsidR="004B3744">
        <w:t>rom Table 5, we can see that the</w:t>
      </w:r>
      <w:r w:rsidR="00A10A19">
        <w:t xml:space="preserve"> average</w:t>
      </w:r>
      <w:r w:rsidR="004B3744">
        <w:t xml:space="preserve"> hand-grip strength of wom</w:t>
      </w:r>
      <w:r w:rsidR="00A10A19">
        <w:t>e</w:t>
      </w:r>
      <w:r w:rsidR="004B3744">
        <w:t xml:space="preserve">n of age </w:t>
      </w:r>
      <w:r w:rsidR="004B3744">
        <w:rPr>
          <w:i/>
        </w:rPr>
        <w:t>a</w:t>
      </w:r>
      <w:r w:rsidR="004B3744">
        <w:t xml:space="preserve"> with more education</w:t>
      </w:r>
      <w:r w:rsidR="00F7315D">
        <w:t xml:space="preserve">, </w:t>
      </w:r>
      <w:r w:rsidR="00F7315D" w:rsidRPr="00C16407">
        <w:rPr>
          <w:position w:val="-14"/>
        </w:rPr>
        <w:object w:dxaOrig="620" w:dyaOrig="380" w14:anchorId="450F93DD">
          <v:shape id="_x0000_i1027" type="#_x0000_t75" style="width:31.55pt;height:18.75pt" o:ole="">
            <v:imagedata r:id="rId11" o:title=""/>
          </v:shape>
          <o:OLEObject Type="Embed" ProgID="Equation.3" ShapeID="_x0000_i1027" DrawAspect="Content" ObjectID="_1528894893" r:id="rId12"/>
        </w:object>
      </w:r>
      <w:r w:rsidR="00F7315D">
        <w:t>,</w:t>
      </w:r>
      <w:r w:rsidR="004B3744">
        <w:t xml:space="preserve"> can be expressed as: </w:t>
      </w:r>
    </w:p>
    <w:p w14:paraId="55F5528F" w14:textId="44113D9E" w:rsidR="00F7315D" w:rsidRDefault="00A73BB6">
      <w:pPr>
        <w:autoSpaceDE w:val="0"/>
        <w:autoSpaceDN w:val="0"/>
        <w:adjustRightInd w:val="0"/>
      </w:pPr>
      <w:r w:rsidRPr="00C16407">
        <w:rPr>
          <w:position w:val="-14"/>
        </w:rPr>
        <w:object w:dxaOrig="5760" w:dyaOrig="380" w14:anchorId="59C70C1E">
          <v:shape id="_x0000_i1028" type="#_x0000_t75" style="width:4in;height:18.75pt" o:ole="">
            <v:imagedata r:id="rId13" o:title=""/>
          </v:shape>
          <o:OLEObject Type="Embed" ProgID="Equation.3" ShapeID="_x0000_i1028" DrawAspect="Content" ObjectID="_1528894894" r:id="rId14"/>
        </w:object>
      </w:r>
      <w:r w:rsidR="00A10A19">
        <w:t>,</w:t>
      </w:r>
      <w:r>
        <w:tab/>
      </w:r>
      <w:r>
        <w:tab/>
      </w:r>
      <w:r>
        <w:tab/>
      </w:r>
      <w:r>
        <w:tab/>
        <w:t>(3)</w:t>
      </w:r>
    </w:p>
    <w:p w14:paraId="202B9E83" w14:textId="3023EFBC" w:rsidR="004B3744" w:rsidRPr="003750ED" w:rsidRDefault="00A10A19">
      <w:pPr>
        <w:autoSpaceDE w:val="0"/>
        <w:autoSpaceDN w:val="0"/>
        <w:adjustRightInd w:val="0"/>
      </w:pPr>
      <w:r>
        <w:t xml:space="preserve">where weight and height are </w:t>
      </w:r>
      <w:r w:rsidR="004D4BEC">
        <w:t xml:space="preserve">the average values for women of age </w:t>
      </w:r>
      <w:r w:rsidR="004D4BEC">
        <w:rPr>
          <w:i/>
        </w:rPr>
        <w:t>a</w:t>
      </w:r>
      <w:r w:rsidR="004D4BEC">
        <w:t xml:space="preserve">, and 1.16 is the coefficient of the dummy variable indicating that this is the characteristic schedule for more educated women. </w:t>
      </w:r>
      <w:r w:rsidR="004B3744">
        <w:t xml:space="preserve">Alpha-ages are constant characteristic ages. </w:t>
      </w:r>
      <w:r w:rsidR="004D4BEC">
        <w:t xml:space="preserve">They are determined as the age in the </w:t>
      </w:r>
      <w:r w:rsidR="00172C1E">
        <w:t xml:space="preserve">standard schedule where the level of the characteristic is the same as the level at a particular age in the index schedule. </w:t>
      </w:r>
      <w:r w:rsidR="00172C1E" w:rsidRPr="00B00D4D">
        <w:t xml:space="preserve">Substituting </w:t>
      </w:r>
      <w:r w:rsidR="00172C1E" w:rsidRPr="003750ED">
        <w:rPr>
          <w:rFonts w:hint="eastAsia"/>
          <w:i/>
        </w:rPr>
        <w:t>α</w:t>
      </w:r>
      <w:r w:rsidR="00172C1E" w:rsidRPr="003750ED">
        <w:t xml:space="preserve"> for </w:t>
      </w:r>
      <w:r w:rsidR="00172C1E" w:rsidRPr="003750ED">
        <w:rPr>
          <w:i/>
        </w:rPr>
        <w:t>a</w:t>
      </w:r>
      <w:r w:rsidR="00172C1E" w:rsidRPr="003750ED">
        <w:t xml:space="preserve"> in the characteristic schedule for the less educated women, we obtain:</w:t>
      </w:r>
    </w:p>
    <w:p w14:paraId="6E3C2E44" w14:textId="5D3244C8" w:rsidR="00172C1E" w:rsidRDefault="00B00D4D">
      <w:pPr>
        <w:autoSpaceDE w:val="0"/>
        <w:autoSpaceDN w:val="0"/>
        <w:adjustRightInd w:val="0"/>
      </w:pPr>
      <w:r w:rsidRPr="004159B6">
        <w:rPr>
          <w:position w:val="-14"/>
        </w:rPr>
        <w:object w:dxaOrig="5080" w:dyaOrig="380" w14:anchorId="2C45EE1B">
          <v:shape id="_x0000_i1029" type="#_x0000_t75" style="width:254.45pt;height:18.75pt" o:ole="">
            <v:imagedata r:id="rId15" o:title=""/>
          </v:shape>
          <o:OLEObject Type="Embed" ProgID="Equation.3" ShapeID="_x0000_i1029" DrawAspect="Content" ObjectID="_1528894895" r:id="rId16"/>
        </w:object>
      </w:r>
      <w:r w:rsidR="00A73BB6">
        <w:t>.</w:t>
      </w:r>
      <w:r w:rsidR="00A73BB6">
        <w:tab/>
      </w:r>
      <w:r w:rsidR="00A73BB6">
        <w:tab/>
      </w:r>
      <w:r w:rsidR="00A73BB6">
        <w:tab/>
      </w:r>
      <w:r w:rsidR="00A73BB6">
        <w:tab/>
      </w:r>
      <w:r w:rsidR="00A73BB6">
        <w:tab/>
        <w:t>(4)</w:t>
      </w:r>
    </w:p>
    <w:p w14:paraId="6C859B2C" w14:textId="7E56FFED" w:rsidR="00A73BB6" w:rsidRDefault="00A73BB6">
      <w:pPr>
        <w:autoSpaceDE w:val="0"/>
        <w:autoSpaceDN w:val="0"/>
        <w:adjustRightInd w:val="0"/>
      </w:pPr>
      <w:r>
        <w:t>Equating the levels of the characteristic yields the equation:</w:t>
      </w:r>
    </w:p>
    <w:p w14:paraId="26FCEA96" w14:textId="3DFD64E6" w:rsidR="00A73BB6" w:rsidRDefault="00F23682">
      <w:pPr>
        <w:autoSpaceDE w:val="0"/>
        <w:autoSpaceDN w:val="0"/>
        <w:adjustRightInd w:val="0"/>
      </w:pPr>
      <w:r w:rsidRPr="00C16407">
        <w:rPr>
          <w:position w:val="-28"/>
        </w:rPr>
        <w:object w:dxaOrig="4920" w:dyaOrig="680" w14:anchorId="45BB8712">
          <v:shape id="_x0000_i1030" type="#_x0000_t75" style="width:245.6pt;height:33.55pt" o:ole="">
            <v:imagedata r:id="rId17" o:title=""/>
          </v:shape>
          <o:OLEObject Type="Embed" ProgID="Equation.3" ShapeID="_x0000_i1030" DrawAspect="Content" ObjectID="_1528894896" r:id="rId18"/>
        </w:object>
      </w:r>
      <w:r w:rsidR="00A177B0">
        <w:t xml:space="preserve"> </w:t>
      </w:r>
      <w:r>
        <w:tab/>
      </w:r>
      <w:r>
        <w:tab/>
      </w:r>
      <w:r>
        <w:tab/>
      </w:r>
      <w:r>
        <w:tab/>
      </w:r>
      <w:r>
        <w:tab/>
      </w:r>
      <w:r>
        <w:tab/>
        <w:t>(5)</w:t>
      </w:r>
    </w:p>
    <w:p w14:paraId="3D14A4DF" w14:textId="7E6BC8A2" w:rsidR="00F23682" w:rsidRDefault="00F23682">
      <w:pPr>
        <w:autoSpaceDE w:val="0"/>
        <w:autoSpaceDN w:val="0"/>
        <w:adjustRightInd w:val="0"/>
      </w:pPr>
      <w:r>
        <w:t>Holding weight and height constant, this simplifies to:</w:t>
      </w:r>
    </w:p>
    <w:p w14:paraId="24EF4625" w14:textId="40D77EDA" w:rsidR="00A177B0" w:rsidRDefault="00F23682">
      <w:pPr>
        <w:autoSpaceDE w:val="0"/>
        <w:autoSpaceDN w:val="0"/>
        <w:adjustRightInd w:val="0"/>
      </w:pPr>
      <w:r w:rsidRPr="00C16407">
        <w:rPr>
          <w:position w:val="-24"/>
        </w:rPr>
        <w:object w:dxaOrig="2400" w:dyaOrig="620" w14:anchorId="651811EB">
          <v:shape id="_x0000_i1031" type="#_x0000_t75" style="width:120.35pt;height:31.55pt" o:ole="">
            <v:imagedata r:id="rId19" o:title=""/>
          </v:shape>
          <o:OLEObject Type="Embed" ProgID="Equation.3" ShapeID="_x0000_i1031" DrawAspect="Content" ObjectID="_1528894897" r:id="rId20"/>
        </w:object>
      </w:r>
      <w:r>
        <w:t>.</w:t>
      </w:r>
      <w:r>
        <w:tab/>
      </w:r>
      <w:r>
        <w:tab/>
      </w:r>
      <w:r>
        <w:tab/>
      </w:r>
      <w:r>
        <w:tab/>
      </w:r>
      <w:r>
        <w:tab/>
      </w:r>
      <w:r>
        <w:tab/>
      </w:r>
      <w:r>
        <w:tab/>
      </w:r>
      <w:r>
        <w:tab/>
      </w:r>
      <w:r>
        <w:tab/>
        <w:t>(6)</w:t>
      </w:r>
    </w:p>
    <w:p w14:paraId="55A26985" w14:textId="6DAAFB3F" w:rsidR="00F23682" w:rsidRDefault="00F23682">
      <w:pPr>
        <w:autoSpaceDE w:val="0"/>
        <w:autoSpaceDN w:val="0"/>
        <w:adjustRightInd w:val="0"/>
      </w:pPr>
      <w:r>
        <w:t>Therefore, in the specifications we have used for the characteristic schedules</w:t>
      </w:r>
      <w:r w:rsidR="00E6745D">
        <w:t xml:space="preserve">, the difference between the alpha-age and the chronological age is constant. In this example, more educated </w:t>
      </w:r>
      <w:r w:rsidR="00E6745D">
        <w:lastRenderedPageBreak/>
        <w:t xml:space="preserve">women have the same </w:t>
      </w:r>
      <w:r w:rsidR="00621FB9">
        <w:t xml:space="preserve">average </w:t>
      </w:r>
      <w:r w:rsidR="00E6745D">
        <w:t xml:space="preserve">hand-grip strength as less educated women who were 4 years younger.  </w:t>
      </w:r>
    </w:p>
    <w:p w14:paraId="5986B8CC" w14:textId="77777777" w:rsidR="00545E49" w:rsidRDefault="00545E49">
      <w:pPr>
        <w:autoSpaceDE w:val="0"/>
        <w:autoSpaceDN w:val="0"/>
        <w:adjustRightInd w:val="0"/>
      </w:pPr>
    </w:p>
    <w:p w14:paraId="206C630C" w14:textId="06620F62" w:rsidR="00545E49" w:rsidRDefault="00545E49">
      <w:pPr>
        <w:autoSpaceDE w:val="0"/>
        <w:autoSpaceDN w:val="0"/>
        <w:adjustRightInd w:val="0"/>
      </w:pPr>
      <w:r>
        <w:t>The differences between alpha-ages and chronological ages</w:t>
      </w:r>
      <w:r w:rsidR="00BB3DC8">
        <w:t>, using the characteristic schedules of less educated people as standards are presented in Table 7.</w:t>
      </w:r>
    </w:p>
    <w:p w14:paraId="73C3504B" w14:textId="77777777" w:rsidR="008F7AFF" w:rsidRDefault="008F7AFF">
      <w:pPr>
        <w:autoSpaceDE w:val="0"/>
        <w:autoSpaceDN w:val="0"/>
        <w:adjustRightInd w:val="0"/>
      </w:pPr>
    </w:p>
    <w:p w14:paraId="554977C2" w14:textId="53FFD1D0" w:rsidR="00EA6698" w:rsidRDefault="00A51564">
      <w:pPr>
        <w:autoSpaceDE w:val="0"/>
        <w:autoSpaceDN w:val="0"/>
        <w:adjustRightInd w:val="0"/>
      </w:pPr>
      <w:r>
        <w:t>As described above, h</w:t>
      </w:r>
      <w:r w:rsidR="00317293">
        <w:t>and-grip strength is measured in kilograms and chair rise speed is measured in the number of chair rises per minute. In Table 7, differences in those measures across educational subgroups are translated into a common metric, year</w:t>
      </w:r>
      <w:r w:rsidR="00EA6698">
        <w:t>s</w:t>
      </w:r>
      <w:r w:rsidR="00317293">
        <w:t xml:space="preserve"> of age. We see, for example, that more educated women have average hand-grip strength of less educated women who are 4.0 years younger than they are and that they have chair rise speeds that are the same as women 3.2 years younger. </w:t>
      </w:r>
      <w:r w:rsidR="002B6231">
        <w:t xml:space="preserve">Differences across educational subgroups in alpha-ages based on hand-grip strength have been also studied using US data </w:t>
      </w:r>
      <w:r w:rsidR="002B6231">
        <w:fldChar w:fldCharType="begin"/>
      </w:r>
      <w:r w:rsidR="00AF7B1F">
        <w:instrText xml:space="preserve"> ADDIN ZOTERO_ITEM CSL_CITATION {"citationID":"hhivfei5r","properties":{"formattedCitation":"(Sanderson &amp; Scherbov, 2014)","plainCitation":"(Sanderson &amp; Scherbov, 2014)"},"citationItems":[{"id":8167,"uris":["http://zotero.org/groups/169898/items/VTPE86HR"],"uri":["http://zotero.org/groups/169898/items/VTPE86HR"],"itemData":{"id":8167,"type":"article-journal","title":"Measuring the speed of aging across population subgroups","container-title":"PLoS ONE","page":"e96289","volume":"9","issue":"5","source":"PLoS Journals","abstract":"People in different subgroups age at different rates. Surveys containing biomarkers can be used to assess these subgroup differences. We illustrate this using hand-grip strength to produce an easily interpretable, physical-based measure that allows us to compare characteristic-based ages across educational subgroups in the United States. Hand-grip strength has been shown to be a good predictor of future mortality and morbidity, and therefore a useful indicator of population aging. Data from the Health and Retirement Survey (HRS) were used. Two education subgroups were distinguished, those with less than a high school diploma and those with more education. Regressions on hand-grip strength were run for each sex and race using age and education, their interactions and other covariates as independent variables. Ages of identical mean hand-grip strength across education groups were compared for people in the age range 60 to 80. The hand-grip strength of 65 year old white males with less education was the equivalent to that of 69.6 (68.2, 70.9) year old white men with more education, indicating that the more educated men had aged more slowly. This is a constant characteristic age, as defined in the Sanderson and Scherbov article “The characteristics approach to the measurement of population aging” published 2013 in Population and Development Review. Sixty-five year old white females with less education had the same average hand-grip strength as 69.4 (68.2, 70.7) year old white women with more education. African-American women at ages 60 and 65 with more education also aged more slowly than their less educated counterparts. African American men with more education aged at about the same rate as those with less education. This paper expands the toolkit of those interested in population aging by showing how survey data can be used to measure the differential extent of aging across subpopulations.","URL":"http://dx.doi.org/10.1371/journal.pone.0096289","DOI":"10.1371/journal.pone.0096289","ISSN":"1932-6203","journalAbbreviation":"PLoS ONE","language":"English","author":[{"family":"Sanderson","given":"Warren C."},{"family":"Scherbov","given":"Sergei"}],"issued":{"date-parts":[["2014",5,7]]},"accessed":{"date-parts":[["2014",5,8]]}}}],"schema":"https://github.com/citation-style-language/schema/raw/master/csl-citation.json"} </w:instrText>
      </w:r>
      <w:r w:rsidR="002B6231">
        <w:fldChar w:fldCharType="separate"/>
      </w:r>
      <w:r w:rsidR="00AE3EE1" w:rsidRPr="004A523D">
        <w:rPr>
          <w:rFonts w:ascii="Calibri" w:hAnsi="Calibri"/>
        </w:rPr>
        <w:t>(Sanderson &amp; Scherbov, 2014)</w:t>
      </w:r>
      <w:r w:rsidR="002B6231">
        <w:fldChar w:fldCharType="end"/>
      </w:r>
      <w:r w:rsidR="002B6231">
        <w:t>, where it was also found that hand-grips strengths of more educated women were stronger than those for less educated women, holding age constant.</w:t>
      </w:r>
    </w:p>
    <w:p w14:paraId="0864D2B4" w14:textId="2306064A" w:rsidR="00EA6698" w:rsidRDefault="00F33E21" w:rsidP="004A523D">
      <w:pPr>
        <w:pStyle w:val="Heading1"/>
      </w:pPr>
      <w:r>
        <w:t>Hand-grip strength, Chair Rise Speed and Subsequent Survival</w:t>
      </w:r>
    </w:p>
    <w:p w14:paraId="0F8379A6" w14:textId="1ADB9FD9" w:rsidR="007F1274" w:rsidRDefault="00F33E21" w:rsidP="00C16407">
      <w:r>
        <w:t xml:space="preserve">In the last section, we showed how two characteristics that are measured </w:t>
      </w:r>
      <w:r w:rsidR="00D7600D">
        <w:t xml:space="preserve">in different units can be expressed in a common metric. In this section, we investigate whether having multiple measures of subgroup differences in aging has an advantage in forecasting subsequent </w:t>
      </w:r>
      <w:r w:rsidR="00750494">
        <w:t xml:space="preserve">subgroup </w:t>
      </w:r>
      <w:r w:rsidR="00750494">
        <w:lastRenderedPageBreak/>
        <w:t>differences in survival</w:t>
      </w:r>
      <w:r w:rsidR="00D7600D">
        <w:t xml:space="preserve">. </w:t>
      </w:r>
      <w:r w:rsidR="00B36BE4">
        <w:t>It is well-known that hand-grip strength, controlling for age and other covariates, is a predictor of subsequent mortality</w:t>
      </w:r>
      <w:r w:rsidR="00D62A5C">
        <w:t xml:space="preserve"> </w:t>
      </w:r>
      <w:r w:rsidR="00D62A5C">
        <w:fldChar w:fldCharType="begin"/>
      </w:r>
      <w:r w:rsidR="00AF7B1F">
        <w:instrText xml:space="preserve"> ADDIN ZOTERO_ITEM CSL_CITATION {"citationID":"2qmkhlel7g","properties":{"formattedCitation":"(Al Snih, Markides, Ray, Ostir, &amp; Goodwin, 2002; Cooper et al., 2014; Innes, 1999; Koopman, van Bodegom, van Heemst, &amp; Westendorp, 2015; Ling et al., 2010; Rantanen et al., 2003)","plainCitation":"(Al Snih, Markides, Ray, Ostir, &amp; Goodwin, 2002; Cooper et al., 2014; Innes, 1999; Koopman, van Bodegom, van Heemst, &amp; Westendorp, 2015; Ling et al., 2010; Rantanen et al., 2003)"},"citationItems":[{"id":8162,"uris":["http://zotero.org/groups/169898/items/VPBCERJ2"],"uri":["http://zotero.org/groups/169898/items/VPBCERJ2"],"itemData":{"id":8162,"type":"article-journal","title":"Handgrip strength and mortality in older Mexican Americans","container-title":"Journal of the American Geriatrics Society","page":"1250–1256","volume":"50","issue":"7","source":"Wiley Online Library","abstract":"OBJECTIVES: To examine the association between handgrip strength and mortality in older Mexican American men and women.DESIGN: A 5-year prospective cohort study.SETTING: Five southwestern states: Texas, New Mexico, Colorado, Arizona, and California.PARTICIPANTS: A population-based sample of 2,488 noninstitutionalized Mexican-American men and women aged 65 and older.MEASUREMENTS: Maximal handgrip strength, timed walk, and body mass index were assessed at baseline during 1993/94. Self-reports of functional disability, various medical conditions, and status at follow-up were obtained.RESULTS: Of the baseline sample with complete data, 507 persons were confirmed deceased 5 years later. Average handgrip strength ± standard deviation was significantly higher in men (28.4 kg ± 9.5) than in women (18.2 kg ± 6.5). Of men who had a handgrip strength less than 22.01 kg and women who had a handgrip strength less than 14 kg, 38.2% and 41.5%, respectively, were dead 5 years later. In men in the lowest handgrip strength quartile, the hazard ratio of death was 2.10 (95% confidence interval (CI) = 1.31–3.38) compared with those in the highest handgrip strength quartile, after controlling for sociodemographic variables, functional disability, timed walk, medical conditions, body mass index, and smoking status at baseline. In women in the lowest handgrip strength quartile, the hazard ratio of death was 1.76 (95% CI = 1.05–2.93) compared with those in the highest handgrip strength quartile. Poorer performance in the timed walk and the presence of diabetes mellitus, hypertension, and cancer were also significant predictors of mortality 5 years later.CONCLUSION: Handgrip strength is a strong predictor of mortality in older Mexican Americans, after controlling for relevant risk factors.","URL":"http://onlinelibrary.wiley.com/doi/10.1046/j.1532-5415.2002.50312.x/abstract","DOI":"10.1046/j.1532-5415.2002.50312.x","ISSN":"1532-5415","language":"en","author":[{"family":"Al Snih","given":"Soham"},{"family":"Markides","given":"Kyriakos S."},{"family":"Ray","given":"Laura"},{"family":"Ostir","given":"Glenn V."},{"family":"Goodwin","given":"James S."}],"issued":{"date-parts":[["2002"]]},"accessed":{"date-parts":[["2013",5,22]]}}},{"id":7886,"uris":["http://zotero.org/groups/169898/items/EBUQ97QH"],"uri":["http://zotero.org/groups/169898/items/EBUQ97QH"],"itemData":{"id":7886,"type":"article-journal","title":"Physical capability in mid-life and survival over 13 years of follow-up: British birth cohort study","container-title":"British Medical Journal","page":"g2219","volume":"348","abstract":"Objectives To examine associations between three commonly used objective measures of physical capability assessed at age 53 and a composite score of these measures and all cause mortality; to investigate whether being unable to perform these tests is associated with mortality. Design Cohort study. Setting MRC National Survey of Health and Development in England, Scotland, and Wales. Participants 1355 men and 1411 women with data on physical capability at age 53 who were linked to the National Health Service (NHS) central register for death notification. Main outcome measure All cause mortality between ages 53 (1999) and 66 (2012). Results For each of the three measures of physical capability (grip strength, chair rise speed, and standing balance time) those participants unable to perform the test and those in the lowest performing fifth were found to have higher mortality rates than those in the highest fifth. Adjustment for baseline covariates partially attenuated associations but in fully adjusted models the main associations remained. For example, the fully adjusted hazard ratio of all cause mortality for the lowest compared with the highest fifth of a composite score of physical capability was 3.68 (95% confidence interval 2.03 to 6.68). Those people who could not perform any of the tests had considerably higher rates of death compared with those people able to perform all three tests (8.40, 4.35 to 16.23). When a series of models including different combinations of the measures were compared by using likelihood ratio tests, all three measures of physical capability were found to improve model fit, and a model including all three measures produced the highest estimate of predictive ability (Harrell's C index 0.71, 95% confidence interval 0.65 to 0.77). There was some evidence that standing balance time was more strongly associated with mortality than the other two measures. Conclusions Lower levels of physical capability at age 53 and inability to perform capability tests are associated with higher rates of mortality. Even at this relatively young age these measures identify groups of people who are less likely than others to achieve a long and healthy life.","DOI":"10.1136/bmj.g2219","ISSN":"1756-1833","note":"00021 \nWOS:000335475500002","journalAbbreviation":"BMJ","author":[{"family":"Cooper","given":"Rachel"},{"family":"Strand","given":"Bjorn Heine"},{"family":"Hardy","given":"Rebecca"},{"family":"Patel","given":"Kushang V."},{"family":"Kuh","given":"Diana"}],"issued":{"date-parts":[["2014",4,29]]}}},{"id":7978,"uris":["http://zotero.org/groups/169898/items/JESJST9E"],"uri":["http://zotero.org/groups/169898/items/JESJST9E"],"itemData":{"id":7978,"type":"article-journal","title":"Handgrip strength testing: A review of the literature","container-title":"Australian Occupational Therapy Journal","page":"120–140","volume":"46","issue":"3","source":"Wiley Online Library","abstract":"Testing grip strength is a popular assessment used by occupational therapists in a range of clinical settings. It is fast, easy to perform, reliable and produces a result which is simple to record. Results of grip strength testing have been used to determine a baseline measure of performance against which change can be compared, as well as comparison of results to normative data. This article reviews the literature associated with the measurement of grip strength. It addresses the purposes of grip strength measurement; the instruments used and their reliability and accuracy; the testing position and protocol suggested for use and aspects of these which may influence results; the use of normative data and factors which influence grip strength, including age, gender and occupation; and various methods to determine level or sincerity of effort. Recommendations are made regarding these issues to enable clinicians to conduct grip strength assessments and interpret the results with confidence.","URL":"http://onlinelibrary.wiley.com/doi/10.1046/j.1440-1630.1999.00182.x/abstract","DOI":"10.1046/j.1440-1630.1999.00182.x","ISSN":"1440-1630","shortTitle":"Handgrip strength testing","language":"en","author":[{"family":"Innes","given":"Ev"}],"issued":{"date-parts":[["1999"]]},"accessed":{"date-parts":[["2013",6,7]]}}},{"id":7893,"uris":["http://zotero.org/groups/169898/items/EMN23IAQ"],"uri":["http://zotero.org/groups/169898/items/EMN23IAQ"],"itemData":{"id":7893,"type":"article-journal","title":"Handgrip strength, ageing and mortality in rural Africa","container-title":"Age and Ageing","page":"465-470","volume":"44","issue":"3","abstract":"Background: muscle strength measured as handgrip strength declines with increasing age and predicts mortality. While handgrip strength is determined by lifestyle through nutrition and physical activity, it has almost exclusively been studied in western populations with a sedentary lifestyle. This study aims to investigate the relation between handgrip strength, ageing and mortality in a population characterised by a predominance of malnutrition and manual labour. Design: a population-based longitudinal study. Setting: a traditional African rural population in Ghana. Subjects: nine hundred and twenty-three community-dwelling individuals aged 50 and older. Methods: demographic characteristics were registered. At baseline, height, body mass index (BMI) and handgrip strength were measured and compared with those in a western reference population. Survival of the participants was documented during a period of up to 2 years. Results: handgrip strength was dependent on age, sex, height and BMI. Compared with the western reference population, handgrip strength was lower due to a lower height and BMI but declined over age similarly. Risk of mortality was lower in participants having higher handgrip strength, with a hazard ratio of 0.94 per kg increase (P = 0.002). After adjustment for age, sex, tribe, socio-economic status, drinking water source, height and BMI, only handgrip strength remained predictive of mortality. Conclusion: in a traditional rural African population characterised by malnutrition and manual labour, handgrip strength declines over age and independently predicts mortality similar to western populations. Handgrip strength can be used as a universal marker of ageing.","DOI":"10.1093/ageing/afu165","ISSN":"0002-0729","note":"00005 \nWOS:000355623100021","author":[{"family":"Koopman","given":"Jacob J. E."},{"family":"Bodegom","given":"David","non-dropping-particle":"van"},{"family":"Heemst","given":"Diana","non-dropping-particle":"van"},{"family":"Westendorp","given":"Rudi G. J."}],"issued":{"date-parts":[["2015",5]]}}},{"id":8184,"uris":["http://zotero.org/groups/169898/items/WPDBTBC7"],"uri":["http://zotero.org/groups/169898/items/WPDBTBC7"],"itemData":{"id":8184,"type":"article-journal","title":"Handgrip strength and mortality in the oldest old population: the Leiden 85-plus study","container-title":"Canadian Medical Association Journal","page":"429-435","volume":"182","issue":"5","source":"www.cmaj.ca","abstract":"Background: Poor muscular strength has been shown to be associated with increased morbidity and mortality in diverse samples of middle-aged and elderly people. However, the oldest old population (i.e., over 85 years) is underrepresented in such studies. Our objective was to assess the association between muscular strength and mortality in the oldest old population.\nMethods: We included 555 participants (65% women) from the Leiden 85-plus study, a prospective population-based study of all 85-year-old inhabitants of Leiden, Netherlands. We measured the handgrip strength of participants at baseline and again at age 89 years. We collected baseline data on comorbidities, functional status, levels of physical activity, and adjusted for potential confounders. During the follow-up period, we collected data on mortality.\nResults: During a follow-up period of 9.5 years (range 8.5–10.5 years), 444 (80%) participants died. Risk for all-cause mortality was elevated among participants in the lowest tertile of handgrip strength at age 85 years (hazard ratio [HR] 1.35, 95% confidence interval [CI] 1.00–1.82, p = 0.047) and the lowest two tertiles of handgrip strength at age 89 years (HR 2.04, CI 1.24–3.35, p = 0.005 and HR 1.73, CI 1.11–2.70, p = 0.016). We also observed significantly increased mortality among participants in the tertile with the highest relative loss of handgrip strength over four years (HR 1.72, CI 1.07–2.77, p = 0.026).\nInterpretation: Handgrip strength, a surrogate measurement of overall muscular strength, is a predictor of all-cause mortality in the oldest old population and may serve as a convenient tool for prognostication of mortality risk among elderly people.","URL":"http://www.cmaj.ca/content/182/5/429","DOI":"10.1503/cmaj.091278","ISSN":"0820-3946, 1488-2329","note":"PMID: 20142372","shortTitle":"Handgrip strength and mortality in the oldest old population","journalAbbreviation":"CMAJ","language":"en","author":[{"family":"Ling","given":"Carolina H. Y."},{"family":"Taekema","given":"Diana"},{"family":"Craen","given":"Anton J. M.","dropping-particle":"de"},{"family":"Gussekloo","given":"Jacobijn"},{"family":"Westendorp","given":"Rudi G. J."},{"family":"Maier","given":"Andrea B."}],"issued":{"date-parts":[["2010",3,23]]},"accessed":{"date-parts":[["2013",6,7]]},"PMID":"20142372"}},{"id":8141,"uris":["http://zotero.org/groups/169898/items/UDKBMXZ8"],"uri":["http://zotero.org/groups/169898/items/UDKBMXZ8"],"itemData":{"id":8141,"type":"article-journal","title":"Handgrip Strength and Cause-Specific and Total Mortality in Older Disabled Women: Exploring the Mechanism","container-title":"Journal of the American Geriatrics Society","page":"636–641","volume":"51","issue":"5","source":"Wiley Online Library","abstract":"OBJECTIVES: To examine the association between muscle strength and total and cause-specific mortality and the plausible contributing factors to this association, such as presence of diseases commonly underlying mortality, inflammation, nutritional deficiency, physical inactivity, smoking, and depression.DESIGN: Prospective population-based cohort study with mortality surveillance over 5 years.SETTING: Elderly women residing in the eastern half of Baltimore, Maryland, and part of Baltimore County.PARTICIPANTS: Nine hundred nineteen moderately to severely disabled women aged 65 to 101 who participated in handgrip strength testing at baseline as part of the Women's Health and Aging Study.MEASUREMENTS: Cardiovascular disease (CVD), cancer, respiratory disease, other measures (not CVD, respiratory, or cancer), total mortality, handgrip strength, and interleukin-6.RESULTS: Over the 5-year follow-up, 336 deaths occurred: 149 due to CVD, 59 due to cancer, 38 due to respiratory disease, and 90 due to other diseases. The unadjusted relative risk (RR) of CVD mortality was 3.21 (95% confidence interval (CI) = 2.00–5.14) in the lowest and 1.88 (95% CI = 1.11–3.21) in the middle compared with the highest tertile of handgrip strength. The unadjusted RR of respiratory mortality was 2.38 (95% CI = 1.09–5.20) and other mortality 2.59 (95% CI = 1.59–4.20) in the lowest versus the highest grip-strength tertile. Cancer mortality was not associated with grip strength. After adjusting for age, race, body height, and weight, the RR of CVD mortality decreased to 2.17 (95% CI = 1.26–3.73) in the lowest and 1.56 (95% CI = 0.89–2.71) in the middle, with the highest grip-strength tertile as the reference. Further adjustments for multiple diseases, physical inactivity, smoking, interleukin-6, C-reactive protein, serum albumin, unintentional weight loss, and depressive symptoms did not materially change the risk estimates. Similar results were observed for all-cause mortality.CONCLUSION: In older disabled women, handgrip strength was a powerful predictor of cause-specific and total mortality. Presence of chronic diseases commonly underlying death or the mechanisms behind decline in muscle strength in chronic disease, such as inflammation, poor nutritional status, disuse, and depression, all of which are independent predictors of mortality, did not explain the association. Handgrip strength, an indicator of overall muscle strength, may predict mortality through mechanisms other than those leading from disease to muscle impairment. Grip strength tests may help identify patients at increased risk of deterioration of health.","URL":"http://onlinelibrary.wiley.com/doi/10.1034/j.1600-0579.2003.00207.x/abstract","DOI":"10.1034/j.1600-0579.2003.00207.x","ISSN":"1532-5415","shortTitle":"Handgrip Strength and Cause-Specific and Total Mortality in Older Disabled Women","language":"en","author":[{"family":"Rantanen","given":"Taina"},{"family":"Volpato","given":"Stefano"},{"family":"Luigi Ferrucci","given":"Md"},{"family":"Eino Heikkinen","given":"Md"},{"family":"Fried","given":"Linda P."},{"family":"Guralnik","given":"Jack M."}],"issued":{"date-parts":[["2003"]]},"accessed":{"date-parts":[["2013",6,11]]}}}],"schema":"https://github.com/citation-style-language/schema/raw/master/csl-citation.json"} </w:instrText>
      </w:r>
      <w:r w:rsidR="00D62A5C">
        <w:fldChar w:fldCharType="separate"/>
      </w:r>
      <w:r w:rsidR="00D62A5C" w:rsidRPr="00AF7B1F">
        <w:rPr>
          <w:rFonts w:ascii="Calibri" w:hAnsi="Calibri"/>
        </w:rPr>
        <w:t>(Al Snih, Markides, Ray, Ostir, &amp; Goodwin, 2002; Cooper et al., 2014; Innes, 1999; Koopman, van Bodegom, van Heemst, &amp; Westendorp, 2015; Ling et al., 2010; Rantanen et al., 2003)</w:t>
      </w:r>
      <w:r w:rsidR="00D62A5C">
        <w:fldChar w:fldCharType="end"/>
      </w:r>
      <w:r w:rsidR="00B36BE4">
        <w:t>. The relationship between chair rise speed and subsequent mortality has been less frequently studied, but the literature is consistent in finding that various measures of lower body strength are also predictors of subsequent mortality</w:t>
      </w:r>
      <w:r w:rsidR="007F7302">
        <w:t xml:space="preserve"> </w:t>
      </w:r>
      <w:r w:rsidR="007F7302">
        <w:fldChar w:fldCharType="begin"/>
      </w:r>
      <w:r w:rsidR="00AF7B1F">
        <w:instrText xml:space="preserve"> ADDIN ZOTERO_ITEM CSL_CITATION {"citationID":"FA880CnW","properties":{"formattedCitation":"(Cooper et al., 2014; Graham et al., 2009; Ostir, Kuo, Berges, Markides, &amp; Ottenbacher, 2007; Studenski, Perera, Patel, &amp; al, 2011)","plainCitation":"(Cooper et al., 2014; Graham et al., 2009; Ostir, Kuo, Berges, Markides, &amp; Ottenbacher, 2007; Studenski, Perera, Patel, &amp; al, 2011)"},"citationItems":[{"id":7886,"uris":["http://zotero.org/groups/169898/items/EBUQ97QH"],"uri":["http://zotero.org/groups/169898/items/EBUQ97QH"],"itemData":{"id":7886,"type":"article-journal","title":"Physical capability in mid-life and survival over 13 years of follow-up: British birth cohort study","container-title":"British Medical Journal","page":"g2219","volume":"348","abstract":"Objectives To examine associations between three commonly used objective measures of physical capability assessed at age 53 and a composite score of these measures and all cause mortality; to investigate whether being unable to perform these tests is associated with mortality. Design Cohort study. Setting MRC National Survey of Health and Development in England, Scotland, and Wales. Participants 1355 men and 1411 women with data on physical capability at age 53 who were linked to the National Health Service (NHS) central register for death notification. Main outcome measure All cause mortality between ages 53 (1999) and 66 (2012). Results For each of the three measures of physical capability (grip strength, chair rise speed, and standing balance time) those participants unable to perform the test and those in the lowest performing fifth were found to have higher mortality rates than those in the highest fifth. Adjustment for baseline covariates partially attenuated associations but in fully adjusted models the main associations remained. For example, the fully adjusted hazard ratio of all cause mortality for the lowest compared with the highest fifth of a composite score of physical capability was 3.68 (95% confidence interval 2.03 to 6.68). Those people who could not perform any of the tests had considerably higher rates of death compared with those people able to perform all three tests (8.40, 4.35 to 16.23). When a series of models including different combinations of the measures were compared by using likelihood ratio tests, all three measures of physical capability were found to improve model fit, and a model including all three measures produced the highest estimate of predictive ability (Harrell's C index 0.71, 95% confidence interval 0.65 to 0.77). There was some evidence that standing balance time was more strongly associated with mortality than the other two measures. Conclusions Lower levels of physical capability at age 53 and inability to perform capability tests are associated with higher rates of mortality. Even at this relatively young age these measures identify groups of people who are less likely than others to achieve a long and healthy life.","DOI":"10.1136/bmj.g2219","ISSN":"1756-1833","note":"00021 \nWOS:000335475500002","journalAbbreviation":"BMJ","author":[{"family":"Cooper","given":"Rachel"},{"family":"Strand","given":"Bjorn Heine"},{"family":"Hardy","given":"Rebecca"},{"family":"Patel","given":"Kushang V."},{"family":"Kuh","given":"Diana"}],"issued":{"date-parts":[["2014",4,29]]}}},{"id":1905,"uris":["http://zotero.org/users/15376/items/3TWUZUDT"],"uri":["http://zotero.org/users/15376/items/3TWUZUDT"],"itemData":{"id":1905,"type":"article-journal","title":"Frailty and 10-year mortality in community-living Mexican American older adults","container-title":"Gerontology","page":"644-651","volume":"55","issue":"6","note":"00072","author":[{"family":"Graham","given":"James E."},{"family":"Snih","</w:instrText>
      </w:r>
      <w:r w:rsidR="00AF7B1F" w:rsidRPr="00AF7B1F">
        <w:rPr>
          <w:lang w:val="de-DE"/>
          <w:rPrChange w:id="1" w:author="ANDRUCHOWITZ Stefanie" w:date="2016-04-18T08:29:00Z">
            <w:rPr/>
          </w:rPrChange>
        </w:rPr>
        <w:instrText xml:space="preserve">given":"S. A."},{"family":"Berges","given":"Ivonne M."},{"family":"Ray","given":"Laura A."},{"family":"Markides","given":"Kyriakos S."},{"family":"Ottenbacher","given":"Kenneth J."}],"issued":{"date-parts":[["2009"]]}}},{"id":8203,"uris":["http://zotero.org/groups/169898/items/XSXPPC97"],"uri":["http://zotero.org/groups/169898/items/XSXPPC97"],"itemData":{"id":8203,"type":"article-journal","title":"Measures of lower body function and risk of mortality over 7 years of follow-up","container-title":"American Journal of Epidemiology","page":"599-605","volume":"166","issue":"5","DOI":"10.1093/aje/kwm121","note":"00071","author":[{"family":"Ostir","given":"Glenn V."},{"family":"Kuo","given":"Yong-Fang"},{"family":"Berges","given":"Ivonne M."},{"family":"Markides","given":"Kyriakos S."},{"family":"Ottenbacher","given":"Kenneth J."}],"issued":{"date-parts":[["2007"]]}}},{"id":7839,"uris":["http://zotero.org/groups/169898/items/C525IGSS"],"uri":["http://zotero.org/groups/169898/items/C525IGSS"],"itemData":{"id":7839,"type":"article-journal","title":"Gait speed and survival in older adults","container-title":"JAMA","page":"50-58","volume":"305","issue":"1","DOI":"10.1001/jama.2010.1923","note":"00837","author":[{"family":"Studenski","given":"Stephanie"},{"family":"Perera","given":"Subashan"},{"family":"Patel","given":"Kushang"},{"family":"al","given":"et"}],"issued":{"date-parts":[["2011"]]}}}],"schema":"https://github.com/citation-style-language/schema/raw/master/csl-citation.json"} </w:instrText>
      </w:r>
      <w:r w:rsidR="007F7302">
        <w:fldChar w:fldCharType="separate"/>
      </w:r>
      <w:r w:rsidR="006A3E04" w:rsidRPr="00AF7B1F">
        <w:rPr>
          <w:rFonts w:ascii="Calibri" w:hAnsi="Calibri"/>
          <w:lang w:val="de-DE"/>
        </w:rPr>
        <w:t>(Cooper et al., 2014; Graham et al., 2009; Ostir, Kuo, Berges, Markides, &amp; Ottenbacher, 2007; Studenski, Perera, Patel, &amp; al, 2011)</w:t>
      </w:r>
      <w:r w:rsidR="007F7302">
        <w:fldChar w:fldCharType="end"/>
      </w:r>
      <w:r w:rsidR="00B36BE4" w:rsidRPr="00AF7B1F">
        <w:rPr>
          <w:lang w:val="de-DE"/>
        </w:rPr>
        <w:t xml:space="preserve">. </w:t>
      </w:r>
      <w:r w:rsidR="007F1274">
        <w:t xml:space="preserve">In this section, we show that having two consistently measured characteristics of aging are better than just having either one alone in forecasting subsequent </w:t>
      </w:r>
      <w:r w:rsidR="00750494">
        <w:t>subgroup differences in survival</w:t>
      </w:r>
      <w:r w:rsidR="007F1274">
        <w:t>.</w:t>
      </w:r>
    </w:p>
    <w:p w14:paraId="1262E49F" w14:textId="77777777" w:rsidR="007F1274" w:rsidRDefault="007F1274" w:rsidP="00C16407"/>
    <w:p w14:paraId="4208ACBE" w14:textId="2226DD4C" w:rsidR="00D62E6A" w:rsidRDefault="00F7787E" w:rsidP="00C16407">
      <w:r>
        <w:t>A</w:t>
      </w:r>
      <w:r w:rsidR="007F1274">
        <w:t xml:space="preserve">ge-specific probabilities of survival are a characteristic of people, just like their average hand-grip strength and their average chair rise speed, and so </w:t>
      </w:r>
      <w:r w:rsidR="00CA055F">
        <w:t xml:space="preserve">education differentials in alpha-ages based on survival rates can be calculated using the same methodology that we employed above. </w:t>
      </w:r>
      <w:r w:rsidR="00B71109">
        <w:t xml:space="preserve">Hand-grip strengths and chair rise speeds were measured in 2004. To test how well </w:t>
      </w:r>
      <w:r w:rsidR="00F809FB">
        <w:t xml:space="preserve">subgroup differences in those measures </w:t>
      </w:r>
      <w:r w:rsidR="00B71109" w:rsidRPr="004A523D">
        <w:t>predict</w:t>
      </w:r>
      <w:r w:rsidR="00F809FB" w:rsidRPr="004A523D">
        <w:t>ed</w:t>
      </w:r>
      <w:r w:rsidR="00B71109" w:rsidRPr="00DB6552">
        <w:t xml:space="preserve"> </w:t>
      </w:r>
      <w:r w:rsidR="00B71109">
        <w:t>subsequent</w:t>
      </w:r>
      <w:r w:rsidR="00F809FB">
        <w:t xml:space="preserve"> subgroup differences in</w:t>
      </w:r>
      <w:r w:rsidR="00B71109">
        <w:t xml:space="preserve"> survival, we computed characteristic schedules from ELSA </w:t>
      </w:r>
      <w:r w:rsidR="00F809FB">
        <w:t xml:space="preserve">based on age-specific </w:t>
      </w:r>
      <w:r w:rsidR="00B71109">
        <w:t>proportion</w:t>
      </w:r>
      <w:r w:rsidR="00F809FB">
        <w:t>s</w:t>
      </w:r>
      <w:r w:rsidR="00B71109">
        <w:t xml:space="preserve"> of people who survived </w:t>
      </w:r>
      <w:r w:rsidR="00F809FB">
        <w:t xml:space="preserve">the entire period </w:t>
      </w:r>
      <w:r w:rsidR="00B71109">
        <w:t xml:space="preserve">from 2004 to 2012.  </w:t>
      </w:r>
    </w:p>
    <w:p w14:paraId="392C0B8A" w14:textId="61D7C2B9" w:rsidR="00F33E21" w:rsidRDefault="00B71109" w:rsidP="00C16407">
      <w:r>
        <w:t xml:space="preserve"> </w:t>
      </w:r>
    </w:p>
    <w:p w14:paraId="579D7B90" w14:textId="1891C5F0" w:rsidR="00FE1525" w:rsidRDefault="00AF1759" w:rsidP="00C16407">
      <w:r>
        <w:lastRenderedPageBreak/>
        <w:t xml:space="preserve">From ELSA, we only had </w:t>
      </w:r>
      <w:r w:rsidR="00F7787E">
        <w:t xml:space="preserve">information about whether or not a person </w:t>
      </w:r>
      <w:r>
        <w:t>was</w:t>
      </w:r>
      <w:r w:rsidR="00F7787E">
        <w:t xml:space="preserve"> alive </w:t>
      </w:r>
      <w:r>
        <w:t>on</w:t>
      </w:r>
      <w:r w:rsidR="00F7787E">
        <w:t xml:space="preserve"> February</w:t>
      </w:r>
      <w:r w:rsidR="00A96A9D">
        <w:t xml:space="preserve"> 1,</w:t>
      </w:r>
      <w:r w:rsidR="00F7787E">
        <w:t xml:space="preserve"> 2012</w:t>
      </w:r>
      <w:r w:rsidR="00980E13">
        <w:t>,</w:t>
      </w:r>
      <w:r>
        <w:t xml:space="preserve"> not the person’s exact date of death</w:t>
      </w:r>
      <w:r w:rsidR="00765EAB">
        <w:t xml:space="preserve"> within the period 2004-2012</w:t>
      </w:r>
      <w:r>
        <w:t xml:space="preserve">.  Therefore, </w:t>
      </w:r>
      <w:r w:rsidR="00980E13">
        <w:t xml:space="preserve">the available data are interval-censored. </w:t>
      </w:r>
      <w:r w:rsidR="00AF5E4E">
        <w:t>Prentice and</w:t>
      </w:r>
      <w:r w:rsidR="005706B5" w:rsidRPr="005706B5">
        <w:t xml:space="preserve"> Gloeckler</w:t>
      </w:r>
      <w:r w:rsidR="00980E13">
        <w:t xml:space="preserve"> </w:t>
      </w:r>
      <w:r w:rsidR="003F03DC">
        <w:fldChar w:fldCharType="begin"/>
      </w:r>
      <w:r w:rsidR="00AF7B1F">
        <w:instrText xml:space="preserve"> ADDIN ZOTERO_ITEM CSL_CITATION {"citationID":"RTCuskEE","properties":{"formattedCitation":"(1978)","plainCitation":"(1978)"},"citationItems":[{"id":8192,"uris":["http://zotero.org/groups/169898/items/XB8HVIWE"],"uri":["http://zotero.org/groups/169898/items/XB8HVIWE"],"itemData":{"id":8192,"type":"article-journal","title":"Regression analysis of grouped survival data with application to breast cancer data","container-title":"Biometrics","page":"57-67","volume":"34","issue":"1","DOI":"10.2307/2529588","author":[{"family":"Prentice","given":"R. L."},{"family":"Gloeckler","given":"L. A."}],"issued":{"date-parts":[["1978",3]]}},"suppress-author":true}],"schema":"https://github.com/citation-style-language/schema/raw/master/csl-citation.json"} </w:instrText>
      </w:r>
      <w:r w:rsidR="003F03DC">
        <w:fldChar w:fldCharType="separate"/>
      </w:r>
      <w:r w:rsidR="005706B5" w:rsidRPr="004A523D">
        <w:rPr>
          <w:rFonts w:ascii="Calibri" w:hAnsi="Calibri"/>
        </w:rPr>
        <w:t>(1978)</w:t>
      </w:r>
      <w:r w:rsidR="003F03DC">
        <w:fldChar w:fldCharType="end"/>
      </w:r>
      <w:r w:rsidR="008568F3">
        <w:t xml:space="preserve"> showed that </w:t>
      </w:r>
      <w:r w:rsidR="00D23415">
        <w:t xml:space="preserve">if the interval-censored data were generated with a continuous-time proportional hazards model, the resulting censored data would be distributed according to complementary log-log model with binary </w:t>
      </w:r>
      <w:r w:rsidR="00DB6552">
        <w:t>outcomes.</w:t>
      </w:r>
      <w:r w:rsidR="00D23415">
        <w:t xml:space="preserve"> </w:t>
      </w:r>
      <w:r w:rsidR="00FE1525">
        <w:t>The complementary log-log specification is:</w:t>
      </w:r>
    </w:p>
    <w:p w14:paraId="65B95A36" w14:textId="756FA4AA" w:rsidR="00FE1525" w:rsidRDefault="002272EE" w:rsidP="00C16407">
      <w:r w:rsidRPr="00C16407">
        <w:rPr>
          <w:position w:val="-12"/>
        </w:rPr>
        <w:object w:dxaOrig="2720" w:dyaOrig="360" w14:anchorId="756FD78C">
          <v:shape id="_x0000_i1032" type="#_x0000_t75" style="width:135.1pt;height:18.75pt" o:ole="">
            <v:imagedata r:id="rId21" o:title=""/>
          </v:shape>
          <o:OLEObject Type="Embed" ProgID="Equation.3" ShapeID="_x0000_i1032" DrawAspect="Content" ObjectID="_1528894898" r:id="rId22"/>
        </w:object>
      </w:r>
      <w:r w:rsidR="004F63F1">
        <w:t>,</w:t>
      </w:r>
      <w:r w:rsidR="004F63F1">
        <w:tab/>
      </w:r>
      <w:r w:rsidR="004F63F1">
        <w:tab/>
      </w:r>
      <w:r w:rsidR="004F63F1">
        <w:tab/>
      </w:r>
      <w:r w:rsidR="004F63F1">
        <w:tab/>
      </w:r>
      <w:r w:rsidR="004F63F1">
        <w:tab/>
      </w:r>
      <w:r w:rsidR="004F63F1">
        <w:tab/>
      </w:r>
      <w:r w:rsidR="004F63F1">
        <w:tab/>
      </w:r>
      <w:r w:rsidR="00AF5E4E">
        <w:tab/>
      </w:r>
      <w:r w:rsidR="004F63F1">
        <w:tab/>
        <w:t>(7)</w:t>
      </w:r>
    </w:p>
    <w:p w14:paraId="7A4B89BF" w14:textId="51232704" w:rsidR="004F63F1" w:rsidRDefault="004F63F1" w:rsidP="00C16407">
      <w:r>
        <w:t xml:space="preserve">where </w:t>
      </w:r>
      <w:r w:rsidRPr="00935BBE">
        <w:rPr>
          <w:position w:val="-12"/>
        </w:rPr>
        <w:object w:dxaOrig="279" w:dyaOrig="360" w14:anchorId="35763B73">
          <v:shape id="_x0000_i1033" type="#_x0000_t75" style="width:13.8pt;height:18.75pt" o:ole="">
            <v:imagedata r:id="rId23" o:title=""/>
          </v:shape>
          <o:OLEObject Type="Embed" ProgID="Equation.3" ShapeID="_x0000_i1033" DrawAspect="Content" ObjectID="_1528894899" r:id="rId24"/>
        </w:object>
      </w:r>
      <w:r>
        <w:t xml:space="preserve"> is the probability of </w:t>
      </w:r>
      <w:r w:rsidR="00D632BC">
        <w:t xml:space="preserve">person </w:t>
      </w:r>
      <w:r w:rsidR="00D632BC">
        <w:rPr>
          <w:i/>
        </w:rPr>
        <w:t>I</w:t>
      </w:r>
      <w:r w:rsidR="00D632BC">
        <w:t xml:space="preserve"> </w:t>
      </w:r>
      <w:r>
        <w:t xml:space="preserve">dying between 2004 and 2012, </w:t>
      </w:r>
      <w:r w:rsidRPr="00935BBE">
        <w:rPr>
          <w:position w:val="-12"/>
        </w:rPr>
        <w:object w:dxaOrig="320" w:dyaOrig="360" w14:anchorId="2247D19C">
          <v:shape id="_x0000_i1034" type="#_x0000_t75" style="width:15.8pt;height:18.75pt" o:ole="">
            <v:imagedata r:id="rId25" o:title=""/>
          </v:shape>
          <o:OLEObject Type="Embed" ProgID="Equation.3" ShapeID="_x0000_i1034" DrawAspect="Content" ObjectID="_1528894900" r:id="rId26"/>
        </w:object>
      </w:r>
      <w:r>
        <w:t xml:space="preserve"> is a </w:t>
      </w:r>
      <w:r w:rsidR="00D632BC">
        <w:t>vector</w:t>
      </w:r>
      <w:r>
        <w:t xml:space="preserve"> of covariates and </w:t>
      </w:r>
      <w:r w:rsidRPr="00935BBE">
        <w:rPr>
          <w:position w:val="-10"/>
        </w:rPr>
        <w:object w:dxaOrig="240" w:dyaOrig="320" w14:anchorId="49DA42D2">
          <v:shape id="_x0000_i1035" type="#_x0000_t75" style="width:11.85pt;height:15.8pt" o:ole="">
            <v:imagedata r:id="rId27" o:title=""/>
          </v:shape>
          <o:OLEObject Type="Embed" ProgID="Equation.3" ShapeID="_x0000_i1035" DrawAspect="Content" ObjectID="_1528894901" r:id="rId28"/>
        </w:object>
      </w:r>
      <w:r>
        <w:t xml:space="preserve"> is a vector of coefficients. Alternatively, equation (7) can be rewritten as:</w:t>
      </w:r>
    </w:p>
    <w:p w14:paraId="459988AB" w14:textId="570D099D" w:rsidR="004F63F1" w:rsidRDefault="00D632BC" w:rsidP="00C16407">
      <w:r w:rsidRPr="00C16407">
        <w:rPr>
          <w:position w:val="-12"/>
        </w:rPr>
        <w:object w:dxaOrig="2500" w:dyaOrig="360" w14:anchorId="5A2E9EDB">
          <v:shape id="_x0000_i1036" type="#_x0000_t75" style="width:125.25pt;height:18.75pt" o:ole="">
            <v:imagedata r:id="rId29" o:title=""/>
          </v:shape>
          <o:OLEObject Type="Embed" ProgID="Equation.3" ShapeID="_x0000_i1036" DrawAspect="Content" ObjectID="_1528894902" r:id="rId30"/>
        </w:object>
      </w:r>
      <w:r w:rsidR="002272EE">
        <w:t>.</w:t>
      </w:r>
      <w:r w:rsidR="002272EE">
        <w:tab/>
      </w:r>
      <w:r w:rsidR="002272EE">
        <w:tab/>
      </w:r>
      <w:r w:rsidR="002272EE">
        <w:tab/>
      </w:r>
      <w:r w:rsidR="002272EE">
        <w:tab/>
      </w:r>
      <w:r w:rsidR="002272EE">
        <w:tab/>
      </w:r>
      <w:r w:rsidR="002272EE">
        <w:tab/>
      </w:r>
      <w:r w:rsidR="002272EE">
        <w:tab/>
      </w:r>
      <w:r w:rsidR="002272EE">
        <w:tab/>
      </w:r>
      <w:r w:rsidR="00AF5E4E">
        <w:tab/>
      </w:r>
      <w:r w:rsidR="002272EE">
        <w:t>(8)</w:t>
      </w:r>
    </w:p>
    <w:p w14:paraId="6BF399B5" w14:textId="652B7D94" w:rsidR="004F63F1" w:rsidRDefault="00760EE6" w:rsidP="00C16407">
      <w:r>
        <w:t xml:space="preserve">We estimated the </w:t>
      </w:r>
      <w:r w:rsidRPr="00C16407">
        <w:rPr>
          <w:position w:val="-10"/>
        </w:rPr>
        <w:object w:dxaOrig="240" w:dyaOrig="320" w14:anchorId="2570DA6C">
          <v:shape id="_x0000_i1037" type="#_x0000_t75" style="width:11.85pt;height:15.8pt" o:ole="">
            <v:imagedata r:id="rId31" o:title=""/>
          </v:shape>
          <o:OLEObject Type="Embed" ProgID="Equation.3" ShapeID="_x0000_i1037" DrawAspect="Content" ObjectID="_1528894903" r:id="rId32"/>
        </w:object>
      </w:r>
      <w:r>
        <w:t xml:space="preserve"> coefficients using maximum likelihood based on the survival observations. The results are shown in Tables 8 and 9.</w:t>
      </w:r>
    </w:p>
    <w:p w14:paraId="10D22DC3" w14:textId="77777777" w:rsidR="004A523D" w:rsidRDefault="004A523D" w:rsidP="00C16407"/>
    <w:p w14:paraId="2EDBE9A6" w14:textId="524CE0AC" w:rsidR="004F63F1" w:rsidRDefault="00AF5E4E" w:rsidP="00C16407">
      <w:r>
        <w:t>W</w:t>
      </w:r>
      <w:r w:rsidR="005109DC">
        <w:t>e tested whether there was</w:t>
      </w:r>
      <w:r w:rsidR="00331742">
        <w:t xml:space="preserve"> an age-education interaction</w:t>
      </w:r>
      <w:r w:rsidRPr="00AF5E4E">
        <w:t xml:space="preserve"> </w:t>
      </w:r>
      <w:r>
        <w:t>in the specifications for women and for men</w:t>
      </w:r>
      <w:r w:rsidR="00331742">
        <w:t>,</w:t>
      </w:r>
      <w:r w:rsidR="00765EAB">
        <w:t xml:space="preserve"> and </w:t>
      </w:r>
      <w:r>
        <w:t xml:space="preserve">found that </w:t>
      </w:r>
      <w:r w:rsidR="00765EAB">
        <w:t>it</w:t>
      </w:r>
      <w:r w:rsidR="005109DC">
        <w:t xml:space="preserve"> was</w:t>
      </w:r>
      <w:r w:rsidR="00765EAB">
        <w:t xml:space="preserve"> not</w:t>
      </w:r>
      <w:r w:rsidR="005109DC">
        <w:t xml:space="preserve"> statistically significant</w:t>
      </w:r>
      <w:r w:rsidR="00765EAB">
        <w:t>.</w:t>
      </w:r>
      <w:r w:rsidR="00870C6E">
        <w:t xml:space="preserve"> For simplicity and comparability with our results on hand-grip strength, we use a specification where the complementary log-log function is linear in age.  </w:t>
      </w:r>
    </w:p>
    <w:p w14:paraId="545BE96A" w14:textId="77777777" w:rsidR="005109DC" w:rsidRDefault="005109DC" w:rsidP="00C16407">
      <w:pPr>
        <w:rPr>
          <w:b/>
        </w:rPr>
      </w:pPr>
    </w:p>
    <w:p w14:paraId="7A3D9B46" w14:textId="3252B0B3" w:rsidR="00C80C77" w:rsidRDefault="00C80C77" w:rsidP="00C16407">
      <w:r>
        <w:lastRenderedPageBreak/>
        <w:t>The calculation of alpha-ages proceeds as above. Equating the probability of survival from 2004 to</w:t>
      </w:r>
      <w:r w:rsidR="00AF2447">
        <w:t xml:space="preserve"> </w:t>
      </w:r>
      <w:r>
        <w:t>2012 is equivalent to equating the terms on the left-hand side of equation 8. So, in equating those terms for the two education subgroups, we obtain:</w:t>
      </w:r>
    </w:p>
    <w:p w14:paraId="7B2614EB" w14:textId="77777777" w:rsidR="000A10F0" w:rsidRDefault="000A10F0" w:rsidP="00C16407">
      <w:pPr>
        <w:rPr>
          <w:b/>
        </w:rPr>
      </w:pPr>
      <w:r w:rsidRPr="00C16407">
        <w:rPr>
          <w:b/>
          <w:position w:val="-6"/>
        </w:rPr>
        <w:object w:dxaOrig="4640" w:dyaOrig="279" w14:anchorId="7A8B3D17">
          <v:shape id="_x0000_i1038" type="#_x0000_t75" style="width:231.8pt;height:13.8pt" o:ole="">
            <v:imagedata r:id="rId33" o:title=""/>
          </v:shape>
          <o:OLEObject Type="Embed" ProgID="Equation.3" ShapeID="_x0000_i1038" DrawAspect="Content" ObjectID="_1528894904" r:id="rId34"/>
        </w:object>
      </w:r>
      <w:r>
        <w:rPr>
          <w:b/>
        </w:rPr>
        <w:t>,</w:t>
      </w:r>
      <w:r w:rsidRPr="00C16407">
        <w:t xml:space="preserve"> and</w:t>
      </w:r>
    </w:p>
    <w:p w14:paraId="59E41279" w14:textId="1D5C38B2" w:rsidR="003B4A8B" w:rsidRPr="00980E13" w:rsidRDefault="000A10F0" w:rsidP="00C16407">
      <w:r w:rsidRPr="00C16407">
        <w:rPr>
          <w:b/>
          <w:position w:val="-24"/>
        </w:rPr>
        <w:object w:dxaOrig="2439" w:dyaOrig="620" w14:anchorId="5AC2E772">
          <v:shape id="_x0000_i1039" type="#_x0000_t75" style="width:122.3pt;height:31.55pt" o:ole="">
            <v:imagedata r:id="rId35" o:title=""/>
          </v:shape>
          <o:OLEObject Type="Embed" ProgID="Equation.3" ShapeID="_x0000_i1039" DrawAspect="Content" ObjectID="_1528894905" r:id="rId36"/>
        </w:object>
      </w:r>
      <w:r w:rsidR="004968CF">
        <w:rPr>
          <w:b/>
        </w:rPr>
        <w:tab/>
      </w:r>
      <w:r w:rsidR="004968CF">
        <w:rPr>
          <w:b/>
        </w:rPr>
        <w:tab/>
      </w:r>
      <w:r w:rsidR="004968CF">
        <w:rPr>
          <w:b/>
        </w:rPr>
        <w:tab/>
      </w:r>
      <w:r w:rsidR="004968CF">
        <w:rPr>
          <w:b/>
        </w:rPr>
        <w:tab/>
      </w:r>
      <w:r w:rsidR="004968CF">
        <w:rPr>
          <w:b/>
        </w:rPr>
        <w:tab/>
      </w:r>
      <w:r w:rsidR="004968CF">
        <w:rPr>
          <w:b/>
        </w:rPr>
        <w:tab/>
      </w:r>
      <w:r w:rsidR="004968CF">
        <w:rPr>
          <w:b/>
        </w:rPr>
        <w:tab/>
      </w:r>
      <w:r w:rsidR="004968CF">
        <w:rPr>
          <w:b/>
        </w:rPr>
        <w:tab/>
      </w:r>
      <w:r w:rsidR="00143F35">
        <w:rPr>
          <w:b/>
        </w:rPr>
        <w:tab/>
      </w:r>
      <w:r w:rsidR="004968CF" w:rsidRPr="004A523D">
        <w:t>(9)</w:t>
      </w:r>
    </w:p>
    <w:p w14:paraId="244E0199" w14:textId="3CA93807" w:rsidR="00CA7C90" w:rsidRDefault="00CA7C90">
      <w:pPr>
        <w:tabs>
          <w:tab w:val="left" w:pos="5747"/>
        </w:tabs>
        <w:autoSpaceDE w:val="0"/>
        <w:autoSpaceDN w:val="0"/>
        <w:adjustRightInd w:val="0"/>
      </w:pPr>
      <w:r>
        <w:t>Although hand-grip strength in 2004, chair rise speed in 2004, and the probability of surviving from 2004 to 2012 are measured in different metrics, we can translate them all into comparable alpha-ages. We do this in Table 10, where we expand Table 7 adding the education differentials</w:t>
      </w:r>
      <w:r w:rsidR="00181339" w:rsidRPr="00181339">
        <w:t xml:space="preserve"> </w:t>
      </w:r>
      <w:r w:rsidR="00181339">
        <w:t>in subsequent survival</w:t>
      </w:r>
      <w:r>
        <w:t xml:space="preserve"> measur</w:t>
      </w:r>
      <w:r w:rsidR="005B15D8">
        <w:t>ed</w:t>
      </w:r>
      <w:r>
        <w:t xml:space="preserve"> in alpha-ages.</w:t>
      </w:r>
      <w:r w:rsidR="005B15D8">
        <w:t xml:space="preserve"> In absolute value, the educational differential for women measured using hand grip strength is larger than the differential in subsequent survival</w:t>
      </w:r>
      <w:r w:rsidR="008A7393">
        <w:t>,</w:t>
      </w:r>
      <w:r w:rsidR="005B15D8">
        <w:t xml:space="preserve"> and the</w:t>
      </w:r>
      <w:r w:rsidR="001E262B">
        <w:t xml:space="preserve"> differential using chair rise speed is smaller. Those differences for men are the reverse.</w:t>
      </w:r>
    </w:p>
    <w:p w14:paraId="1C76F256" w14:textId="77777777" w:rsidR="00034D9F" w:rsidRDefault="00034D9F" w:rsidP="00C16407"/>
    <w:p w14:paraId="1A3B7BDA" w14:textId="1F9D3A2D" w:rsidR="00034D9F" w:rsidRDefault="00AD4DAF" w:rsidP="00C16407">
      <w:r>
        <w:t xml:space="preserve">Table 10 suggests that a better </w:t>
      </w:r>
      <w:r w:rsidRPr="004A523D">
        <w:t>predictor</w:t>
      </w:r>
      <w:r>
        <w:t xml:space="preserve"> of educational differences in subsequent survival could be obtained by averaging the differentials </w:t>
      </w:r>
      <w:r w:rsidR="000B2DB8">
        <w:t xml:space="preserve">measured </w:t>
      </w:r>
      <w:r>
        <w:t>for hand-grip strength and chair rise speed. For women the average of those figures is -3.6 years, exactly the result for subsequent survival. For men</w:t>
      </w:r>
      <w:r w:rsidR="00201F71">
        <w:t xml:space="preserve">, the average is 4.4 years, which is closer </w:t>
      </w:r>
      <w:r w:rsidR="00AF2447">
        <w:t xml:space="preserve">to the difference in subsequent survival </w:t>
      </w:r>
      <w:r w:rsidR="00201F71">
        <w:t>than for either of the two measurements taken separately.</w:t>
      </w:r>
    </w:p>
    <w:p w14:paraId="316E639F" w14:textId="77777777" w:rsidR="00201F71" w:rsidRDefault="00201F71" w:rsidP="00C16407"/>
    <w:p w14:paraId="3053C9AA" w14:textId="6DCD90DC" w:rsidR="00AD4DAF" w:rsidRDefault="00201F71" w:rsidP="00C16407">
      <w:r>
        <w:lastRenderedPageBreak/>
        <w:t xml:space="preserve">To investigate the advantage of combining characteristics further, we repeated Table 10 1,000 times using bootstrap samples from the data with replacement. </w:t>
      </w:r>
      <w:r w:rsidR="00AF2447">
        <w:t xml:space="preserve">Tables 11 and 12 show the </w:t>
      </w:r>
      <w:r w:rsidR="00AF2447" w:rsidRPr="00AF2447">
        <w:t xml:space="preserve">5th, 50th, and 95th percentile of alpha ages </w:t>
      </w:r>
      <w:r w:rsidR="00AF2447">
        <w:t xml:space="preserve">and the </w:t>
      </w:r>
      <w:r w:rsidR="00AF2447" w:rsidRPr="00AF2447">
        <w:t>5th, 50th, and 95th percentile of differences in alpha ages (mean physical performance – survival)</w:t>
      </w:r>
      <w:r w:rsidR="00AF2447">
        <w:t xml:space="preserve">, respectively, </w:t>
      </w:r>
      <w:r w:rsidR="00AF2447" w:rsidRPr="00AF2447">
        <w:t xml:space="preserve">by sex </w:t>
      </w:r>
      <w:r w:rsidR="000B2DB8">
        <w:t>obtained</w:t>
      </w:r>
      <w:r w:rsidR="00AF2447" w:rsidRPr="00AF2447">
        <w:t xml:space="preserve"> from 1,000 data simulations with replacement</w:t>
      </w:r>
      <w:r w:rsidR="00AF2447">
        <w:t>.</w:t>
      </w:r>
    </w:p>
    <w:p w14:paraId="47374C27" w14:textId="77777777" w:rsidR="00A5052E" w:rsidRDefault="00A5052E" w:rsidP="003750ED"/>
    <w:p w14:paraId="0AE12621" w14:textId="22594C2B" w:rsidR="00B123C6" w:rsidRDefault="008A4364" w:rsidP="00B123C6">
      <w:r>
        <w:t xml:space="preserve">The </w:t>
      </w:r>
      <w:r w:rsidR="00EF2FAD">
        <w:t xml:space="preserve">median of the </w:t>
      </w:r>
      <w:r>
        <w:t>distribution</w:t>
      </w:r>
      <w:r w:rsidR="00E22996">
        <w:t>s</w:t>
      </w:r>
      <w:r>
        <w:t xml:space="preserve"> of the educational differentials </w:t>
      </w:r>
      <w:r w:rsidR="00E22996">
        <w:t xml:space="preserve">for </w:t>
      </w:r>
      <w:r>
        <w:t xml:space="preserve">women </w:t>
      </w:r>
      <w:r w:rsidR="00EF2FAD">
        <w:t xml:space="preserve">and men </w:t>
      </w:r>
      <w:r>
        <w:t xml:space="preserve">are almost exactly the same for subsequent survival </w:t>
      </w:r>
      <w:r w:rsidR="00EF2FAD">
        <w:t xml:space="preserve">as they are </w:t>
      </w:r>
      <w:r>
        <w:t xml:space="preserve">for the average of the </w:t>
      </w:r>
      <w:r w:rsidR="00EF2FAD">
        <w:t xml:space="preserve">educational differentials using the </w:t>
      </w:r>
      <w:r>
        <w:t xml:space="preserve">two physical characteristics. </w:t>
      </w:r>
      <w:r w:rsidR="00EF2FAD">
        <w:t xml:space="preserve">The median educational differential based on the average of the characteristics </w:t>
      </w:r>
      <w:r w:rsidR="00EF2FAD" w:rsidRPr="004A523D">
        <w:t>predicts</w:t>
      </w:r>
      <w:r w:rsidR="00EF2FAD">
        <w:t xml:space="preserve"> the median educational differential in subsequent survival better than the median educational differential in either characteristic taken separately</w:t>
      </w:r>
      <w:r w:rsidR="005364FB">
        <w:t xml:space="preserve">. </w:t>
      </w:r>
      <w:r w:rsidR="00A31BDC">
        <w:t xml:space="preserve"> </w:t>
      </w:r>
    </w:p>
    <w:p w14:paraId="6274E619" w14:textId="6F0B4AD1" w:rsidR="00D21F7B" w:rsidRDefault="00D21F7B" w:rsidP="00B123C6"/>
    <w:p w14:paraId="770B0CEB" w14:textId="7525D195" w:rsidR="00034D9F" w:rsidRDefault="00D21F7B" w:rsidP="00C16407">
      <w:r>
        <w:t xml:space="preserve">In this paper, we used unweighted data. Therefore, the educational differentials presented here should not be interpreted as average differentials for all of England.  </w:t>
      </w:r>
    </w:p>
    <w:p w14:paraId="5F03504E" w14:textId="66FAFD7B" w:rsidR="00997060" w:rsidRDefault="00997060" w:rsidP="004A523D">
      <w:pPr>
        <w:pStyle w:val="Heading1"/>
      </w:pPr>
      <w:r>
        <w:t>Discussion</w:t>
      </w:r>
    </w:p>
    <w:p w14:paraId="1BEA8771" w14:textId="0D275CBE" w:rsidR="00997060" w:rsidRDefault="00F71F0C" w:rsidP="00C16407">
      <w:r>
        <w:t>Discussions of population aging have focused on a single characteristic of people, their chronological age. This is misleading because characteristics relevant for the study of population aging are different from place to place and change over time.</w:t>
      </w:r>
      <w:r w:rsidR="00ED048F">
        <w:t xml:space="preserve"> Discussions of the extent of this mismeasurement and its implications appear elsewhere </w:t>
      </w:r>
      <w:r w:rsidR="00ED048F">
        <w:fldChar w:fldCharType="begin"/>
      </w:r>
      <w:r w:rsidR="00AF7B1F">
        <w:instrText xml:space="preserve"> ADDIN ZOTERO_ITEM CSL_CITATION {"citationID":"2qommlq60m","properties":{"formattedCitation":"(Sanderson &amp; Scherbov, 2008b, 2010, 2013, 2015a, 2015b)","plainCitation":"(Sanderson &amp; Scherbov, 2008b, 2010, 2013, 2015a, 2015b)"},"citationItems":[{"id":8200,"uris":["http://zotero.org/groups/169898/items/XJSI3868"],"uri":["http://zotero.org/groups/169898/items/XJSI3868"],"itemData":{"id":8200,"type":"book","title":"Rethinking age and aging","collection-title":"Population Bulletin","publisher":"Population Reference Bureau","publisher-place":"Washington, D.C.","event-place":"Washington, D.C.","URL":"http://www.prb.org/pdf08/63.4aging.pdf","note":"00072 Population Bulletin, vol 63, no. 4","author":[{"family":"Sanderson","given":"Warren C."},{"family":"Scherbov","given":"Sergei"}],"issued":{"date-parts":[["2008",12]]}}},{"id":7725,"uris":["http://zotero.org/groups/169898/items/6RMHTNTJ"],"uri":["http://zotero.org/groups/169898/items/6RMHTNTJ"],"itemData":{"id":7725,"type":"article-journal","title":"Remeasuring aging","container-title":"Science","page":"1287-1288","volume":"329","issue":"5997","source":"www.sciencemag.org","abstract":"Population aging is an international concern, in part because of consequences of coming age-structure changes, e.g., growth in the number of elderly, decline in the number of youth, and accompanying economic and social costs (1–4). These expectations are based on conventional measures of aging that link expected phenotypes to fixed chronological ages. But as life expectancies increase and people remain healthy longer, measures based solely on fixed chronological ages can be misleading. Recently, we published aging forecasts for all countries based on new measures that account for changes in longevity (5–8). Here, we add new forecasts based on disability status. Both types of forecasts exhibit a slower pace of aging compared with the conventional ones.","URL":"http://www.sciencemag.org/content/329/5997/1287","DOI":"10.1126/science.1193647","ISSN":"0036-8075, 1095-9203","note":"00090 PMID: 20829469","journalAbbreviation":"Science","language":"en","author":[{"family":"Sanderson","given":"Warren C."},{"family":"Scherbov","given":"Sergei"}],"issued":{"date-parts":[["2010",9,10]]},"accessed":{"date-parts":[["2014",6,10]]}}},{"id":7866,"uris":["http://zotero.org/groups/169898/items/D97RI69K"],"uri":["http://zotero.org/groups/169898/items/D97RI69K"],"itemData":{"id":7866,"type":"article-journal","title":"The characteristics approach to the measurement of population aging","container-title":"Population and Development Review","page":"673-685","volume":"39","issue":"4","source":"Wiley Online Library","abstract":"Conventional measures of population aging, such as proportions over age 65, can present a misleading picture of the aging process by not taking account of changes in people's characteristics beyond their chronological age—for example, changes in remaining life expectancy, health and morbidity, disability rates, and cognitive functioning. The “characteristics approach” set out in this article encompasses multiple features of population aging, yielding new measures that can better inform both demographic analysis and public policy debate. We relate the brief history of this approach, examine its basic mathematical structure, and give empirical examples of the insights it offers, drawing on data from West Germany, Japan, Russia, and the United States.","URL":"http://onlinelibrary.wiley.com/doi/10.1111/j.1728-4457.2013.00633.x/abstract","DOI":"10.1111/j.1728-4457.2013.00633.x","ISSN":"1728-4457","note":"00001","journalAbbreviation":"Popul. Dev. Rev.","language":"en","author":[{"family":"Sanderson","given":"Warren C."},{"family":"Scherbov","given":"Sergei"}],"issued":{"date-parts":[["2013",12,1]]},"accessed":{"date-parts":[["2014",6,5]]}}},{"id":14282,"uris":["http://zotero.org/groups/169898/items/S9SI93C4"],"uri":["http://zotero.org/groups/169898/items/S9SI93C4"],"itemData":{"id":14282,"type":"article-journal","title":"Are we overly dependent on conventional dependency ratios?","container-title":"Population and Development Review","page":"687-708","volume":"41","issue":"4","source":"Wiley Online Library","abstract":"The dependency ratio and its components have had a long and productive life. Here we show that they are no longer the most accurate way of measuring important aspects of population aging. We present ratios related to employment, standardized workers and consumers, health care costs, pension costs, and who is old. These ratios are based either on new data or on new approaches to the study of population aging and are all available on the internet. We compare forecasts of those ratios with forecasts of the dependency ratio, both based on the same UN population data. In all cases, we find that the dependency ratio and the old-age dependency ratio are poor approximations to the more up-to-date ratios. There is little need to use the dependency ratio. More accurate measures are readily available.","URL":"http://onlinelibrary.wiley.com/doi/10.1111/j.1728-4457.2015.00091.x/abstract","DOI":"10.1111/j.1728-4457.2015.00091.x","ISSN":"1728-4457","note":"00000","journalAbbreviation":"Population and Development Review","language":"en","author":[{"family":"Sanderson","given":"Warren C."},{"family":"Scherbov","given":"Sergei"}],"issued":{"date-parts":[["2015",12,1]]},"accessed":{"date-parts":[["2015",12,15]]}}},{"id":8219,"uris":["http://zotero.org/groups/169898/items/ZNF687XC"],"uri":["http://zotero.org/groups/169898/items/ZNF687XC"],"itemData":{"id":8219,"type":"article-journal","title":"Faster increases in human life expectancy could lead to slower population aging","container-title":"PLoS ONE","page":"e0121922","volume":"10","issue":"4","source":"PLoS Journals","abstract":"Counterintuitively, faster increases in human life expectancy could lead to slower population aging. The conventional view that faster increases in human life expectancy would lead to faster population aging is based on the assumption that people become old at a fixed chronological age. A preferable alternative is to base measures of aging on people’s time left to death, because this is more closely related to the characteristics that are associated with old age. Using this alternative interpretation, we show that faster increases in life expectancy would lead to slower population aging. Among other things, this finding affects the assessment of the speed at which countries will age.","URL":"http://dx.doi.org/10.1371/journal.pone.0121922","DOI":"10.1371/journal.pone.0121922","note":"00000","journalAbbreviation":"PLoS ONE","author":[{"family":"Sanderson","given":"Warren C."},{"family":"Scherbov","given":"Sergei"}],"issued":{"date-parts":[["2015",4,15]]},"accessed":{"date-parts":[["2015",4,16]]}}}],"schema":"https://github.com/citation-style-language/schema/raw/master/csl-citation.json"} </w:instrText>
      </w:r>
      <w:r w:rsidR="00ED048F">
        <w:fldChar w:fldCharType="separate"/>
      </w:r>
      <w:r w:rsidR="00ED048F" w:rsidRPr="00AF7B1F">
        <w:rPr>
          <w:rFonts w:ascii="Calibri" w:hAnsi="Calibri"/>
        </w:rPr>
        <w:t xml:space="preserve">(Sanderson &amp; Scherbov, 2008b, 2010, 2013, </w:t>
      </w:r>
      <w:r w:rsidR="00ED048F" w:rsidRPr="00AF7B1F">
        <w:rPr>
          <w:rFonts w:ascii="Calibri" w:hAnsi="Calibri"/>
        </w:rPr>
        <w:lastRenderedPageBreak/>
        <w:t>2015a, 2015b)</w:t>
      </w:r>
      <w:r w:rsidR="00ED048F">
        <w:fldChar w:fldCharType="end"/>
      </w:r>
      <w:r w:rsidR="00C81A70">
        <w:t xml:space="preserve">.  Not only are conventional measures of population aging inaccurate, they are </w:t>
      </w:r>
      <w:r>
        <w:t>also incomplete, becau</w:t>
      </w:r>
      <w:r w:rsidR="00CA013E">
        <w:t xml:space="preserve">se no single characteristic can fully encapsulate the many ways in which populations can age. </w:t>
      </w:r>
      <w:r w:rsidR="00F45837">
        <w:t>In this article, we have demonstrated a methodology</w:t>
      </w:r>
      <w:r w:rsidR="009A67E6">
        <w:t>,</w:t>
      </w:r>
      <w:r w:rsidR="00011949">
        <w:t xml:space="preserve"> based on alpha-ages</w:t>
      </w:r>
      <w:r w:rsidR="009A67E6">
        <w:t>,</w:t>
      </w:r>
      <w:r w:rsidR="00F45837">
        <w:t xml:space="preserve"> for measuring otherwise incommensurate dimensions of population aging in </w:t>
      </w:r>
      <w:r w:rsidR="00011949">
        <w:t>the same units</w:t>
      </w:r>
      <w:r w:rsidR="00F45837">
        <w:t xml:space="preserve">. Using data from ELSA, we measured differences in handgrip-strength, chair rise speed, and subsequent survival across educational subgroups. We showed </w:t>
      </w:r>
      <w:r w:rsidR="00011949">
        <w:t xml:space="preserve">that the </w:t>
      </w:r>
      <w:r w:rsidR="00781E58">
        <w:t xml:space="preserve">median </w:t>
      </w:r>
      <w:r w:rsidR="00011949">
        <w:t xml:space="preserve">of averages of the educational differentials for hand-grip strength and chair rise speed corresponded very closely to </w:t>
      </w:r>
      <w:r w:rsidR="00781E58">
        <w:t xml:space="preserve">the median </w:t>
      </w:r>
      <w:r w:rsidR="00F87B18">
        <w:t xml:space="preserve">of educational differentials in subsequent survival. </w:t>
      </w:r>
      <w:r w:rsidR="0017050E">
        <w:t xml:space="preserve">The paper provides an example of what could be done </w:t>
      </w:r>
      <w:r w:rsidR="00781E58">
        <w:t>when characteristics are combined using alpha-ages</w:t>
      </w:r>
      <w:r w:rsidR="0017050E">
        <w:t xml:space="preserve">. </w:t>
      </w:r>
      <w:r w:rsidR="00F87B18">
        <w:t xml:space="preserve">The same methodology can be used to study </w:t>
      </w:r>
      <w:r w:rsidR="0017050E">
        <w:t>combinations of many characteristics.</w:t>
      </w:r>
      <w:r w:rsidR="004B0B9C">
        <w:t xml:space="preserve">  </w:t>
      </w:r>
    </w:p>
    <w:p w14:paraId="77B599E7" w14:textId="77777777" w:rsidR="00F87B18" w:rsidRPr="00C16407" w:rsidRDefault="00F87B18" w:rsidP="00C16407"/>
    <w:p w14:paraId="166032FC" w14:textId="45897892" w:rsidR="009D2F51" w:rsidRPr="009F6E18" w:rsidRDefault="00D21F7B">
      <w:pPr>
        <w:rPr>
          <w:sz w:val="24"/>
          <w:szCs w:val="24"/>
        </w:rPr>
      </w:pPr>
      <w:r>
        <w:t>In the past, there were few characteristics that could be used to study population aging. Most data came from censuses</w:t>
      </w:r>
      <w:r w:rsidR="00DE2CFB">
        <w:t xml:space="preserve">. But the situation is different now. Large scale longitudinal studies of aging </w:t>
      </w:r>
      <w:r w:rsidR="009A67E6">
        <w:t xml:space="preserve">currently </w:t>
      </w:r>
      <w:r w:rsidR="00DE2CFB">
        <w:t>cover more than half of the world’s population. These surveys, like ELSA, contain information on many important aspects of aging.</w:t>
      </w:r>
      <w:r w:rsidR="00090D0D">
        <w:t xml:space="preserve"> </w:t>
      </w:r>
      <w:r w:rsidR="00DE2CFB">
        <w:t xml:space="preserve"> It is now time to </w:t>
      </w:r>
      <w:r w:rsidR="00385E81">
        <w:t xml:space="preserve">broaden our perspective and to make use of the new multidimensional data on population aging that are available.  </w:t>
      </w:r>
    </w:p>
    <w:p w14:paraId="3463D2DA" w14:textId="77777777" w:rsidR="001E0832" w:rsidRDefault="001E0832" w:rsidP="004A523D">
      <w:pPr>
        <w:pStyle w:val="Heading1"/>
      </w:pPr>
      <w:r>
        <w:lastRenderedPageBreak/>
        <w:t>References</w:t>
      </w:r>
    </w:p>
    <w:p w14:paraId="378A083B" w14:textId="1CCF13E8" w:rsidR="00AF7B1F" w:rsidRPr="00AF7B1F" w:rsidRDefault="001E0832" w:rsidP="00AF7B1F">
      <w:pPr>
        <w:pStyle w:val="Bibliography"/>
        <w:rPr>
          <w:rFonts w:ascii="Times New Roman" w:hAnsi="Times New Roman" w:cs="Times New Roman"/>
        </w:rPr>
      </w:pPr>
      <w:r w:rsidRPr="009F6E18">
        <w:fldChar w:fldCharType="begin"/>
      </w:r>
      <w:r w:rsidR="00AF7B1F">
        <w:instrText xml:space="preserve"> ADDIN ZOTERO_BIBL {"custom":[]} CSL_BIBLIOGRAPHY </w:instrText>
      </w:r>
      <w:r w:rsidRPr="009F6E18">
        <w:fldChar w:fldCharType="separate"/>
      </w:r>
      <w:r w:rsidR="00AF7B1F" w:rsidRPr="00AF7B1F">
        <w:rPr>
          <w:rFonts w:ascii="Times New Roman" w:hAnsi="Times New Roman" w:cs="Times New Roman"/>
        </w:rPr>
        <w:t xml:space="preserve">Al Snih, S., Markides, K. S., Ray, L., Ostir, G. V., &amp; Goodwin, J. S. (2002). Handgrip strength and mortality in older Mexican Americans. </w:t>
      </w:r>
      <w:r w:rsidR="00AF7B1F" w:rsidRPr="00AF7B1F">
        <w:rPr>
          <w:rFonts w:ascii="Times New Roman" w:hAnsi="Times New Roman" w:cs="Times New Roman"/>
          <w:i/>
          <w:iCs/>
        </w:rPr>
        <w:t>Journal of the American Geriatrics Society</w:t>
      </w:r>
      <w:r w:rsidR="00AF7B1F" w:rsidRPr="00AF7B1F">
        <w:rPr>
          <w:rFonts w:ascii="Times New Roman" w:hAnsi="Times New Roman" w:cs="Times New Roman"/>
        </w:rPr>
        <w:t xml:space="preserve">, </w:t>
      </w:r>
      <w:r w:rsidR="00AF7B1F" w:rsidRPr="00AF7B1F">
        <w:rPr>
          <w:rFonts w:ascii="Times New Roman" w:hAnsi="Times New Roman" w:cs="Times New Roman"/>
          <w:i/>
          <w:iCs/>
        </w:rPr>
        <w:t>50</w:t>
      </w:r>
      <w:r w:rsidR="00AF7B1F" w:rsidRPr="00AF7B1F">
        <w:rPr>
          <w:rFonts w:ascii="Times New Roman" w:hAnsi="Times New Roman" w:cs="Times New Roman"/>
        </w:rPr>
        <w:t>(7), 1250–1256. http://doi.org/10.1046/j.1532-5415.2002.50312.x</w:t>
      </w:r>
    </w:p>
    <w:p w14:paraId="456AA27D"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Amemiya, T. (1973). Regression analysis when the dependent variable is truncated normal. </w:t>
      </w:r>
      <w:r w:rsidRPr="00AF7B1F">
        <w:rPr>
          <w:rFonts w:ascii="Times New Roman" w:hAnsi="Times New Roman" w:cs="Times New Roman"/>
          <w:i/>
          <w:iCs/>
        </w:rPr>
        <w:t>Econometrica</w:t>
      </w:r>
      <w:r w:rsidRPr="00AF7B1F">
        <w:rPr>
          <w:rFonts w:ascii="Times New Roman" w:hAnsi="Times New Roman" w:cs="Times New Roman"/>
        </w:rPr>
        <w:t xml:space="preserve">, </w:t>
      </w:r>
      <w:r w:rsidRPr="00AF7B1F">
        <w:rPr>
          <w:rFonts w:ascii="Times New Roman" w:hAnsi="Times New Roman" w:cs="Times New Roman"/>
          <w:i/>
          <w:iCs/>
        </w:rPr>
        <w:t>41</w:t>
      </w:r>
      <w:r w:rsidRPr="00AF7B1F">
        <w:rPr>
          <w:rFonts w:ascii="Times New Roman" w:hAnsi="Times New Roman" w:cs="Times New Roman"/>
        </w:rPr>
        <w:t>(6), 997–1016. http://doi.org/10.2307/1914031</w:t>
      </w:r>
    </w:p>
    <w:p w14:paraId="26E87432"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Banks, J., Breeze, E., Lessof, C., &amp; Nazroo, J. (Eds.). (2006). </w:t>
      </w:r>
      <w:r w:rsidRPr="00AF7B1F">
        <w:rPr>
          <w:rFonts w:ascii="Times New Roman" w:hAnsi="Times New Roman" w:cs="Times New Roman"/>
          <w:i/>
          <w:iCs/>
        </w:rPr>
        <w:t>Retirement, health and relationships of the older population in England: the 2004 English Longitudinal Study of Ageing</w:t>
      </w:r>
      <w:r w:rsidRPr="00AF7B1F">
        <w:rPr>
          <w:rFonts w:ascii="Times New Roman" w:hAnsi="Times New Roman" w:cs="Times New Roman"/>
        </w:rPr>
        <w:t>. London: The Institute for Fiscal Studies.</w:t>
      </w:r>
    </w:p>
    <w:p w14:paraId="3EBE7363"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Bordone, V., Scherbov, S., &amp; Steiber, N. (2014). </w:t>
      </w:r>
      <w:r w:rsidRPr="00AF7B1F">
        <w:rPr>
          <w:rFonts w:ascii="Times New Roman" w:hAnsi="Times New Roman" w:cs="Times New Roman"/>
          <w:i/>
          <w:iCs/>
        </w:rPr>
        <w:t>Is population ageing decelerating in terms of cognition?</w:t>
      </w:r>
      <w:r w:rsidRPr="00AF7B1F">
        <w:rPr>
          <w:rFonts w:ascii="Times New Roman" w:hAnsi="Times New Roman" w:cs="Times New Roman"/>
        </w:rPr>
        <w:t xml:space="preserve"> (Interim Report No. IR-14-015). Laxenburg, Austria: International Institute for Applied Systems Analysis. Retrieved from http://www.iiasa.ac.at/publication/more_IR-14-015.php</w:t>
      </w:r>
    </w:p>
    <w:p w14:paraId="2B5D72E9"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lang w:val="de-DE"/>
        </w:rPr>
        <w:t xml:space="preserve">Christensen, K., Doblhammer, G., Rau, R., &amp; Vaupel, J. W. (2009). </w:t>
      </w:r>
      <w:r w:rsidRPr="00AF7B1F">
        <w:rPr>
          <w:rFonts w:ascii="Times New Roman" w:hAnsi="Times New Roman" w:cs="Times New Roman"/>
        </w:rPr>
        <w:t xml:space="preserve">Ageing populations: the challenges ahead. </w:t>
      </w:r>
      <w:r w:rsidRPr="00AF7B1F">
        <w:rPr>
          <w:rFonts w:ascii="Times New Roman" w:hAnsi="Times New Roman" w:cs="Times New Roman"/>
          <w:i/>
          <w:iCs/>
        </w:rPr>
        <w:t>The Lancet</w:t>
      </w:r>
      <w:r w:rsidRPr="00AF7B1F">
        <w:rPr>
          <w:rFonts w:ascii="Times New Roman" w:hAnsi="Times New Roman" w:cs="Times New Roman"/>
        </w:rPr>
        <w:t xml:space="preserve">, </w:t>
      </w:r>
      <w:r w:rsidRPr="00AF7B1F">
        <w:rPr>
          <w:rFonts w:ascii="Times New Roman" w:hAnsi="Times New Roman" w:cs="Times New Roman"/>
          <w:i/>
          <w:iCs/>
        </w:rPr>
        <w:t>374</w:t>
      </w:r>
      <w:r w:rsidRPr="00AF7B1F">
        <w:rPr>
          <w:rFonts w:ascii="Times New Roman" w:hAnsi="Times New Roman" w:cs="Times New Roman"/>
        </w:rPr>
        <w:t>(9696), 1196–1208. http://doi.org/10.1016/S0140-6736(09)61460-4</w:t>
      </w:r>
    </w:p>
    <w:p w14:paraId="3B0E153C"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Cooper, R., Hardy, R., Aihie Sayer, A., Ben-Shlomo, Y., Birnie, K., Cooper, C., … on behalf of the HALCyon study team. (2011). Age and gender differences in physical capability levels from mid-life onwards: The harmonisation and meta-analysis of data from eight UK cohort studies. </w:t>
      </w:r>
      <w:r w:rsidRPr="00AF7B1F">
        <w:rPr>
          <w:rFonts w:ascii="Times New Roman" w:hAnsi="Times New Roman" w:cs="Times New Roman"/>
          <w:i/>
          <w:iCs/>
        </w:rPr>
        <w:t>PLoS ONE</w:t>
      </w:r>
      <w:r w:rsidRPr="00AF7B1F">
        <w:rPr>
          <w:rFonts w:ascii="Times New Roman" w:hAnsi="Times New Roman" w:cs="Times New Roman"/>
        </w:rPr>
        <w:t xml:space="preserve">, </w:t>
      </w:r>
      <w:r w:rsidRPr="00AF7B1F">
        <w:rPr>
          <w:rFonts w:ascii="Times New Roman" w:hAnsi="Times New Roman" w:cs="Times New Roman"/>
          <w:i/>
          <w:iCs/>
        </w:rPr>
        <w:t>6</w:t>
      </w:r>
      <w:r w:rsidRPr="00AF7B1F">
        <w:rPr>
          <w:rFonts w:ascii="Times New Roman" w:hAnsi="Times New Roman" w:cs="Times New Roman"/>
        </w:rPr>
        <w:t>(11), e27899. http://doi.org/10.1371/journal.pone.0027899</w:t>
      </w:r>
    </w:p>
    <w:p w14:paraId="2651684E"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lastRenderedPageBreak/>
        <w:t xml:space="preserve">Cooper, R., Strand, B. H., Hardy, R., Patel, K. V., &amp; Kuh, D. (2014). Physical capability in mid-life and survival over 13 years of follow-up: British birth cohort study. </w:t>
      </w:r>
      <w:r w:rsidRPr="00AF7B1F">
        <w:rPr>
          <w:rFonts w:ascii="Times New Roman" w:hAnsi="Times New Roman" w:cs="Times New Roman"/>
          <w:i/>
          <w:iCs/>
        </w:rPr>
        <w:t>British Medical Journal</w:t>
      </w:r>
      <w:r w:rsidRPr="00AF7B1F">
        <w:rPr>
          <w:rFonts w:ascii="Times New Roman" w:hAnsi="Times New Roman" w:cs="Times New Roman"/>
        </w:rPr>
        <w:t xml:space="preserve">, </w:t>
      </w:r>
      <w:r w:rsidRPr="00AF7B1F">
        <w:rPr>
          <w:rFonts w:ascii="Times New Roman" w:hAnsi="Times New Roman" w:cs="Times New Roman"/>
          <w:i/>
          <w:iCs/>
        </w:rPr>
        <w:t>348</w:t>
      </w:r>
      <w:r w:rsidRPr="00AF7B1F">
        <w:rPr>
          <w:rFonts w:ascii="Times New Roman" w:hAnsi="Times New Roman" w:cs="Times New Roman"/>
        </w:rPr>
        <w:t>, g2219. http://doi.org/10.1136/bmj.g2219</w:t>
      </w:r>
    </w:p>
    <w:p w14:paraId="1C1B3315"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Graham, J. E., Snih, S. A., Berges, I. M., Ray, L. A., Markides, K. S., &amp; Ottenbacher, K. J. (2009). Frailty and 10-year mortality in community-living Mexican American older adults. </w:t>
      </w:r>
      <w:r w:rsidRPr="00AF7B1F">
        <w:rPr>
          <w:rFonts w:ascii="Times New Roman" w:hAnsi="Times New Roman" w:cs="Times New Roman"/>
          <w:i/>
          <w:iCs/>
        </w:rPr>
        <w:t>Gerontology</w:t>
      </w:r>
      <w:r w:rsidRPr="00AF7B1F">
        <w:rPr>
          <w:rFonts w:ascii="Times New Roman" w:hAnsi="Times New Roman" w:cs="Times New Roman"/>
        </w:rPr>
        <w:t xml:space="preserve">, </w:t>
      </w:r>
      <w:r w:rsidRPr="00AF7B1F">
        <w:rPr>
          <w:rFonts w:ascii="Times New Roman" w:hAnsi="Times New Roman" w:cs="Times New Roman"/>
          <w:i/>
          <w:iCs/>
        </w:rPr>
        <w:t>55</w:t>
      </w:r>
      <w:r w:rsidRPr="00AF7B1F">
        <w:rPr>
          <w:rFonts w:ascii="Times New Roman" w:hAnsi="Times New Roman" w:cs="Times New Roman"/>
        </w:rPr>
        <w:t>(6), 644–651.</w:t>
      </w:r>
    </w:p>
    <w:p w14:paraId="5A836FB0"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Hurst, L., Stafford, M., Cooper, R., Hardy, R., Richards, M., &amp; Kuh, D. (2013). Lifetime socioeconomic inequalities in physical and cognitive aging. </w:t>
      </w:r>
      <w:r w:rsidRPr="00AF7B1F">
        <w:rPr>
          <w:rFonts w:ascii="Times New Roman" w:hAnsi="Times New Roman" w:cs="Times New Roman"/>
          <w:i/>
          <w:iCs/>
        </w:rPr>
        <w:t>American Journal of Public Health</w:t>
      </w:r>
      <w:r w:rsidRPr="00AF7B1F">
        <w:rPr>
          <w:rFonts w:ascii="Times New Roman" w:hAnsi="Times New Roman" w:cs="Times New Roman"/>
        </w:rPr>
        <w:t xml:space="preserve">, </w:t>
      </w:r>
      <w:r w:rsidRPr="00AF7B1F">
        <w:rPr>
          <w:rFonts w:ascii="Times New Roman" w:hAnsi="Times New Roman" w:cs="Times New Roman"/>
          <w:i/>
          <w:iCs/>
        </w:rPr>
        <w:t>103</w:t>
      </w:r>
      <w:r w:rsidRPr="00AF7B1F">
        <w:rPr>
          <w:rFonts w:ascii="Times New Roman" w:hAnsi="Times New Roman" w:cs="Times New Roman"/>
        </w:rPr>
        <w:t>(9), 1641–1648. http://doi.org/10.2105/AJPH.2013.301240</w:t>
      </w:r>
    </w:p>
    <w:p w14:paraId="7F60A294"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Innes, E. (1999). Handgrip strength testing: A review of the literature. </w:t>
      </w:r>
      <w:r w:rsidRPr="00AF7B1F">
        <w:rPr>
          <w:rFonts w:ascii="Times New Roman" w:hAnsi="Times New Roman" w:cs="Times New Roman"/>
          <w:i/>
          <w:iCs/>
        </w:rPr>
        <w:t>Australian Occupational Therapy Journal</w:t>
      </w:r>
      <w:r w:rsidRPr="00AF7B1F">
        <w:rPr>
          <w:rFonts w:ascii="Times New Roman" w:hAnsi="Times New Roman" w:cs="Times New Roman"/>
        </w:rPr>
        <w:t xml:space="preserve">, </w:t>
      </w:r>
      <w:r w:rsidRPr="00AF7B1F">
        <w:rPr>
          <w:rFonts w:ascii="Times New Roman" w:hAnsi="Times New Roman" w:cs="Times New Roman"/>
          <w:i/>
          <w:iCs/>
        </w:rPr>
        <w:t>46</w:t>
      </w:r>
      <w:r w:rsidRPr="00AF7B1F">
        <w:rPr>
          <w:rFonts w:ascii="Times New Roman" w:hAnsi="Times New Roman" w:cs="Times New Roman"/>
        </w:rPr>
        <w:t>(3), 120–140. http://doi.org/10.1046/j.1440-1630.1999.00182.x</w:t>
      </w:r>
    </w:p>
    <w:p w14:paraId="3949FA55"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Koopman, J. J. E., van Bodegom, D., van Heemst, D., &amp; Westendorp, R. G. J. (2015). Handgrip strength, ageing and mortality in rural Africa. </w:t>
      </w:r>
      <w:r w:rsidRPr="00AF7B1F">
        <w:rPr>
          <w:rFonts w:ascii="Times New Roman" w:hAnsi="Times New Roman" w:cs="Times New Roman"/>
          <w:i/>
          <w:iCs/>
        </w:rPr>
        <w:t>Age and Ageing</w:t>
      </w:r>
      <w:r w:rsidRPr="00AF7B1F">
        <w:rPr>
          <w:rFonts w:ascii="Times New Roman" w:hAnsi="Times New Roman" w:cs="Times New Roman"/>
        </w:rPr>
        <w:t xml:space="preserve">, </w:t>
      </w:r>
      <w:r w:rsidRPr="00AF7B1F">
        <w:rPr>
          <w:rFonts w:ascii="Times New Roman" w:hAnsi="Times New Roman" w:cs="Times New Roman"/>
          <w:i/>
          <w:iCs/>
        </w:rPr>
        <w:t>44</w:t>
      </w:r>
      <w:r w:rsidRPr="00AF7B1F">
        <w:rPr>
          <w:rFonts w:ascii="Times New Roman" w:hAnsi="Times New Roman" w:cs="Times New Roman"/>
        </w:rPr>
        <w:t>(3), 465–470. http://doi.org/10.1093/ageing/afu165</w:t>
      </w:r>
    </w:p>
    <w:p w14:paraId="66155E60"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Ling, C. H. Y., Taekema, D., Craen, A. J. M. de, Gussekloo, J., Westendorp, R. G. J., &amp; Maier, A. B. (2010). Handgrip strength and mortality in the oldest old population: the Leiden 85-plus study. </w:t>
      </w:r>
      <w:r w:rsidRPr="00AF7B1F">
        <w:rPr>
          <w:rFonts w:ascii="Times New Roman" w:hAnsi="Times New Roman" w:cs="Times New Roman"/>
          <w:i/>
          <w:iCs/>
        </w:rPr>
        <w:t>Canadian Medical Association Journal</w:t>
      </w:r>
      <w:r w:rsidRPr="00AF7B1F">
        <w:rPr>
          <w:rFonts w:ascii="Times New Roman" w:hAnsi="Times New Roman" w:cs="Times New Roman"/>
        </w:rPr>
        <w:t xml:space="preserve">, </w:t>
      </w:r>
      <w:r w:rsidRPr="00AF7B1F">
        <w:rPr>
          <w:rFonts w:ascii="Times New Roman" w:hAnsi="Times New Roman" w:cs="Times New Roman"/>
          <w:i/>
          <w:iCs/>
        </w:rPr>
        <w:t>182</w:t>
      </w:r>
      <w:r w:rsidRPr="00AF7B1F">
        <w:rPr>
          <w:rFonts w:ascii="Times New Roman" w:hAnsi="Times New Roman" w:cs="Times New Roman"/>
        </w:rPr>
        <w:t>(5), 429–435. http://doi.org/10.1503/cmaj.091278</w:t>
      </w:r>
    </w:p>
    <w:p w14:paraId="5CD27E5C"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Ostir, G. V., Kuo, Y.-F., Berges, I. M., Markides, K. S., &amp; Ottenbacher, K. J. (2007). Measures of lower body function and risk of mortality over 7 years of follow-up. </w:t>
      </w:r>
      <w:r w:rsidRPr="00AF7B1F">
        <w:rPr>
          <w:rFonts w:ascii="Times New Roman" w:hAnsi="Times New Roman" w:cs="Times New Roman"/>
          <w:i/>
          <w:iCs/>
        </w:rPr>
        <w:t>American Journal of Epidemiology</w:t>
      </w:r>
      <w:r w:rsidRPr="00AF7B1F">
        <w:rPr>
          <w:rFonts w:ascii="Times New Roman" w:hAnsi="Times New Roman" w:cs="Times New Roman"/>
        </w:rPr>
        <w:t xml:space="preserve">, </w:t>
      </w:r>
      <w:r w:rsidRPr="00AF7B1F">
        <w:rPr>
          <w:rFonts w:ascii="Times New Roman" w:hAnsi="Times New Roman" w:cs="Times New Roman"/>
          <w:i/>
          <w:iCs/>
        </w:rPr>
        <w:t>166</w:t>
      </w:r>
      <w:r w:rsidRPr="00AF7B1F">
        <w:rPr>
          <w:rFonts w:ascii="Times New Roman" w:hAnsi="Times New Roman" w:cs="Times New Roman"/>
        </w:rPr>
        <w:t>(5), 599–605. http://doi.org/10.1093/aje/kwm121</w:t>
      </w:r>
    </w:p>
    <w:p w14:paraId="1246886F"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lastRenderedPageBreak/>
        <w:t xml:space="preserve">Prentice, R. L., &amp; Gloeckler, L. A. (1978). Regression analysis of grouped survival data with application to breast cancer data. </w:t>
      </w:r>
      <w:r w:rsidRPr="00AF7B1F">
        <w:rPr>
          <w:rFonts w:ascii="Times New Roman" w:hAnsi="Times New Roman" w:cs="Times New Roman"/>
          <w:i/>
          <w:iCs/>
        </w:rPr>
        <w:t>Biometrics</w:t>
      </w:r>
      <w:r w:rsidRPr="00AF7B1F">
        <w:rPr>
          <w:rFonts w:ascii="Times New Roman" w:hAnsi="Times New Roman" w:cs="Times New Roman"/>
        </w:rPr>
        <w:t xml:space="preserve">, </w:t>
      </w:r>
      <w:r w:rsidRPr="00AF7B1F">
        <w:rPr>
          <w:rFonts w:ascii="Times New Roman" w:hAnsi="Times New Roman" w:cs="Times New Roman"/>
          <w:i/>
          <w:iCs/>
        </w:rPr>
        <w:t>34</w:t>
      </w:r>
      <w:r w:rsidRPr="00AF7B1F">
        <w:rPr>
          <w:rFonts w:ascii="Times New Roman" w:hAnsi="Times New Roman" w:cs="Times New Roman"/>
        </w:rPr>
        <w:t>(1), 57–67. http://doi.org/10.2307/2529588</w:t>
      </w:r>
    </w:p>
    <w:p w14:paraId="36ECCB37"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Rantanen, T., Volpato, S., Luigi Ferrucci, M., Eino Heikkinen, M., Fried, L. P., &amp; Guralnik, J. M. (2003). Handgrip Strength and Cause-Specific and Total Mortality in Older Disabled Women: Exploring the Mechanism. </w:t>
      </w:r>
      <w:r w:rsidRPr="00AF7B1F">
        <w:rPr>
          <w:rFonts w:ascii="Times New Roman" w:hAnsi="Times New Roman" w:cs="Times New Roman"/>
          <w:i/>
          <w:iCs/>
        </w:rPr>
        <w:t>Journal of the American Geriatrics Society</w:t>
      </w:r>
      <w:r w:rsidRPr="00AF7B1F">
        <w:rPr>
          <w:rFonts w:ascii="Times New Roman" w:hAnsi="Times New Roman" w:cs="Times New Roman"/>
        </w:rPr>
        <w:t xml:space="preserve">, </w:t>
      </w:r>
      <w:r w:rsidRPr="00AF7B1F">
        <w:rPr>
          <w:rFonts w:ascii="Times New Roman" w:hAnsi="Times New Roman" w:cs="Times New Roman"/>
          <w:i/>
          <w:iCs/>
        </w:rPr>
        <w:t>51</w:t>
      </w:r>
      <w:r w:rsidRPr="00AF7B1F">
        <w:rPr>
          <w:rFonts w:ascii="Times New Roman" w:hAnsi="Times New Roman" w:cs="Times New Roman"/>
        </w:rPr>
        <w:t>(5), 636–641. http://doi.org/10.1034/j.1600-0579.2003.00207.x</w:t>
      </w:r>
    </w:p>
    <w:p w14:paraId="353CBBFF"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lang w:val="de-DE"/>
        </w:rPr>
        <w:t xml:space="preserve">Sanderson, W. C., &amp; Scherbov, S. (2005). </w:t>
      </w:r>
      <w:r w:rsidRPr="00AF7B1F">
        <w:rPr>
          <w:rFonts w:ascii="Times New Roman" w:hAnsi="Times New Roman" w:cs="Times New Roman"/>
        </w:rPr>
        <w:t xml:space="preserve">Average remaining lifetimes can increase as human populations age. </w:t>
      </w:r>
      <w:r w:rsidRPr="00AF7B1F">
        <w:rPr>
          <w:rFonts w:ascii="Times New Roman" w:hAnsi="Times New Roman" w:cs="Times New Roman"/>
          <w:i/>
          <w:iCs/>
        </w:rPr>
        <w:t>Nature</w:t>
      </w:r>
      <w:r w:rsidRPr="00AF7B1F">
        <w:rPr>
          <w:rFonts w:ascii="Times New Roman" w:hAnsi="Times New Roman" w:cs="Times New Roman"/>
        </w:rPr>
        <w:t xml:space="preserve">, </w:t>
      </w:r>
      <w:r w:rsidRPr="00AF7B1F">
        <w:rPr>
          <w:rFonts w:ascii="Times New Roman" w:hAnsi="Times New Roman" w:cs="Times New Roman"/>
          <w:i/>
          <w:iCs/>
        </w:rPr>
        <w:t>435</w:t>
      </w:r>
      <w:r w:rsidRPr="00AF7B1F">
        <w:rPr>
          <w:rFonts w:ascii="Times New Roman" w:hAnsi="Times New Roman" w:cs="Times New Roman"/>
        </w:rPr>
        <w:t>(7043), 811–813. http://doi.org/10.1038/nature03593</w:t>
      </w:r>
    </w:p>
    <w:p w14:paraId="7604F642"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Sanderson, W. C., &amp; Scherbov, S. (2008a). Conventional and Prospective Measures of Population Aging, 1995, 2005, 2025, 2045. Population Reference Bureau. Retrieved from http://www.prb.org/excel08/age-ageing_table.xls</w:t>
      </w:r>
    </w:p>
    <w:p w14:paraId="37682CE6"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lang w:val="de-DE"/>
        </w:rPr>
        <w:t xml:space="preserve">Sanderson, W. C., &amp; Scherbov, S. (2008b). </w:t>
      </w:r>
      <w:r w:rsidRPr="00AF7B1F">
        <w:rPr>
          <w:rFonts w:ascii="Times New Roman" w:hAnsi="Times New Roman" w:cs="Times New Roman"/>
          <w:i/>
          <w:iCs/>
        </w:rPr>
        <w:t>Rethinking age and aging</w:t>
      </w:r>
      <w:r w:rsidRPr="00AF7B1F">
        <w:rPr>
          <w:rFonts w:ascii="Times New Roman" w:hAnsi="Times New Roman" w:cs="Times New Roman"/>
        </w:rPr>
        <w:t>. Washington, D.C.: Population Reference Bureau. Retrieved from http://www.prb.org/pdf08/63.4aging.pdf</w:t>
      </w:r>
    </w:p>
    <w:p w14:paraId="328F5530"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Sanderson, W. C., &amp; Scherbov, S. (2010). Remeasuring aging. </w:t>
      </w:r>
      <w:r w:rsidRPr="00AF7B1F">
        <w:rPr>
          <w:rFonts w:ascii="Times New Roman" w:hAnsi="Times New Roman" w:cs="Times New Roman"/>
          <w:i/>
          <w:iCs/>
        </w:rPr>
        <w:t>Science</w:t>
      </w:r>
      <w:r w:rsidRPr="00AF7B1F">
        <w:rPr>
          <w:rFonts w:ascii="Times New Roman" w:hAnsi="Times New Roman" w:cs="Times New Roman"/>
        </w:rPr>
        <w:t xml:space="preserve">, </w:t>
      </w:r>
      <w:r w:rsidRPr="00AF7B1F">
        <w:rPr>
          <w:rFonts w:ascii="Times New Roman" w:hAnsi="Times New Roman" w:cs="Times New Roman"/>
          <w:i/>
          <w:iCs/>
        </w:rPr>
        <w:t>329</w:t>
      </w:r>
      <w:r w:rsidRPr="00AF7B1F">
        <w:rPr>
          <w:rFonts w:ascii="Times New Roman" w:hAnsi="Times New Roman" w:cs="Times New Roman"/>
        </w:rPr>
        <w:t>(5997), 1287–1288. http://doi.org/10.1126/science.1193647</w:t>
      </w:r>
    </w:p>
    <w:p w14:paraId="3FC3DFEA"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lang w:val="de-DE"/>
        </w:rPr>
        <w:t xml:space="preserve">Sanderson, W. C., &amp; Scherbov, S. (2013). </w:t>
      </w:r>
      <w:r w:rsidRPr="00AF7B1F">
        <w:rPr>
          <w:rFonts w:ascii="Times New Roman" w:hAnsi="Times New Roman" w:cs="Times New Roman"/>
        </w:rPr>
        <w:t xml:space="preserve">The characteristics approach to the measurement of population aging. </w:t>
      </w:r>
      <w:r w:rsidRPr="00AF7B1F">
        <w:rPr>
          <w:rFonts w:ascii="Times New Roman" w:hAnsi="Times New Roman" w:cs="Times New Roman"/>
          <w:i/>
          <w:iCs/>
        </w:rPr>
        <w:t>Population and Development Review</w:t>
      </w:r>
      <w:r w:rsidRPr="00AF7B1F">
        <w:rPr>
          <w:rFonts w:ascii="Times New Roman" w:hAnsi="Times New Roman" w:cs="Times New Roman"/>
        </w:rPr>
        <w:t xml:space="preserve">, </w:t>
      </w:r>
      <w:r w:rsidRPr="00AF7B1F">
        <w:rPr>
          <w:rFonts w:ascii="Times New Roman" w:hAnsi="Times New Roman" w:cs="Times New Roman"/>
          <w:i/>
          <w:iCs/>
        </w:rPr>
        <w:t>39</w:t>
      </w:r>
      <w:r w:rsidRPr="00AF7B1F">
        <w:rPr>
          <w:rFonts w:ascii="Times New Roman" w:hAnsi="Times New Roman" w:cs="Times New Roman"/>
        </w:rPr>
        <w:t>(4), 673–685. http://doi.org/10.1111/j.1728-4457.2013.00633.x</w:t>
      </w:r>
    </w:p>
    <w:p w14:paraId="5871E6CD"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Sanderson, W. C., &amp; Scherbov, S. (2014). Measuring the speed of aging across population subgroups. </w:t>
      </w:r>
      <w:r w:rsidRPr="00AF7B1F">
        <w:rPr>
          <w:rFonts w:ascii="Times New Roman" w:hAnsi="Times New Roman" w:cs="Times New Roman"/>
          <w:i/>
          <w:iCs/>
        </w:rPr>
        <w:t>PLoS ONE</w:t>
      </w:r>
      <w:r w:rsidRPr="00AF7B1F">
        <w:rPr>
          <w:rFonts w:ascii="Times New Roman" w:hAnsi="Times New Roman" w:cs="Times New Roman"/>
        </w:rPr>
        <w:t xml:space="preserve">, </w:t>
      </w:r>
      <w:r w:rsidRPr="00AF7B1F">
        <w:rPr>
          <w:rFonts w:ascii="Times New Roman" w:hAnsi="Times New Roman" w:cs="Times New Roman"/>
          <w:i/>
          <w:iCs/>
        </w:rPr>
        <w:t>9</w:t>
      </w:r>
      <w:r w:rsidRPr="00AF7B1F">
        <w:rPr>
          <w:rFonts w:ascii="Times New Roman" w:hAnsi="Times New Roman" w:cs="Times New Roman"/>
        </w:rPr>
        <w:t>(5), e96289. http://doi.org/10.1371/journal.pone.0096289</w:t>
      </w:r>
    </w:p>
    <w:p w14:paraId="24B03BAA"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lastRenderedPageBreak/>
        <w:t xml:space="preserve">Sanderson, W. C., &amp; Scherbov, S. (2015a). Are we overly dependent on conventional dependency ratios? </w:t>
      </w:r>
      <w:r w:rsidRPr="00AF7B1F">
        <w:rPr>
          <w:rFonts w:ascii="Times New Roman" w:hAnsi="Times New Roman" w:cs="Times New Roman"/>
          <w:i/>
          <w:iCs/>
        </w:rPr>
        <w:t>Population and Development Review</w:t>
      </w:r>
      <w:r w:rsidRPr="00AF7B1F">
        <w:rPr>
          <w:rFonts w:ascii="Times New Roman" w:hAnsi="Times New Roman" w:cs="Times New Roman"/>
        </w:rPr>
        <w:t xml:space="preserve">, </w:t>
      </w:r>
      <w:r w:rsidRPr="00AF7B1F">
        <w:rPr>
          <w:rFonts w:ascii="Times New Roman" w:hAnsi="Times New Roman" w:cs="Times New Roman"/>
          <w:i/>
          <w:iCs/>
        </w:rPr>
        <w:t>41</w:t>
      </w:r>
      <w:r w:rsidRPr="00AF7B1F">
        <w:rPr>
          <w:rFonts w:ascii="Times New Roman" w:hAnsi="Times New Roman" w:cs="Times New Roman"/>
        </w:rPr>
        <w:t>(4), 687–708. http://doi.org/10.1111/j.1728-4457.2015.00091.x</w:t>
      </w:r>
    </w:p>
    <w:p w14:paraId="17ED9F88"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Sanderson, W. C., &amp; Scherbov, S. (2015b). Faster increases in human life expectancy could lead to slower population aging. </w:t>
      </w:r>
      <w:r w:rsidRPr="00AF7B1F">
        <w:rPr>
          <w:rFonts w:ascii="Times New Roman" w:hAnsi="Times New Roman" w:cs="Times New Roman"/>
          <w:i/>
          <w:iCs/>
        </w:rPr>
        <w:t>PLoS ONE</w:t>
      </w:r>
      <w:r w:rsidRPr="00AF7B1F">
        <w:rPr>
          <w:rFonts w:ascii="Times New Roman" w:hAnsi="Times New Roman" w:cs="Times New Roman"/>
        </w:rPr>
        <w:t xml:space="preserve">, </w:t>
      </w:r>
      <w:r w:rsidRPr="00AF7B1F">
        <w:rPr>
          <w:rFonts w:ascii="Times New Roman" w:hAnsi="Times New Roman" w:cs="Times New Roman"/>
          <w:i/>
          <w:iCs/>
        </w:rPr>
        <w:t>10</w:t>
      </w:r>
      <w:r w:rsidRPr="00AF7B1F">
        <w:rPr>
          <w:rFonts w:ascii="Times New Roman" w:hAnsi="Times New Roman" w:cs="Times New Roman"/>
        </w:rPr>
        <w:t>(4), e0121922. http://doi.org/10.1371/journal.pone.0121922</w:t>
      </w:r>
    </w:p>
    <w:p w14:paraId="120DF5C8"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Scherbov, S., &amp; Sanderson, W. C. (2014). Prospective Measures of Population Aging: Version 1.0, June, 2014. Retrieved from www.reaging.org/indicators</w:t>
      </w:r>
    </w:p>
    <w:p w14:paraId="3C9AB72C"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Studenski, S., Perera, S., Patel, K., &amp; al,  et. (2011). Gait speed and survival in older adults. </w:t>
      </w:r>
      <w:r w:rsidRPr="00AF7B1F">
        <w:rPr>
          <w:rFonts w:ascii="Times New Roman" w:hAnsi="Times New Roman" w:cs="Times New Roman"/>
          <w:i/>
          <w:iCs/>
        </w:rPr>
        <w:t>JAMA</w:t>
      </w:r>
      <w:r w:rsidRPr="00AF7B1F">
        <w:rPr>
          <w:rFonts w:ascii="Times New Roman" w:hAnsi="Times New Roman" w:cs="Times New Roman"/>
        </w:rPr>
        <w:t xml:space="preserve">, </w:t>
      </w:r>
      <w:r w:rsidRPr="00AF7B1F">
        <w:rPr>
          <w:rFonts w:ascii="Times New Roman" w:hAnsi="Times New Roman" w:cs="Times New Roman"/>
          <w:i/>
          <w:iCs/>
        </w:rPr>
        <w:t>305</w:t>
      </w:r>
      <w:r w:rsidRPr="00AF7B1F">
        <w:rPr>
          <w:rFonts w:ascii="Times New Roman" w:hAnsi="Times New Roman" w:cs="Times New Roman"/>
        </w:rPr>
        <w:t>(1), 50–58. http://doi.org/10.1001/jama.2010.1923</w:t>
      </w:r>
    </w:p>
    <w:p w14:paraId="1671F1B2"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The Institute for Fiscal Studies. (2012). </w:t>
      </w:r>
      <w:r w:rsidRPr="00AF7B1F">
        <w:rPr>
          <w:rFonts w:ascii="Times New Roman" w:hAnsi="Times New Roman" w:cs="Times New Roman"/>
          <w:i/>
          <w:iCs/>
        </w:rPr>
        <w:t>English Longitudinal Study of Ageing (ELSA)</w:t>
      </w:r>
      <w:r w:rsidRPr="00AF7B1F">
        <w:rPr>
          <w:rFonts w:ascii="Times New Roman" w:hAnsi="Times New Roman" w:cs="Times New Roman"/>
        </w:rPr>
        <w:t>. London: NatCen Social Research, University College London and Institute for Fiscal Studies. Retrieved from http://www.ifs.org.uk/ELSA</w:t>
      </w:r>
    </w:p>
    <w:p w14:paraId="2C5203EB"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United Nations. (2013). </w:t>
      </w:r>
      <w:r w:rsidRPr="00AF7B1F">
        <w:rPr>
          <w:rFonts w:ascii="Times New Roman" w:hAnsi="Times New Roman" w:cs="Times New Roman"/>
          <w:i/>
          <w:iCs/>
        </w:rPr>
        <w:t>World Population Ageing 2013</w:t>
      </w:r>
      <w:r w:rsidRPr="00AF7B1F">
        <w:rPr>
          <w:rFonts w:ascii="Times New Roman" w:hAnsi="Times New Roman" w:cs="Times New Roman"/>
        </w:rPr>
        <w:t xml:space="preserve"> (No. ST/ESA/SER.A/348). New York, USA: Department of Economic and Social Affairs, Population Division. Retrieved from http://www.un.org/en/development/desa/population/publications/pdf/ageing/WorldPopulationAgeing2013.pdf</w:t>
      </w:r>
    </w:p>
    <w:p w14:paraId="616D286F"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United Nations. (2015). </w:t>
      </w:r>
      <w:r w:rsidRPr="00AF7B1F">
        <w:rPr>
          <w:rFonts w:ascii="Times New Roman" w:hAnsi="Times New Roman" w:cs="Times New Roman"/>
          <w:i/>
          <w:iCs/>
        </w:rPr>
        <w:t>World Population Prospects: The 2015 Revision</w:t>
      </w:r>
      <w:r w:rsidRPr="00AF7B1F">
        <w:rPr>
          <w:rFonts w:ascii="Times New Roman" w:hAnsi="Times New Roman" w:cs="Times New Roman"/>
        </w:rPr>
        <w:t>. New York, NY: Department of Economic and Social Affairs, Population Division. Retrieved from http://esa.un.org/unpd/wpp/</w:t>
      </w:r>
    </w:p>
    <w:p w14:paraId="33B510E7" w14:textId="77777777" w:rsidR="00AF7B1F" w:rsidRPr="00AF7B1F" w:rsidRDefault="00AF7B1F" w:rsidP="00AF7B1F">
      <w:pPr>
        <w:pStyle w:val="Bibliography"/>
        <w:rPr>
          <w:rFonts w:ascii="Times New Roman" w:hAnsi="Times New Roman" w:cs="Times New Roman"/>
        </w:rPr>
      </w:pPr>
      <w:r w:rsidRPr="00AF7B1F">
        <w:rPr>
          <w:rFonts w:ascii="Times New Roman" w:hAnsi="Times New Roman" w:cs="Times New Roman"/>
        </w:rPr>
        <w:t xml:space="preserve">Vaupel, J. W. (2010). Biodemography of human ageing. </w:t>
      </w:r>
      <w:r w:rsidRPr="00AF7B1F">
        <w:rPr>
          <w:rFonts w:ascii="Times New Roman" w:hAnsi="Times New Roman" w:cs="Times New Roman"/>
          <w:i/>
          <w:iCs/>
        </w:rPr>
        <w:t>Nature</w:t>
      </w:r>
      <w:r w:rsidRPr="00AF7B1F">
        <w:rPr>
          <w:rFonts w:ascii="Times New Roman" w:hAnsi="Times New Roman" w:cs="Times New Roman"/>
        </w:rPr>
        <w:t xml:space="preserve">, </w:t>
      </w:r>
      <w:r w:rsidRPr="00AF7B1F">
        <w:rPr>
          <w:rFonts w:ascii="Times New Roman" w:hAnsi="Times New Roman" w:cs="Times New Roman"/>
          <w:i/>
          <w:iCs/>
        </w:rPr>
        <w:t>464</w:t>
      </w:r>
      <w:r w:rsidRPr="00AF7B1F">
        <w:rPr>
          <w:rFonts w:ascii="Times New Roman" w:hAnsi="Times New Roman" w:cs="Times New Roman"/>
        </w:rPr>
        <w:t>(7288), 536–542. http://doi.org/10.1038/nature08984</w:t>
      </w:r>
    </w:p>
    <w:p w14:paraId="3B5E60F6" w14:textId="7F8EE7DE" w:rsidR="00940B1C" w:rsidRDefault="001E0832" w:rsidP="002A29AF">
      <w:pPr>
        <w:rPr>
          <w:noProof/>
        </w:rPr>
      </w:pPr>
      <w:r w:rsidRPr="009F6E18">
        <w:rPr>
          <w:b/>
          <w:bCs/>
          <w:sz w:val="24"/>
          <w:szCs w:val="24"/>
        </w:rPr>
        <w:lastRenderedPageBreak/>
        <w:fldChar w:fldCharType="end"/>
      </w:r>
      <w:r w:rsidR="00AE3260" w:rsidDel="00AE3260">
        <w:rPr>
          <w:noProof/>
        </w:rPr>
        <w:t xml:space="preserve"> </w:t>
      </w:r>
    </w:p>
    <w:p w14:paraId="3396460D" w14:textId="77777777" w:rsidR="00940B1C" w:rsidRDefault="00940B1C">
      <w:pPr>
        <w:rPr>
          <w:noProof/>
        </w:rPr>
      </w:pPr>
      <w:r>
        <w:rPr>
          <w:noProof/>
        </w:rPr>
        <w:br w:type="page"/>
      </w:r>
    </w:p>
    <w:p w14:paraId="52E2877D" w14:textId="77777777" w:rsidR="00833064" w:rsidRDefault="00833064">
      <w:pPr>
        <w:rPr>
          <w:noProof/>
        </w:rPr>
      </w:pPr>
    </w:p>
    <w:p w14:paraId="4F3233E8" w14:textId="77777777" w:rsidR="00833064" w:rsidRDefault="00833064" w:rsidP="00833064">
      <w:pPr>
        <w:keepNext/>
      </w:pPr>
      <w:r>
        <w:rPr>
          <w:noProof/>
          <w:lang w:val="en-GB" w:eastAsia="en-GB"/>
        </w:rPr>
        <w:drawing>
          <wp:inline distT="0" distB="0" distL="0" distR="0" wp14:anchorId="28BB7E3D" wp14:editId="3BE6C101">
            <wp:extent cx="5486411" cy="292608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scr_gs.png"/>
                    <pic:cNvPicPr/>
                  </pic:nvPicPr>
                  <pic:blipFill>
                    <a:blip r:embed="rId37">
                      <a:extLst>
                        <a:ext uri="{28A0092B-C50C-407E-A947-70E740481C1C}">
                          <a14:useLocalDpi xmlns:a14="http://schemas.microsoft.com/office/drawing/2010/main" val="0"/>
                        </a:ext>
                      </a:extLst>
                    </a:blip>
                    <a:stretch>
                      <a:fillRect/>
                    </a:stretch>
                  </pic:blipFill>
                  <pic:spPr>
                    <a:xfrm>
                      <a:off x="0" y="0"/>
                      <a:ext cx="5486411" cy="2926086"/>
                    </a:xfrm>
                    <a:prstGeom prst="rect">
                      <a:avLst/>
                    </a:prstGeom>
                  </pic:spPr>
                </pic:pic>
              </a:graphicData>
            </a:graphic>
          </wp:inline>
        </w:drawing>
      </w:r>
    </w:p>
    <w:p w14:paraId="53FE2B6A" w14:textId="200B1583" w:rsidR="00833064" w:rsidRDefault="00833064" w:rsidP="00833064">
      <w:pPr>
        <w:pStyle w:val="Caption"/>
        <w:rPr>
          <w:b w:val="0"/>
          <w:color w:val="auto"/>
          <w:sz w:val="22"/>
          <w:szCs w:val="22"/>
        </w:rPr>
      </w:pPr>
      <w:r w:rsidRPr="00BE6888">
        <w:rPr>
          <w:b w:val="0"/>
          <w:color w:val="auto"/>
          <w:sz w:val="22"/>
          <w:szCs w:val="22"/>
        </w:rPr>
        <w:t xml:space="preserve">Figure </w:t>
      </w:r>
      <w:r w:rsidRPr="00BE6888">
        <w:rPr>
          <w:b w:val="0"/>
          <w:color w:val="auto"/>
          <w:sz w:val="22"/>
          <w:szCs w:val="22"/>
        </w:rPr>
        <w:fldChar w:fldCharType="begin"/>
      </w:r>
      <w:r w:rsidRPr="00BE6888">
        <w:rPr>
          <w:b w:val="0"/>
          <w:color w:val="auto"/>
          <w:sz w:val="22"/>
          <w:szCs w:val="22"/>
        </w:rPr>
        <w:instrText xml:space="preserve"> SEQ Figure \* ARABIC </w:instrText>
      </w:r>
      <w:r w:rsidRPr="00BE6888">
        <w:rPr>
          <w:b w:val="0"/>
          <w:color w:val="auto"/>
          <w:sz w:val="22"/>
          <w:szCs w:val="22"/>
        </w:rPr>
        <w:fldChar w:fldCharType="separate"/>
      </w:r>
      <w:r w:rsidRPr="00BE6888">
        <w:rPr>
          <w:b w:val="0"/>
          <w:noProof/>
          <w:color w:val="auto"/>
          <w:sz w:val="22"/>
          <w:szCs w:val="22"/>
        </w:rPr>
        <w:t>1</w:t>
      </w:r>
      <w:r w:rsidRPr="00BE6888">
        <w:rPr>
          <w:b w:val="0"/>
          <w:color w:val="auto"/>
          <w:sz w:val="22"/>
          <w:szCs w:val="22"/>
        </w:rPr>
        <w:fldChar w:fldCharType="end"/>
      </w:r>
      <w:r w:rsidRPr="00BE6888">
        <w:rPr>
          <w:b w:val="0"/>
          <w:color w:val="auto"/>
          <w:sz w:val="22"/>
          <w:szCs w:val="22"/>
        </w:rPr>
        <w:t>: Mean hand grip strength by education of English males and females aged between 60 and 85 years in our sample</w:t>
      </w:r>
    </w:p>
    <w:p w14:paraId="43D415A9" w14:textId="77777777" w:rsidR="00833064" w:rsidRDefault="00833064">
      <w:pPr>
        <w:rPr>
          <w:bCs/>
        </w:rPr>
      </w:pPr>
      <w:r>
        <w:rPr>
          <w:b/>
        </w:rPr>
        <w:br w:type="page"/>
      </w:r>
    </w:p>
    <w:p w14:paraId="3FE73C7B" w14:textId="77777777" w:rsidR="00833064" w:rsidRPr="00BE6888" w:rsidRDefault="00833064" w:rsidP="00833064">
      <w:pPr>
        <w:pStyle w:val="Caption"/>
        <w:rPr>
          <w:b w:val="0"/>
          <w:color w:val="auto"/>
          <w:sz w:val="22"/>
          <w:szCs w:val="22"/>
        </w:rPr>
      </w:pPr>
    </w:p>
    <w:p w14:paraId="58D45D12" w14:textId="77777777" w:rsidR="00833064" w:rsidRDefault="00833064" w:rsidP="00833064">
      <w:pPr>
        <w:keepNext/>
      </w:pPr>
      <w:r>
        <w:rPr>
          <w:noProof/>
          <w:sz w:val="24"/>
          <w:szCs w:val="24"/>
          <w:lang w:val="en-GB" w:eastAsia="en-GB"/>
        </w:rPr>
        <w:drawing>
          <wp:inline distT="0" distB="0" distL="0" distR="0" wp14:anchorId="1E870AD9" wp14:editId="3DB7E53F">
            <wp:extent cx="5486411" cy="292608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cr_ch.png"/>
                    <pic:cNvPicPr/>
                  </pic:nvPicPr>
                  <pic:blipFill>
                    <a:blip r:embed="rId38">
                      <a:extLst>
                        <a:ext uri="{28A0092B-C50C-407E-A947-70E740481C1C}">
                          <a14:useLocalDpi xmlns:a14="http://schemas.microsoft.com/office/drawing/2010/main" val="0"/>
                        </a:ext>
                      </a:extLst>
                    </a:blip>
                    <a:stretch>
                      <a:fillRect/>
                    </a:stretch>
                  </pic:blipFill>
                  <pic:spPr>
                    <a:xfrm>
                      <a:off x="0" y="0"/>
                      <a:ext cx="5486411" cy="2926086"/>
                    </a:xfrm>
                    <a:prstGeom prst="rect">
                      <a:avLst/>
                    </a:prstGeom>
                  </pic:spPr>
                </pic:pic>
              </a:graphicData>
            </a:graphic>
          </wp:inline>
        </w:drawing>
      </w:r>
    </w:p>
    <w:p w14:paraId="66035407" w14:textId="644508B9" w:rsidR="00833064" w:rsidRPr="004A523D" w:rsidRDefault="00833064" w:rsidP="00833064">
      <w:pPr>
        <w:pStyle w:val="Caption"/>
        <w:rPr>
          <w:b w:val="0"/>
          <w:color w:val="auto"/>
          <w:sz w:val="22"/>
          <w:szCs w:val="22"/>
        </w:rPr>
      </w:pPr>
      <w:r w:rsidRPr="004A523D">
        <w:rPr>
          <w:b w:val="0"/>
          <w:color w:val="auto"/>
          <w:sz w:val="22"/>
          <w:szCs w:val="22"/>
        </w:rPr>
        <w:t xml:space="preserve">Figure </w:t>
      </w:r>
      <w:r w:rsidRPr="004A523D">
        <w:rPr>
          <w:b w:val="0"/>
          <w:color w:val="auto"/>
          <w:sz w:val="22"/>
          <w:szCs w:val="22"/>
        </w:rPr>
        <w:fldChar w:fldCharType="begin"/>
      </w:r>
      <w:r w:rsidRPr="004A523D">
        <w:rPr>
          <w:b w:val="0"/>
          <w:color w:val="auto"/>
          <w:sz w:val="22"/>
          <w:szCs w:val="22"/>
        </w:rPr>
        <w:instrText xml:space="preserve"> SEQ Figure \* ARABIC </w:instrText>
      </w:r>
      <w:r w:rsidRPr="004A523D">
        <w:rPr>
          <w:b w:val="0"/>
          <w:color w:val="auto"/>
          <w:sz w:val="22"/>
          <w:szCs w:val="22"/>
        </w:rPr>
        <w:fldChar w:fldCharType="separate"/>
      </w:r>
      <w:r w:rsidRPr="004A523D">
        <w:rPr>
          <w:b w:val="0"/>
          <w:noProof/>
          <w:color w:val="auto"/>
          <w:sz w:val="22"/>
          <w:szCs w:val="22"/>
        </w:rPr>
        <w:t>2</w:t>
      </w:r>
      <w:r w:rsidRPr="004A523D">
        <w:rPr>
          <w:b w:val="0"/>
          <w:color w:val="auto"/>
          <w:sz w:val="22"/>
          <w:szCs w:val="22"/>
        </w:rPr>
        <w:fldChar w:fldCharType="end"/>
      </w:r>
      <w:r w:rsidRPr="004A523D">
        <w:rPr>
          <w:b w:val="0"/>
          <w:color w:val="auto"/>
          <w:sz w:val="22"/>
          <w:szCs w:val="22"/>
        </w:rPr>
        <w:t>: Mean chair rises per minute by education of English males and females aged between 60 and 85 years in our sample</w:t>
      </w:r>
    </w:p>
    <w:p w14:paraId="31F4F4C0" w14:textId="77777777" w:rsidR="00833064" w:rsidRDefault="00833064">
      <w:r>
        <w:br w:type="page"/>
      </w:r>
    </w:p>
    <w:p w14:paraId="76C9F429" w14:textId="730B9B45" w:rsidR="00637AB2" w:rsidRDefault="00940B1C" w:rsidP="004A523D">
      <w:r>
        <w:lastRenderedPageBreak/>
        <w:t>Table 1: An Example of the Computation of an alp</w:t>
      </w:r>
      <w:r w:rsidR="001828F5">
        <w:t>h</w:t>
      </w:r>
      <w:r>
        <w:t>a-age</w:t>
      </w:r>
    </w:p>
    <w:tbl>
      <w:tblPr>
        <w:tblStyle w:val="TableGrid"/>
        <w:tblW w:w="0" w:type="auto"/>
        <w:tblLook w:val="04A0" w:firstRow="1" w:lastRow="0" w:firstColumn="1" w:lastColumn="0" w:noHBand="0" w:noVBand="1"/>
      </w:tblPr>
      <w:tblGrid>
        <w:gridCol w:w="2337"/>
        <w:gridCol w:w="2337"/>
        <w:gridCol w:w="2338"/>
        <w:gridCol w:w="2338"/>
      </w:tblGrid>
      <w:tr w:rsidR="00940B1C" w14:paraId="0276F534" w14:textId="77777777" w:rsidTr="00D62A5C">
        <w:tc>
          <w:tcPr>
            <w:tcW w:w="4674" w:type="dxa"/>
            <w:gridSpan w:val="2"/>
          </w:tcPr>
          <w:p w14:paraId="186C46AB" w14:textId="77777777" w:rsidR="00940B1C" w:rsidRPr="00C16407" w:rsidRDefault="00940B1C" w:rsidP="00D62A5C">
            <w:pPr>
              <w:spacing w:line="480" w:lineRule="auto"/>
              <w:rPr>
                <w:i/>
              </w:rPr>
            </w:pPr>
            <w:r>
              <w:t xml:space="preserve">Characteristic Schedule </w:t>
            </w:r>
            <w:r>
              <w:rPr>
                <w:i/>
              </w:rPr>
              <w:t>r</w:t>
            </w:r>
          </w:p>
        </w:tc>
        <w:tc>
          <w:tcPr>
            <w:tcW w:w="4676" w:type="dxa"/>
            <w:gridSpan w:val="2"/>
          </w:tcPr>
          <w:p w14:paraId="0CDFD83B" w14:textId="77777777" w:rsidR="00940B1C" w:rsidRDefault="00940B1C" w:rsidP="00D62A5C">
            <w:pPr>
              <w:spacing w:line="480" w:lineRule="auto"/>
            </w:pPr>
            <w:r>
              <w:t xml:space="preserve">Characteristic Schedule </w:t>
            </w:r>
            <w:r>
              <w:rPr>
                <w:i/>
              </w:rPr>
              <w:t>s</w:t>
            </w:r>
          </w:p>
        </w:tc>
      </w:tr>
      <w:tr w:rsidR="00940B1C" w14:paraId="2C61EB45" w14:textId="77777777" w:rsidTr="00D62A5C">
        <w:tc>
          <w:tcPr>
            <w:tcW w:w="2337" w:type="dxa"/>
          </w:tcPr>
          <w:p w14:paraId="28A96DFC" w14:textId="77777777" w:rsidR="00940B1C" w:rsidRDefault="00940B1C" w:rsidP="00D62A5C">
            <w:pPr>
              <w:spacing w:line="480" w:lineRule="auto"/>
            </w:pPr>
            <w:r>
              <w:t>Age</w:t>
            </w:r>
          </w:p>
        </w:tc>
        <w:tc>
          <w:tcPr>
            <w:tcW w:w="2337" w:type="dxa"/>
          </w:tcPr>
          <w:p w14:paraId="06ED28D4" w14:textId="77777777" w:rsidR="00940B1C" w:rsidRDefault="00940B1C" w:rsidP="00D62A5C">
            <w:pPr>
              <w:spacing w:line="480" w:lineRule="auto"/>
            </w:pPr>
            <w:r>
              <w:t>Characteristic Level</w:t>
            </w:r>
          </w:p>
        </w:tc>
        <w:tc>
          <w:tcPr>
            <w:tcW w:w="2338" w:type="dxa"/>
          </w:tcPr>
          <w:p w14:paraId="5344140C" w14:textId="77777777" w:rsidR="00940B1C" w:rsidRDefault="00940B1C" w:rsidP="00D62A5C">
            <w:pPr>
              <w:spacing w:line="480" w:lineRule="auto"/>
            </w:pPr>
            <w:r>
              <w:t>Characteristic Level</w:t>
            </w:r>
          </w:p>
        </w:tc>
        <w:tc>
          <w:tcPr>
            <w:tcW w:w="2338" w:type="dxa"/>
          </w:tcPr>
          <w:p w14:paraId="75C1F1B0" w14:textId="77777777" w:rsidR="00940B1C" w:rsidRDefault="00940B1C" w:rsidP="00D62A5C">
            <w:pPr>
              <w:spacing w:line="480" w:lineRule="auto"/>
            </w:pPr>
            <w:r>
              <w:t>Age</w:t>
            </w:r>
          </w:p>
        </w:tc>
      </w:tr>
      <w:tr w:rsidR="00940B1C" w14:paraId="2BE81569" w14:textId="77777777" w:rsidTr="00D62A5C">
        <w:tc>
          <w:tcPr>
            <w:tcW w:w="2337" w:type="dxa"/>
          </w:tcPr>
          <w:p w14:paraId="438B7322" w14:textId="77777777" w:rsidR="00940B1C" w:rsidRDefault="00940B1C" w:rsidP="00D62A5C">
            <w:pPr>
              <w:spacing w:line="480" w:lineRule="auto"/>
            </w:pPr>
            <w:r>
              <w:t>65</w:t>
            </w:r>
          </w:p>
        </w:tc>
        <w:tc>
          <w:tcPr>
            <w:tcW w:w="2337" w:type="dxa"/>
          </w:tcPr>
          <w:p w14:paraId="57CCBA9D" w14:textId="77777777" w:rsidR="00940B1C" w:rsidRDefault="00940B1C" w:rsidP="00D62A5C">
            <w:pPr>
              <w:spacing w:line="480" w:lineRule="auto"/>
            </w:pPr>
            <w:r>
              <w:t>100</w:t>
            </w:r>
          </w:p>
        </w:tc>
        <w:tc>
          <w:tcPr>
            <w:tcW w:w="2338" w:type="dxa"/>
          </w:tcPr>
          <w:p w14:paraId="641FFC03" w14:textId="77777777" w:rsidR="00940B1C" w:rsidRDefault="00940B1C" w:rsidP="00D62A5C">
            <w:pPr>
              <w:spacing w:line="480" w:lineRule="auto"/>
            </w:pPr>
            <w:r>
              <w:t>100</w:t>
            </w:r>
          </w:p>
        </w:tc>
        <w:tc>
          <w:tcPr>
            <w:tcW w:w="2338" w:type="dxa"/>
          </w:tcPr>
          <w:p w14:paraId="3A13FD45" w14:textId="77777777" w:rsidR="00940B1C" w:rsidRDefault="00940B1C" w:rsidP="00D62A5C">
            <w:pPr>
              <w:spacing w:line="480" w:lineRule="auto"/>
            </w:pPr>
            <w:r>
              <w:t>60</w:t>
            </w:r>
          </w:p>
        </w:tc>
      </w:tr>
    </w:tbl>
    <w:p w14:paraId="018A32B7" w14:textId="1CBA2457" w:rsidR="00940B1C" w:rsidRDefault="00940B1C" w:rsidP="00940B1C"/>
    <w:p w14:paraId="5CC5799E" w14:textId="765CEA96" w:rsidR="00782554" w:rsidRDefault="00782554">
      <w:r>
        <w:br w:type="page"/>
      </w:r>
    </w:p>
    <w:p w14:paraId="65A085D5" w14:textId="713F549F" w:rsidR="00782554" w:rsidRPr="008335E9" w:rsidRDefault="00782554" w:rsidP="00782554">
      <w:r w:rsidRPr="005C2324">
        <w:lastRenderedPageBreak/>
        <w:t xml:space="preserve">Table </w:t>
      </w:r>
      <w:r>
        <w:t>2</w:t>
      </w:r>
      <w:r w:rsidRPr="005C2324">
        <w:t xml:space="preserve">: Descriptive statistics </w:t>
      </w:r>
      <w:r>
        <w:t>(</w:t>
      </w:r>
      <w:r w:rsidRPr="005C2324">
        <w:t xml:space="preserve">mean and </w:t>
      </w:r>
      <w:r>
        <w:t>standard deviation</w:t>
      </w:r>
      <w:r w:rsidRPr="005C2324">
        <w:t xml:space="preserve"> in brackets</w:t>
      </w:r>
      <w:r>
        <w:t>)</w:t>
      </w:r>
      <w:r w:rsidRPr="005C2324">
        <w:t xml:space="preserve"> of age</w:t>
      </w:r>
      <w:r>
        <w:t>,</w:t>
      </w:r>
      <w:r w:rsidRPr="005C2324">
        <w:t xml:space="preserve"> the physical performance measures hand grip strength and </w:t>
      </w:r>
      <w:r w:rsidRPr="0067596D">
        <w:t>chair rise per minute</w:t>
      </w:r>
      <w:r>
        <w:t>, and proportion surviving from 2004 to 2012</w:t>
      </w:r>
      <w:r w:rsidRPr="005C2324">
        <w:t xml:space="preserve"> by sex and education</w:t>
      </w:r>
    </w:p>
    <w:tbl>
      <w:tblPr>
        <w:tblW w:w="9267" w:type="dxa"/>
        <w:tblInd w:w="93" w:type="dxa"/>
        <w:tblLayout w:type="fixed"/>
        <w:tblLook w:val="04A0" w:firstRow="1" w:lastRow="0" w:firstColumn="1" w:lastColumn="0" w:noHBand="0" w:noVBand="1"/>
      </w:tblPr>
      <w:tblGrid>
        <w:gridCol w:w="1797"/>
        <w:gridCol w:w="1867"/>
        <w:gridCol w:w="1868"/>
        <w:gridCol w:w="1867"/>
        <w:gridCol w:w="1868"/>
      </w:tblGrid>
      <w:tr w:rsidR="00782554" w:rsidRPr="00BE1AC5" w14:paraId="7D1C677F" w14:textId="77777777" w:rsidTr="004A523D">
        <w:trPr>
          <w:trHeight w:val="396"/>
        </w:trPr>
        <w:tc>
          <w:tcPr>
            <w:tcW w:w="1797" w:type="dxa"/>
            <w:tcBorders>
              <w:right w:val="single" w:sz="4" w:space="0" w:color="auto"/>
            </w:tcBorders>
            <w:shd w:val="clear" w:color="auto" w:fill="auto"/>
            <w:noWrap/>
            <w:vAlign w:val="bottom"/>
            <w:hideMark/>
          </w:tcPr>
          <w:p w14:paraId="1ED784A2" w14:textId="77777777" w:rsidR="00782554" w:rsidRPr="00BE1AC5" w:rsidRDefault="00782554" w:rsidP="00D62A5C">
            <w:pPr>
              <w:rPr>
                <w:rFonts w:eastAsia="Times New Roman" w:cs="Times New Roman"/>
                <w:color w:val="000000"/>
                <w:sz w:val="24"/>
                <w:szCs w:val="24"/>
              </w:rPr>
            </w:pPr>
          </w:p>
        </w:tc>
        <w:tc>
          <w:tcPr>
            <w:tcW w:w="37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7F359" w14:textId="77777777" w:rsidR="00782554" w:rsidRPr="00BE1AC5" w:rsidRDefault="00782554" w:rsidP="00D62A5C">
            <w:pPr>
              <w:jc w:val="center"/>
              <w:rPr>
                <w:rFonts w:eastAsia="Times New Roman" w:cs="Times New Roman"/>
                <w:color w:val="000000"/>
                <w:sz w:val="24"/>
                <w:szCs w:val="24"/>
              </w:rPr>
            </w:pPr>
            <w:r w:rsidRPr="00BE1AC5">
              <w:rPr>
                <w:rFonts w:eastAsia="Times New Roman" w:cs="Times New Roman"/>
                <w:color w:val="000000"/>
                <w:sz w:val="24"/>
                <w:szCs w:val="24"/>
              </w:rPr>
              <w:t>males</w:t>
            </w:r>
          </w:p>
        </w:tc>
        <w:tc>
          <w:tcPr>
            <w:tcW w:w="37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F7586" w14:textId="77777777" w:rsidR="00782554" w:rsidRPr="00BE1AC5" w:rsidRDefault="00782554" w:rsidP="00D62A5C">
            <w:pPr>
              <w:jc w:val="center"/>
              <w:rPr>
                <w:rFonts w:eastAsia="Times New Roman" w:cs="Times New Roman"/>
                <w:color w:val="000000"/>
                <w:sz w:val="24"/>
                <w:szCs w:val="24"/>
              </w:rPr>
            </w:pPr>
            <w:r w:rsidRPr="00BE1AC5">
              <w:rPr>
                <w:rFonts w:eastAsia="Times New Roman" w:cs="Times New Roman"/>
                <w:color w:val="000000"/>
                <w:sz w:val="24"/>
                <w:szCs w:val="24"/>
              </w:rPr>
              <w:t>females</w:t>
            </w:r>
          </w:p>
        </w:tc>
      </w:tr>
      <w:tr w:rsidR="00E73B25" w:rsidRPr="00BE1AC5" w14:paraId="7F438313" w14:textId="77777777" w:rsidTr="00E73B25">
        <w:trPr>
          <w:trHeight w:val="634"/>
        </w:trPr>
        <w:tc>
          <w:tcPr>
            <w:tcW w:w="1797" w:type="dxa"/>
            <w:tcBorders>
              <w:bottom w:val="single" w:sz="4" w:space="0" w:color="auto"/>
              <w:right w:val="single" w:sz="4" w:space="0" w:color="auto"/>
            </w:tcBorders>
            <w:shd w:val="clear" w:color="auto" w:fill="auto"/>
            <w:noWrap/>
            <w:vAlign w:val="bottom"/>
            <w:hideMark/>
          </w:tcPr>
          <w:p w14:paraId="45BB80D3" w14:textId="476C7BA5" w:rsidR="00782554" w:rsidRPr="00BE1AC5" w:rsidRDefault="00782554" w:rsidP="00D62A5C">
            <w:pPr>
              <w:rPr>
                <w:rFonts w:eastAsia="Times New Roman" w:cs="Times New Roman"/>
                <w:color w:val="000000"/>
                <w:sz w:val="24"/>
                <w:szCs w:val="24"/>
              </w:rPr>
            </w:pP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A0B13" w14:textId="77777777" w:rsidR="00782554" w:rsidRPr="00BE1AC5" w:rsidRDefault="00782554" w:rsidP="00E73B25">
            <w:pPr>
              <w:rPr>
                <w:rFonts w:eastAsia="Times New Roman" w:cs="Times New Roman"/>
                <w:color w:val="000000"/>
                <w:sz w:val="24"/>
                <w:szCs w:val="24"/>
              </w:rPr>
            </w:pPr>
            <w:r>
              <w:rPr>
                <w:rFonts w:eastAsia="Times New Roman" w:cs="Times New Roman"/>
                <w:color w:val="000000"/>
                <w:sz w:val="24"/>
                <w:szCs w:val="24"/>
              </w:rPr>
              <w:t>less</w:t>
            </w:r>
            <w:r w:rsidRPr="00BE1AC5">
              <w:rPr>
                <w:rFonts w:eastAsia="Times New Roman" w:cs="Times New Roman"/>
                <w:color w:val="000000"/>
                <w:sz w:val="24"/>
                <w:szCs w:val="24"/>
              </w:rPr>
              <w:t xml:space="preserve"> educated</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7AB5F" w14:textId="77777777" w:rsidR="00782554" w:rsidRPr="00BE1AC5" w:rsidRDefault="00782554" w:rsidP="00E73B25">
            <w:pPr>
              <w:rPr>
                <w:rFonts w:eastAsia="Times New Roman" w:cs="Times New Roman"/>
                <w:color w:val="000000"/>
                <w:sz w:val="24"/>
                <w:szCs w:val="24"/>
              </w:rPr>
            </w:pPr>
            <w:r>
              <w:rPr>
                <w:rFonts w:eastAsia="Times New Roman" w:cs="Times New Roman"/>
                <w:color w:val="000000"/>
                <w:sz w:val="24"/>
                <w:szCs w:val="24"/>
              </w:rPr>
              <w:t>more</w:t>
            </w:r>
            <w:r w:rsidRPr="00BE1AC5">
              <w:rPr>
                <w:rFonts w:eastAsia="Times New Roman" w:cs="Times New Roman"/>
                <w:color w:val="000000"/>
                <w:sz w:val="24"/>
                <w:szCs w:val="24"/>
              </w:rPr>
              <w:t xml:space="preserve"> educated</w:t>
            </w:r>
          </w:p>
        </w:tc>
        <w:tc>
          <w:tcPr>
            <w:tcW w:w="1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642B1" w14:textId="77777777" w:rsidR="00782554" w:rsidRPr="00BE1AC5" w:rsidRDefault="00782554" w:rsidP="00E73B25">
            <w:pPr>
              <w:rPr>
                <w:rFonts w:eastAsia="Times New Roman" w:cs="Times New Roman"/>
                <w:color w:val="000000"/>
                <w:sz w:val="24"/>
                <w:szCs w:val="24"/>
              </w:rPr>
            </w:pPr>
            <w:r>
              <w:rPr>
                <w:rFonts w:eastAsia="Times New Roman" w:cs="Times New Roman"/>
                <w:color w:val="000000"/>
                <w:sz w:val="24"/>
                <w:szCs w:val="24"/>
              </w:rPr>
              <w:t>less</w:t>
            </w:r>
            <w:r w:rsidRPr="00BE1AC5">
              <w:rPr>
                <w:rFonts w:eastAsia="Times New Roman" w:cs="Times New Roman"/>
                <w:color w:val="000000"/>
                <w:sz w:val="24"/>
                <w:szCs w:val="24"/>
              </w:rPr>
              <w:t xml:space="preserve"> educated</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93858" w14:textId="77777777" w:rsidR="00782554" w:rsidRPr="00BE1AC5" w:rsidRDefault="00782554" w:rsidP="00E73B25">
            <w:pPr>
              <w:rPr>
                <w:rFonts w:eastAsia="Times New Roman" w:cs="Times New Roman"/>
                <w:color w:val="000000"/>
                <w:sz w:val="24"/>
                <w:szCs w:val="24"/>
              </w:rPr>
            </w:pPr>
            <w:r>
              <w:rPr>
                <w:rFonts w:eastAsia="Times New Roman" w:cs="Times New Roman"/>
                <w:color w:val="000000"/>
                <w:sz w:val="24"/>
                <w:szCs w:val="24"/>
              </w:rPr>
              <w:t>more</w:t>
            </w:r>
            <w:r w:rsidRPr="00BE1AC5">
              <w:rPr>
                <w:rFonts w:eastAsia="Times New Roman" w:cs="Times New Roman"/>
                <w:color w:val="000000"/>
                <w:sz w:val="24"/>
                <w:szCs w:val="24"/>
              </w:rPr>
              <w:t xml:space="preserve"> educated</w:t>
            </w:r>
          </w:p>
        </w:tc>
      </w:tr>
      <w:tr w:rsidR="00782554" w:rsidRPr="00BE1AC5" w14:paraId="22A9C448" w14:textId="77777777" w:rsidTr="004A523D">
        <w:trPr>
          <w:trHeight w:val="307"/>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85A73"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age</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2D301"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71.2 (6.8)</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5B66B"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68.8 (6.6)</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3CD50"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72.8 (7.1)</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83082"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68.6 (6.8)</w:t>
            </w:r>
          </w:p>
        </w:tc>
      </w:tr>
      <w:tr w:rsidR="00782554" w:rsidRPr="00BE1AC5" w14:paraId="043356E4" w14:textId="77777777" w:rsidTr="004A523D">
        <w:trPr>
          <w:trHeight w:val="307"/>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BC03E"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grip strength</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AEC4E"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35.5 (9.1)</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847C0"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39.3 (8. 7)</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55B4D"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21.2 (5.9)</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C8EE8"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23.9 (5.9)</w:t>
            </w:r>
          </w:p>
        </w:tc>
      </w:tr>
      <w:tr w:rsidR="00782554" w:rsidRPr="00BE1AC5" w14:paraId="5549D9D9" w14:textId="77777777" w:rsidTr="004A523D">
        <w:trPr>
          <w:trHeight w:val="307"/>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91F00"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chair rise/min</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7295A"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25.8 (8.3)</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A402E"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29.2 (9.3)</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D006D"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25.1 (8.2)</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615A9"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28.1 (8.9)</w:t>
            </w:r>
          </w:p>
        </w:tc>
      </w:tr>
      <w:tr w:rsidR="00782554" w:rsidRPr="00BE1AC5" w14:paraId="725B03DC" w14:textId="77777777" w:rsidTr="004A523D">
        <w:trPr>
          <w:trHeight w:val="307"/>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7316D"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alive in 2012</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FE30A"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71.9%</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5B233"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83.9%</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237E0"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79.7%</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67533"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89.7%</w:t>
            </w:r>
          </w:p>
        </w:tc>
      </w:tr>
      <w:tr w:rsidR="00782554" w:rsidRPr="00BE1AC5" w14:paraId="4027106E" w14:textId="77777777" w:rsidTr="004A523D">
        <w:trPr>
          <w:trHeight w:val="147"/>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00310"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sample size</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24546"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1,046</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83458"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1,097</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CEA5C"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1,359</w:t>
            </w:r>
          </w:p>
        </w:tc>
        <w:tc>
          <w:tcPr>
            <w:tcW w:w="1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7B5D1" w14:textId="77777777" w:rsidR="00782554" w:rsidRPr="00BE1AC5" w:rsidRDefault="00782554" w:rsidP="00D62A5C">
            <w:pPr>
              <w:rPr>
                <w:rFonts w:eastAsia="Times New Roman" w:cs="Times New Roman"/>
                <w:color w:val="000000"/>
                <w:sz w:val="24"/>
                <w:szCs w:val="24"/>
              </w:rPr>
            </w:pPr>
            <w:r w:rsidRPr="00BE1AC5">
              <w:rPr>
                <w:rFonts w:eastAsia="Times New Roman" w:cs="Times New Roman"/>
                <w:color w:val="000000"/>
                <w:sz w:val="24"/>
                <w:szCs w:val="24"/>
              </w:rPr>
              <w:t>1,018</w:t>
            </w:r>
          </w:p>
        </w:tc>
      </w:tr>
    </w:tbl>
    <w:p w14:paraId="3CCADC16" w14:textId="77777777" w:rsidR="00B02326" w:rsidRDefault="00782554" w:rsidP="00B02326">
      <w:pPr>
        <w:autoSpaceDE w:val="0"/>
        <w:autoSpaceDN w:val="0"/>
        <w:adjustRightInd w:val="0"/>
      </w:pPr>
      <w:r>
        <w:rPr>
          <w:b/>
          <w:sz w:val="24"/>
          <w:szCs w:val="24"/>
        </w:rPr>
        <w:br w:type="page"/>
      </w:r>
    </w:p>
    <w:p w14:paraId="4D69FA61" w14:textId="0DFB7739" w:rsidR="00B02326" w:rsidRPr="00907107" w:rsidRDefault="00256174" w:rsidP="004A523D">
      <w:r w:rsidRPr="00907107">
        <w:lastRenderedPageBreak/>
        <w:t xml:space="preserve">Table </w:t>
      </w:r>
      <w:r>
        <w:t>3</w:t>
      </w:r>
      <w:r w:rsidRPr="00907107">
        <w:t>: Results from truncated regression (truncation point 11) for women's chair rise</w:t>
      </w:r>
    </w:p>
    <w:tbl>
      <w:tblPr>
        <w:tblW w:w="84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434"/>
        <w:gridCol w:w="1262"/>
        <w:gridCol w:w="1262"/>
        <w:gridCol w:w="1262"/>
        <w:gridCol w:w="1262"/>
      </w:tblGrid>
      <w:tr w:rsidR="00B02326" w:rsidRPr="00907107" w14:paraId="3079F1F3" w14:textId="77777777" w:rsidTr="004A523D">
        <w:trPr>
          <w:trHeight w:val="318"/>
        </w:trPr>
        <w:tc>
          <w:tcPr>
            <w:tcW w:w="1957" w:type="dxa"/>
            <w:shd w:val="clear" w:color="auto" w:fill="auto"/>
            <w:noWrap/>
            <w:vAlign w:val="bottom"/>
            <w:hideMark/>
          </w:tcPr>
          <w:p w14:paraId="75B73287" w14:textId="77777777" w:rsidR="00B02326" w:rsidRPr="004A523D" w:rsidRDefault="00B02326" w:rsidP="004A523D">
            <w:pPr>
              <w:rPr>
                <w:rFonts w:ascii="Calibri" w:eastAsia="Times New Roman" w:hAnsi="Calibri" w:cs="Times New Roman"/>
                <w:color w:val="000000"/>
                <w:sz w:val="24"/>
              </w:rPr>
            </w:pPr>
          </w:p>
        </w:tc>
        <w:tc>
          <w:tcPr>
            <w:tcW w:w="1434" w:type="dxa"/>
            <w:shd w:val="clear" w:color="auto" w:fill="auto"/>
            <w:noWrap/>
            <w:vAlign w:val="bottom"/>
            <w:hideMark/>
          </w:tcPr>
          <w:p w14:paraId="101A5656"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estimate</w:t>
            </w:r>
          </w:p>
        </w:tc>
        <w:tc>
          <w:tcPr>
            <w:tcW w:w="1262" w:type="dxa"/>
            <w:shd w:val="clear" w:color="auto" w:fill="auto"/>
            <w:noWrap/>
            <w:vAlign w:val="bottom"/>
            <w:hideMark/>
          </w:tcPr>
          <w:p w14:paraId="5D6EED4B"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S.E.</w:t>
            </w:r>
          </w:p>
        </w:tc>
        <w:tc>
          <w:tcPr>
            <w:tcW w:w="1262" w:type="dxa"/>
            <w:shd w:val="clear" w:color="auto" w:fill="auto"/>
            <w:noWrap/>
            <w:vAlign w:val="bottom"/>
            <w:hideMark/>
          </w:tcPr>
          <w:p w14:paraId="03923E1A"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t-value</w:t>
            </w:r>
          </w:p>
        </w:tc>
        <w:tc>
          <w:tcPr>
            <w:tcW w:w="1262" w:type="dxa"/>
            <w:shd w:val="clear" w:color="auto" w:fill="auto"/>
            <w:noWrap/>
            <w:vAlign w:val="bottom"/>
            <w:hideMark/>
          </w:tcPr>
          <w:p w14:paraId="1C65157C"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Pr(&gt;|t|)</w:t>
            </w:r>
          </w:p>
        </w:tc>
        <w:tc>
          <w:tcPr>
            <w:tcW w:w="1262" w:type="dxa"/>
            <w:shd w:val="clear" w:color="auto" w:fill="auto"/>
            <w:noWrap/>
            <w:vAlign w:val="bottom"/>
            <w:hideMark/>
          </w:tcPr>
          <w:p w14:paraId="6CF5E5B3" w14:textId="77777777" w:rsidR="00B02326" w:rsidRPr="004A523D" w:rsidRDefault="00B02326" w:rsidP="004A523D">
            <w:pPr>
              <w:rPr>
                <w:rFonts w:ascii="Calibri" w:eastAsia="Times New Roman" w:hAnsi="Calibri" w:cs="Times New Roman"/>
                <w:color w:val="000000"/>
                <w:sz w:val="24"/>
              </w:rPr>
            </w:pPr>
          </w:p>
        </w:tc>
      </w:tr>
      <w:tr w:rsidR="00B02326" w:rsidRPr="00907107" w14:paraId="7BE4AA29" w14:textId="77777777" w:rsidTr="004A523D">
        <w:trPr>
          <w:trHeight w:val="318"/>
        </w:trPr>
        <w:tc>
          <w:tcPr>
            <w:tcW w:w="1957" w:type="dxa"/>
            <w:shd w:val="clear" w:color="auto" w:fill="auto"/>
            <w:noWrap/>
            <w:vAlign w:val="bottom"/>
            <w:hideMark/>
          </w:tcPr>
          <w:p w14:paraId="5143BCBC"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intercept</w:t>
            </w:r>
          </w:p>
        </w:tc>
        <w:tc>
          <w:tcPr>
            <w:tcW w:w="1434" w:type="dxa"/>
            <w:shd w:val="clear" w:color="auto" w:fill="auto"/>
            <w:noWrap/>
            <w:vAlign w:val="bottom"/>
            <w:hideMark/>
          </w:tcPr>
          <w:p w14:paraId="2EAC60C0"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39.37</w:t>
            </w:r>
          </w:p>
        </w:tc>
        <w:tc>
          <w:tcPr>
            <w:tcW w:w="1262" w:type="dxa"/>
            <w:shd w:val="clear" w:color="auto" w:fill="auto"/>
            <w:noWrap/>
            <w:vAlign w:val="bottom"/>
            <w:hideMark/>
          </w:tcPr>
          <w:p w14:paraId="2608612C"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1.33</w:t>
            </w:r>
          </w:p>
        </w:tc>
        <w:tc>
          <w:tcPr>
            <w:tcW w:w="1262" w:type="dxa"/>
            <w:shd w:val="clear" w:color="auto" w:fill="auto"/>
            <w:noWrap/>
            <w:vAlign w:val="bottom"/>
            <w:hideMark/>
          </w:tcPr>
          <w:p w14:paraId="2A848A09"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29.51</w:t>
            </w:r>
          </w:p>
        </w:tc>
        <w:tc>
          <w:tcPr>
            <w:tcW w:w="1262" w:type="dxa"/>
            <w:shd w:val="clear" w:color="auto" w:fill="auto"/>
            <w:noWrap/>
            <w:vAlign w:val="bottom"/>
            <w:hideMark/>
          </w:tcPr>
          <w:p w14:paraId="39B045D3"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&lt; 2.2e-16</w:t>
            </w:r>
          </w:p>
        </w:tc>
        <w:tc>
          <w:tcPr>
            <w:tcW w:w="1262" w:type="dxa"/>
            <w:shd w:val="clear" w:color="auto" w:fill="auto"/>
            <w:noWrap/>
            <w:vAlign w:val="bottom"/>
            <w:hideMark/>
          </w:tcPr>
          <w:p w14:paraId="3A737F3A"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07107" w14:paraId="31CD925D" w14:textId="77777777" w:rsidTr="004A523D">
        <w:trPr>
          <w:trHeight w:val="318"/>
        </w:trPr>
        <w:tc>
          <w:tcPr>
            <w:tcW w:w="1957" w:type="dxa"/>
            <w:shd w:val="clear" w:color="auto" w:fill="auto"/>
            <w:noWrap/>
            <w:vAlign w:val="bottom"/>
            <w:hideMark/>
          </w:tcPr>
          <w:p w14:paraId="0E60DBC9"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age</w:t>
            </w:r>
          </w:p>
        </w:tc>
        <w:tc>
          <w:tcPr>
            <w:tcW w:w="1434" w:type="dxa"/>
            <w:shd w:val="clear" w:color="auto" w:fill="auto"/>
            <w:noWrap/>
            <w:vAlign w:val="bottom"/>
            <w:hideMark/>
          </w:tcPr>
          <w:p w14:paraId="34DC6F48"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-0.56</w:t>
            </w:r>
          </w:p>
        </w:tc>
        <w:tc>
          <w:tcPr>
            <w:tcW w:w="1262" w:type="dxa"/>
            <w:shd w:val="clear" w:color="auto" w:fill="auto"/>
            <w:noWrap/>
            <w:vAlign w:val="bottom"/>
            <w:hideMark/>
          </w:tcPr>
          <w:p w14:paraId="07A5FF04"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0.04</w:t>
            </w:r>
          </w:p>
        </w:tc>
        <w:tc>
          <w:tcPr>
            <w:tcW w:w="1262" w:type="dxa"/>
            <w:shd w:val="clear" w:color="auto" w:fill="auto"/>
            <w:noWrap/>
            <w:vAlign w:val="bottom"/>
            <w:hideMark/>
          </w:tcPr>
          <w:p w14:paraId="0634F879"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-15.42</w:t>
            </w:r>
          </w:p>
        </w:tc>
        <w:tc>
          <w:tcPr>
            <w:tcW w:w="1262" w:type="dxa"/>
            <w:shd w:val="clear" w:color="auto" w:fill="auto"/>
            <w:noWrap/>
            <w:vAlign w:val="bottom"/>
            <w:hideMark/>
          </w:tcPr>
          <w:p w14:paraId="392D0064"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&lt; 2.2e-16</w:t>
            </w:r>
          </w:p>
        </w:tc>
        <w:tc>
          <w:tcPr>
            <w:tcW w:w="1262" w:type="dxa"/>
            <w:shd w:val="clear" w:color="auto" w:fill="auto"/>
            <w:noWrap/>
            <w:vAlign w:val="bottom"/>
            <w:hideMark/>
          </w:tcPr>
          <w:p w14:paraId="0E74CC48"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07107" w14:paraId="34464028" w14:textId="77777777" w:rsidTr="004A523D">
        <w:trPr>
          <w:trHeight w:val="318"/>
        </w:trPr>
        <w:tc>
          <w:tcPr>
            <w:tcW w:w="1957" w:type="dxa"/>
            <w:shd w:val="clear" w:color="auto" w:fill="auto"/>
            <w:noWrap/>
            <w:vAlign w:val="bottom"/>
            <w:hideMark/>
          </w:tcPr>
          <w:p w14:paraId="3674DA12"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more educated</w:t>
            </w:r>
          </w:p>
        </w:tc>
        <w:tc>
          <w:tcPr>
            <w:tcW w:w="1434" w:type="dxa"/>
            <w:shd w:val="clear" w:color="auto" w:fill="auto"/>
            <w:noWrap/>
            <w:vAlign w:val="bottom"/>
            <w:hideMark/>
          </w:tcPr>
          <w:p w14:paraId="3BDEA7AD"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1.71</w:t>
            </w:r>
          </w:p>
        </w:tc>
        <w:tc>
          <w:tcPr>
            <w:tcW w:w="1262" w:type="dxa"/>
            <w:shd w:val="clear" w:color="auto" w:fill="auto"/>
            <w:noWrap/>
            <w:vAlign w:val="bottom"/>
            <w:hideMark/>
          </w:tcPr>
          <w:p w14:paraId="67D36818"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0.45</w:t>
            </w:r>
          </w:p>
        </w:tc>
        <w:tc>
          <w:tcPr>
            <w:tcW w:w="1262" w:type="dxa"/>
            <w:shd w:val="clear" w:color="auto" w:fill="auto"/>
            <w:noWrap/>
            <w:vAlign w:val="bottom"/>
            <w:hideMark/>
          </w:tcPr>
          <w:p w14:paraId="344D4F2A"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3.8</w:t>
            </w:r>
          </w:p>
        </w:tc>
        <w:tc>
          <w:tcPr>
            <w:tcW w:w="1262" w:type="dxa"/>
            <w:shd w:val="clear" w:color="auto" w:fill="auto"/>
            <w:noWrap/>
            <w:vAlign w:val="bottom"/>
            <w:hideMark/>
          </w:tcPr>
          <w:p w14:paraId="14E2CE0F"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1.5E-04</w:t>
            </w:r>
          </w:p>
        </w:tc>
        <w:tc>
          <w:tcPr>
            <w:tcW w:w="1262" w:type="dxa"/>
            <w:shd w:val="clear" w:color="auto" w:fill="auto"/>
            <w:noWrap/>
            <w:vAlign w:val="bottom"/>
            <w:hideMark/>
          </w:tcPr>
          <w:p w14:paraId="5C07DA15"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07107" w14:paraId="38F6A92E" w14:textId="77777777" w:rsidTr="004A523D">
        <w:trPr>
          <w:trHeight w:val="318"/>
        </w:trPr>
        <w:tc>
          <w:tcPr>
            <w:tcW w:w="1957" w:type="dxa"/>
            <w:shd w:val="clear" w:color="auto" w:fill="auto"/>
            <w:noWrap/>
            <w:vAlign w:val="bottom"/>
            <w:hideMark/>
          </w:tcPr>
          <w:p w14:paraId="061800EC"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weight</w:t>
            </w:r>
          </w:p>
        </w:tc>
        <w:tc>
          <w:tcPr>
            <w:tcW w:w="1434" w:type="dxa"/>
            <w:shd w:val="clear" w:color="auto" w:fill="auto"/>
            <w:noWrap/>
            <w:vAlign w:val="bottom"/>
            <w:hideMark/>
          </w:tcPr>
          <w:p w14:paraId="61E80EA9"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-0.13</w:t>
            </w:r>
          </w:p>
        </w:tc>
        <w:tc>
          <w:tcPr>
            <w:tcW w:w="1262" w:type="dxa"/>
            <w:shd w:val="clear" w:color="auto" w:fill="auto"/>
            <w:noWrap/>
            <w:vAlign w:val="bottom"/>
            <w:hideMark/>
          </w:tcPr>
          <w:p w14:paraId="1E875AB0"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0.02</w:t>
            </w:r>
          </w:p>
        </w:tc>
        <w:tc>
          <w:tcPr>
            <w:tcW w:w="1262" w:type="dxa"/>
            <w:shd w:val="clear" w:color="auto" w:fill="auto"/>
            <w:noWrap/>
            <w:vAlign w:val="bottom"/>
            <w:hideMark/>
          </w:tcPr>
          <w:p w14:paraId="49AEDDFD"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-7.75</w:t>
            </w:r>
          </w:p>
        </w:tc>
        <w:tc>
          <w:tcPr>
            <w:tcW w:w="1262" w:type="dxa"/>
            <w:shd w:val="clear" w:color="auto" w:fill="auto"/>
            <w:noWrap/>
            <w:vAlign w:val="bottom"/>
            <w:hideMark/>
          </w:tcPr>
          <w:p w14:paraId="54871AC3"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9.10E-15</w:t>
            </w:r>
          </w:p>
        </w:tc>
        <w:tc>
          <w:tcPr>
            <w:tcW w:w="1262" w:type="dxa"/>
            <w:shd w:val="clear" w:color="auto" w:fill="auto"/>
            <w:noWrap/>
            <w:vAlign w:val="bottom"/>
            <w:hideMark/>
          </w:tcPr>
          <w:p w14:paraId="5E1A7B3D"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07107" w14:paraId="316FEB54" w14:textId="77777777" w:rsidTr="004A523D">
        <w:trPr>
          <w:trHeight w:val="318"/>
        </w:trPr>
        <w:tc>
          <w:tcPr>
            <w:tcW w:w="1957" w:type="dxa"/>
            <w:shd w:val="clear" w:color="auto" w:fill="auto"/>
            <w:noWrap/>
            <w:vAlign w:val="bottom"/>
            <w:hideMark/>
          </w:tcPr>
          <w:p w14:paraId="69C51144"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sigma</w:t>
            </w:r>
          </w:p>
        </w:tc>
        <w:tc>
          <w:tcPr>
            <w:tcW w:w="1434" w:type="dxa"/>
            <w:shd w:val="clear" w:color="auto" w:fill="auto"/>
            <w:noWrap/>
            <w:vAlign w:val="bottom"/>
            <w:hideMark/>
          </w:tcPr>
          <w:p w14:paraId="48344973"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8.63</w:t>
            </w:r>
          </w:p>
        </w:tc>
        <w:tc>
          <w:tcPr>
            <w:tcW w:w="1262" w:type="dxa"/>
            <w:shd w:val="clear" w:color="auto" w:fill="auto"/>
            <w:noWrap/>
            <w:vAlign w:val="bottom"/>
            <w:hideMark/>
          </w:tcPr>
          <w:p w14:paraId="18F2A243"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0.19</w:t>
            </w:r>
          </w:p>
        </w:tc>
        <w:tc>
          <w:tcPr>
            <w:tcW w:w="1262" w:type="dxa"/>
            <w:shd w:val="clear" w:color="auto" w:fill="auto"/>
            <w:noWrap/>
            <w:vAlign w:val="bottom"/>
            <w:hideMark/>
          </w:tcPr>
          <w:p w14:paraId="2F47A3E1"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46.06</w:t>
            </w:r>
          </w:p>
        </w:tc>
        <w:tc>
          <w:tcPr>
            <w:tcW w:w="1262" w:type="dxa"/>
            <w:shd w:val="clear" w:color="auto" w:fill="auto"/>
            <w:noWrap/>
            <w:vAlign w:val="bottom"/>
            <w:hideMark/>
          </w:tcPr>
          <w:p w14:paraId="6A66C9C6"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&lt; 2.2e-16</w:t>
            </w:r>
          </w:p>
        </w:tc>
        <w:tc>
          <w:tcPr>
            <w:tcW w:w="1262" w:type="dxa"/>
            <w:shd w:val="clear" w:color="auto" w:fill="auto"/>
            <w:noWrap/>
            <w:vAlign w:val="bottom"/>
            <w:hideMark/>
          </w:tcPr>
          <w:p w14:paraId="0457A55F"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bl>
    <w:p w14:paraId="2DA3C9BD" w14:textId="77777777" w:rsidR="00B02326" w:rsidRDefault="00B02326" w:rsidP="00256174">
      <w:r>
        <w:t xml:space="preserve">Note: </w:t>
      </w:r>
      <w:r w:rsidRPr="0038080F">
        <w:t>* p&lt;0.</w:t>
      </w:r>
      <w:r>
        <w:t>05</w:t>
      </w:r>
      <w:r w:rsidRPr="0038080F">
        <w:t>; ** p&lt;0.0</w:t>
      </w:r>
      <w:r>
        <w:t>1</w:t>
      </w:r>
      <w:r w:rsidRPr="0038080F">
        <w:t>; *** p&lt;0.0</w:t>
      </w:r>
      <w:r>
        <w:t>01</w:t>
      </w:r>
      <w:r w:rsidRPr="0038080F">
        <w:t>.</w:t>
      </w:r>
    </w:p>
    <w:p w14:paraId="2B85EB76" w14:textId="77777777" w:rsidR="00941B30" w:rsidRDefault="00941B30">
      <w:r>
        <w:br w:type="page"/>
      </w:r>
    </w:p>
    <w:p w14:paraId="48CC8486" w14:textId="601BF4A9" w:rsidR="00B02326" w:rsidRPr="00907107" w:rsidRDefault="00941B30" w:rsidP="004A523D">
      <w:r w:rsidRPr="00907107">
        <w:lastRenderedPageBreak/>
        <w:t xml:space="preserve">Table </w:t>
      </w:r>
      <w:r>
        <w:t>4</w:t>
      </w:r>
      <w:r w:rsidRPr="00907107">
        <w:t>: Results from truncated regression (truncation point 11) for men's chair rise</w:t>
      </w:r>
    </w:p>
    <w:tbl>
      <w:tblPr>
        <w:tblW w:w="8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328"/>
        <w:gridCol w:w="1275"/>
        <w:gridCol w:w="1275"/>
        <w:gridCol w:w="1275"/>
        <w:gridCol w:w="1275"/>
      </w:tblGrid>
      <w:tr w:rsidR="00B02326" w:rsidRPr="00941B30" w14:paraId="6272850A" w14:textId="77777777" w:rsidTr="004A523D">
        <w:trPr>
          <w:trHeight w:val="275"/>
        </w:trPr>
        <w:tc>
          <w:tcPr>
            <w:tcW w:w="1977" w:type="dxa"/>
            <w:shd w:val="clear" w:color="auto" w:fill="auto"/>
            <w:noWrap/>
            <w:vAlign w:val="bottom"/>
            <w:hideMark/>
          </w:tcPr>
          <w:p w14:paraId="6904E151" w14:textId="77777777" w:rsidR="00B02326" w:rsidRPr="004A523D" w:rsidRDefault="00B02326" w:rsidP="004A523D">
            <w:pPr>
              <w:jc w:val="right"/>
              <w:rPr>
                <w:rFonts w:ascii="Calibri" w:eastAsia="Times New Roman" w:hAnsi="Calibri" w:cs="Times New Roman"/>
                <w:color w:val="000000"/>
                <w:sz w:val="24"/>
              </w:rPr>
            </w:pPr>
          </w:p>
        </w:tc>
        <w:tc>
          <w:tcPr>
            <w:tcW w:w="1328" w:type="dxa"/>
            <w:shd w:val="clear" w:color="auto" w:fill="auto"/>
            <w:noWrap/>
            <w:vAlign w:val="bottom"/>
            <w:hideMark/>
          </w:tcPr>
          <w:p w14:paraId="7B44DC0E"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estimate</w:t>
            </w:r>
          </w:p>
        </w:tc>
        <w:tc>
          <w:tcPr>
            <w:tcW w:w="1275" w:type="dxa"/>
            <w:shd w:val="clear" w:color="auto" w:fill="auto"/>
            <w:noWrap/>
            <w:vAlign w:val="bottom"/>
            <w:hideMark/>
          </w:tcPr>
          <w:p w14:paraId="1BBAFA0D"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S.E.</w:t>
            </w:r>
          </w:p>
        </w:tc>
        <w:tc>
          <w:tcPr>
            <w:tcW w:w="1275" w:type="dxa"/>
            <w:shd w:val="clear" w:color="auto" w:fill="auto"/>
            <w:noWrap/>
            <w:vAlign w:val="bottom"/>
            <w:hideMark/>
          </w:tcPr>
          <w:p w14:paraId="6F178D07"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t-value</w:t>
            </w:r>
          </w:p>
        </w:tc>
        <w:tc>
          <w:tcPr>
            <w:tcW w:w="1275" w:type="dxa"/>
            <w:shd w:val="clear" w:color="auto" w:fill="auto"/>
            <w:noWrap/>
            <w:vAlign w:val="bottom"/>
            <w:hideMark/>
          </w:tcPr>
          <w:p w14:paraId="758A2A3E"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Pr(&gt;|t|)</w:t>
            </w:r>
          </w:p>
        </w:tc>
        <w:tc>
          <w:tcPr>
            <w:tcW w:w="1275" w:type="dxa"/>
            <w:shd w:val="clear" w:color="auto" w:fill="auto"/>
            <w:noWrap/>
            <w:vAlign w:val="bottom"/>
            <w:hideMark/>
          </w:tcPr>
          <w:p w14:paraId="50839185" w14:textId="77777777" w:rsidR="00B02326" w:rsidRPr="004A523D" w:rsidRDefault="00B02326" w:rsidP="004A523D">
            <w:pPr>
              <w:rPr>
                <w:rFonts w:ascii="Calibri" w:eastAsia="Times New Roman" w:hAnsi="Calibri" w:cs="Times New Roman"/>
                <w:color w:val="000000"/>
                <w:sz w:val="24"/>
              </w:rPr>
            </w:pPr>
          </w:p>
        </w:tc>
      </w:tr>
      <w:tr w:rsidR="00B02326" w:rsidRPr="00941B30" w14:paraId="64766C63" w14:textId="77777777" w:rsidTr="004A523D">
        <w:trPr>
          <w:trHeight w:val="275"/>
        </w:trPr>
        <w:tc>
          <w:tcPr>
            <w:tcW w:w="1977" w:type="dxa"/>
            <w:shd w:val="clear" w:color="auto" w:fill="auto"/>
            <w:noWrap/>
            <w:vAlign w:val="bottom"/>
            <w:hideMark/>
          </w:tcPr>
          <w:p w14:paraId="5E66B5C9"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intercept</w:t>
            </w:r>
          </w:p>
        </w:tc>
        <w:tc>
          <w:tcPr>
            <w:tcW w:w="1328" w:type="dxa"/>
            <w:shd w:val="clear" w:color="auto" w:fill="auto"/>
            <w:noWrap/>
            <w:vAlign w:val="bottom"/>
            <w:hideMark/>
          </w:tcPr>
          <w:p w14:paraId="2558C21A"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39.45</w:t>
            </w:r>
          </w:p>
        </w:tc>
        <w:tc>
          <w:tcPr>
            <w:tcW w:w="1275" w:type="dxa"/>
            <w:shd w:val="clear" w:color="auto" w:fill="auto"/>
            <w:noWrap/>
            <w:vAlign w:val="bottom"/>
            <w:hideMark/>
          </w:tcPr>
          <w:p w14:paraId="591B305E"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1.75</w:t>
            </w:r>
          </w:p>
        </w:tc>
        <w:tc>
          <w:tcPr>
            <w:tcW w:w="1275" w:type="dxa"/>
            <w:shd w:val="clear" w:color="auto" w:fill="auto"/>
            <w:noWrap/>
            <w:vAlign w:val="bottom"/>
            <w:hideMark/>
          </w:tcPr>
          <w:p w14:paraId="031B6696"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22.59</w:t>
            </w:r>
          </w:p>
        </w:tc>
        <w:tc>
          <w:tcPr>
            <w:tcW w:w="1275" w:type="dxa"/>
            <w:shd w:val="clear" w:color="auto" w:fill="auto"/>
            <w:noWrap/>
            <w:vAlign w:val="bottom"/>
            <w:hideMark/>
          </w:tcPr>
          <w:p w14:paraId="4D3B3333"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&lt; 2.2e-16</w:t>
            </w:r>
          </w:p>
        </w:tc>
        <w:tc>
          <w:tcPr>
            <w:tcW w:w="1275" w:type="dxa"/>
            <w:shd w:val="clear" w:color="auto" w:fill="auto"/>
            <w:noWrap/>
            <w:vAlign w:val="bottom"/>
            <w:hideMark/>
          </w:tcPr>
          <w:p w14:paraId="732819E5"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41B30" w14:paraId="7406D8E5" w14:textId="77777777" w:rsidTr="004A523D">
        <w:trPr>
          <w:trHeight w:val="275"/>
        </w:trPr>
        <w:tc>
          <w:tcPr>
            <w:tcW w:w="1977" w:type="dxa"/>
            <w:shd w:val="clear" w:color="auto" w:fill="auto"/>
            <w:noWrap/>
            <w:vAlign w:val="bottom"/>
            <w:hideMark/>
          </w:tcPr>
          <w:p w14:paraId="2E28F818"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age</w:t>
            </w:r>
          </w:p>
        </w:tc>
        <w:tc>
          <w:tcPr>
            <w:tcW w:w="1328" w:type="dxa"/>
            <w:shd w:val="clear" w:color="auto" w:fill="auto"/>
            <w:noWrap/>
            <w:vAlign w:val="bottom"/>
            <w:hideMark/>
          </w:tcPr>
          <w:p w14:paraId="74C27A4C"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-0.56</w:t>
            </w:r>
          </w:p>
        </w:tc>
        <w:tc>
          <w:tcPr>
            <w:tcW w:w="1275" w:type="dxa"/>
            <w:shd w:val="clear" w:color="auto" w:fill="auto"/>
            <w:noWrap/>
            <w:vAlign w:val="bottom"/>
            <w:hideMark/>
          </w:tcPr>
          <w:p w14:paraId="63DA9DAF"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0.04</w:t>
            </w:r>
          </w:p>
        </w:tc>
        <w:tc>
          <w:tcPr>
            <w:tcW w:w="1275" w:type="dxa"/>
            <w:shd w:val="clear" w:color="auto" w:fill="auto"/>
            <w:noWrap/>
            <w:vAlign w:val="bottom"/>
            <w:hideMark/>
          </w:tcPr>
          <w:p w14:paraId="54E027F4"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-13.88</w:t>
            </w:r>
          </w:p>
        </w:tc>
        <w:tc>
          <w:tcPr>
            <w:tcW w:w="1275" w:type="dxa"/>
            <w:shd w:val="clear" w:color="auto" w:fill="auto"/>
            <w:noWrap/>
            <w:vAlign w:val="bottom"/>
            <w:hideMark/>
          </w:tcPr>
          <w:p w14:paraId="36698C44"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&lt; 2.2e-16</w:t>
            </w:r>
          </w:p>
        </w:tc>
        <w:tc>
          <w:tcPr>
            <w:tcW w:w="1275" w:type="dxa"/>
            <w:shd w:val="clear" w:color="auto" w:fill="auto"/>
            <w:noWrap/>
            <w:vAlign w:val="bottom"/>
            <w:hideMark/>
          </w:tcPr>
          <w:p w14:paraId="0A36D144"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41B30" w14:paraId="69C15E2A" w14:textId="77777777" w:rsidTr="004A523D">
        <w:trPr>
          <w:trHeight w:val="275"/>
        </w:trPr>
        <w:tc>
          <w:tcPr>
            <w:tcW w:w="1977" w:type="dxa"/>
            <w:shd w:val="clear" w:color="auto" w:fill="auto"/>
            <w:noWrap/>
            <w:vAlign w:val="bottom"/>
            <w:hideMark/>
          </w:tcPr>
          <w:p w14:paraId="45BBB610"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more educated</w:t>
            </w:r>
          </w:p>
        </w:tc>
        <w:tc>
          <w:tcPr>
            <w:tcW w:w="1328" w:type="dxa"/>
            <w:shd w:val="clear" w:color="auto" w:fill="auto"/>
            <w:noWrap/>
            <w:vAlign w:val="bottom"/>
            <w:hideMark/>
          </w:tcPr>
          <w:p w14:paraId="4D445ACE"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2.94</w:t>
            </w:r>
          </w:p>
        </w:tc>
        <w:tc>
          <w:tcPr>
            <w:tcW w:w="1275" w:type="dxa"/>
            <w:shd w:val="clear" w:color="auto" w:fill="auto"/>
            <w:noWrap/>
            <w:vAlign w:val="bottom"/>
            <w:hideMark/>
          </w:tcPr>
          <w:p w14:paraId="525C6641"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0.50</w:t>
            </w:r>
          </w:p>
        </w:tc>
        <w:tc>
          <w:tcPr>
            <w:tcW w:w="1275" w:type="dxa"/>
            <w:shd w:val="clear" w:color="auto" w:fill="auto"/>
            <w:noWrap/>
            <w:vAlign w:val="bottom"/>
            <w:hideMark/>
          </w:tcPr>
          <w:p w14:paraId="3DCBA826"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5.88</w:t>
            </w:r>
          </w:p>
        </w:tc>
        <w:tc>
          <w:tcPr>
            <w:tcW w:w="1275" w:type="dxa"/>
            <w:shd w:val="clear" w:color="auto" w:fill="auto"/>
            <w:noWrap/>
            <w:vAlign w:val="bottom"/>
            <w:hideMark/>
          </w:tcPr>
          <w:p w14:paraId="48FEA028"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4.19E-09</w:t>
            </w:r>
          </w:p>
        </w:tc>
        <w:tc>
          <w:tcPr>
            <w:tcW w:w="1275" w:type="dxa"/>
            <w:shd w:val="clear" w:color="auto" w:fill="auto"/>
            <w:noWrap/>
            <w:vAlign w:val="bottom"/>
            <w:hideMark/>
          </w:tcPr>
          <w:p w14:paraId="6B52FD03"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41B30" w14:paraId="2F4FC7A3" w14:textId="77777777" w:rsidTr="004A523D">
        <w:trPr>
          <w:trHeight w:val="275"/>
        </w:trPr>
        <w:tc>
          <w:tcPr>
            <w:tcW w:w="1977" w:type="dxa"/>
            <w:shd w:val="clear" w:color="auto" w:fill="auto"/>
            <w:noWrap/>
            <w:vAlign w:val="bottom"/>
            <w:hideMark/>
          </w:tcPr>
          <w:p w14:paraId="3A4657AF"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weight</w:t>
            </w:r>
          </w:p>
        </w:tc>
        <w:tc>
          <w:tcPr>
            <w:tcW w:w="1328" w:type="dxa"/>
            <w:shd w:val="clear" w:color="auto" w:fill="auto"/>
            <w:noWrap/>
            <w:vAlign w:val="bottom"/>
            <w:hideMark/>
          </w:tcPr>
          <w:p w14:paraId="379EBA07"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-0.11</w:t>
            </w:r>
          </w:p>
        </w:tc>
        <w:tc>
          <w:tcPr>
            <w:tcW w:w="1275" w:type="dxa"/>
            <w:shd w:val="clear" w:color="auto" w:fill="auto"/>
            <w:noWrap/>
            <w:vAlign w:val="bottom"/>
            <w:hideMark/>
          </w:tcPr>
          <w:p w14:paraId="5F537622"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0.02</w:t>
            </w:r>
          </w:p>
        </w:tc>
        <w:tc>
          <w:tcPr>
            <w:tcW w:w="1275" w:type="dxa"/>
            <w:shd w:val="clear" w:color="auto" w:fill="auto"/>
            <w:noWrap/>
            <w:vAlign w:val="bottom"/>
            <w:hideMark/>
          </w:tcPr>
          <w:p w14:paraId="1FE7DD28"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-5.59</w:t>
            </w:r>
          </w:p>
        </w:tc>
        <w:tc>
          <w:tcPr>
            <w:tcW w:w="1275" w:type="dxa"/>
            <w:shd w:val="clear" w:color="auto" w:fill="auto"/>
            <w:noWrap/>
            <w:vAlign w:val="bottom"/>
            <w:hideMark/>
          </w:tcPr>
          <w:p w14:paraId="1D1C031A"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2.22E-08</w:t>
            </w:r>
          </w:p>
        </w:tc>
        <w:tc>
          <w:tcPr>
            <w:tcW w:w="1275" w:type="dxa"/>
            <w:shd w:val="clear" w:color="auto" w:fill="auto"/>
            <w:noWrap/>
            <w:vAlign w:val="bottom"/>
            <w:hideMark/>
          </w:tcPr>
          <w:p w14:paraId="56AFBF6E"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41B30" w14:paraId="4FC9E337" w14:textId="77777777" w:rsidTr="004A523D">
        <w:trPr>
          <w:trHeight w:val="275"/>
        </w:trPr>
        <w:tc>
          <w:tcPr>
            <w:tcW w:w="1977" w:type="dxa"/>
            <w:shd w:val="clear" w:color="auto" w:fill="auto"/>
            <w:noWrap/>
            <w:vAlign w:val="bottom"/>
            <w:hideMark/>
          </w:tcPr>
          <w:p w14:paraId="22AA888A"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sigma</w:t>
            </w:r>
          </w:p>
        </w:tc>
        <w:tc>
          <w:tcPr>
            <w:tcW w:w="1328" w:type="dxa"/>
            <w:shd w:val="clear" w:color="auto" w:fill="auto"/>
            <w:noWrap/>
            <w:vAlign w:val="bottom"/>
            <w:hideMark/>
          </w:tcPr>
          <w:p w14:paraId="0344E530"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9.18</w:t>
            </w:r>
          </w:p>
        </w:tc>
        <w:tc>
          <w:tcPr>
            <w:tcW w:w="1275" w:type="dxa"/>
            <w:shd w:val="clear" w:color="auto" w:fill="auto"/>
            <w:noWrap/>
            <w:vAlign w:val="bottom"/>
            <w:hideMark/>
          </w:tcPr>
          <w:p w14:paraId="051907C1"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0.20</w:t>
            </w:r>
          </w:p>
        </w:tc>
        <w:tc>
          <w:tcPr>
            <w:tcW w:w="1275" w:type="dxa"/>
            <w:shd w:val="clear" w:color="auto" w:fill="auto"/>
            <w:noWrap/>
            <w:vAlign w:val="bottom"/>
            <w:hideMark/>
          </w:tcPr>
          <w:p w14:paraId="2C4B3C20"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44.</w:t>
            </w:r>
          </w:p>
        </w:tc>
        <w:tc>
          <w:tcPr>
            <w:tcW w:w="1275" w:type="dxa"/>
            <w:shd w:val="clear" w:color="auto" w:fill="auto"/>
            <w:noWrap/>
            <w:vAlign w:val="bottom"/>
            <w:hideMark/>
          </w:tcPr>
          <w:p w14:paraId="5D4E6D42"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&lt; 2.2e-16</w:t>
            </w:r>
          </w:p>
        </w:tc>
        <w:tc>
          <w:tcPr>
            <w:tcW w:w="1275" w:type="dxa"/>
            <w:shd w:val="clear" w:color="auto" w:fill="auto"/>
            <w:noWrap/>
            <w:vAlign w:val="bottom"/>
            <w:hideMark/>
          </w:tcPr>
          <w:p w14:paraId="24C25F2C"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bl>
    <w:p w14:paraId="0F1E92B8" w14:textId="77777777" w:rsidR="00B02326" w:rsidRDefault="00B02326" w:rsidP="00B02326">
      <w:r>
        <w:t xml:space="preserve">Note: </w:t>
      </w:r>
      <w:r w:rsidRPr="0038080F">
        <w:t>* p&lt;0.</w:t>
      </w:r>
      <w:r>
        <w:t>05</w:t>
      </w:r>
      <w:r w:rsidRPr="0038080F">
        <w:t>; ** p&lt;0.0</w:t>
      </w:r>
      <w:r>
        <w:t>1</w:t>
      </w:r>
      <w:r w:rsidRPr="0038080F">
        <w:t>; *** p&lt;0.0</w:t>
      </w:r>
      <w:r>
        <w:t>01</w:t>
      </w:r>
      <w:r w:rsidRPr="0038080F">
        <w:t>.</w:t>
      </w:r>
    </w:p>
    <w:p w14:paraId="5CEDD7E5" w14:textId="77777777" w:rsidR="00941B30" w:rsidRDefault="00941B30">
      <w:r>
        <w:br w:type="page"/>
      </w:r>
    </w:p>
    <w:p w14:paraId="533F3C12" w14:textId="41A47373" w:rsidR="00B02326" w:rsidRPr="001F57E3" w:rsidRDefault="00941B30" w:rsidP="004A523D">
      <w:r w:rsidRPr="001F57E3">
        <w:lastRenderedPageBreak/>
        <w:t xml:space="preserve">Table </w:t>
      </w:r>
      <w:r>
        <w:t>5</w:t>
      </w:r>
      <w:r w:rsidRPr="001F57E3">
        <w:t xml:space="preserve">: Results from truncated regression (truncation point </w:t>
      </w:r>
      <w:r>
        <w:t>8</w:t>
      </w:r>
      <w:r w:rsidRPr="001F57E3">
        <w:t>) for women's hand grip strength</w:t>
      </w:r>
    </w:p>
    <w:tbl>
      <w:tblP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360"/>
        <w:gridCol w:w="1305"/>
        <w:gridCol w:w="1305"/>
        <w:gridCol w:w="1305"/>
        <w:gridCol w:w="1305"/>
      </w:tblGrid>
      <w:tr w:rsidR="00B02326" w:rsidRPr="00941B30" w14:paraId="000249F1" w14:textId="77777777" w:rsidTr="004A523D">
        <w:trPr>
          <w:trHeight w:val="263"/>
        </w:trPr>
        <w:tc>
          <w:tcPr>
            <w:tcW w:w="2024" w:type="dxa"/>
            <w:shd w:val="clear" w:color="auto" w:fill="auto"/>
            <w:noWrap/>
            <w:vAlign w:val="bottom"/>
            <w:hideMark/>
          </w:tcPr>
          <w:p w14:paraId="3BF0603F" w14:textId="77777777" w:rsidR="00B02326" w:rsidRPr="004A523D" w:rsidRDefault="00B02326" w:rsidP="004A523D">
            <w:pPr>
              <w:jc w:val="right"/>
              <w:rPr>
                <w:rFonts w:ascii="Calibri" w:eastAsia="Times New Roman" w:hAnsi="Calibri" w:cs="Times New Roman"/>
                <w:color w:val="000000"/>
                <w:sz w:val="24"/>
              </w:rPr>
            </w:pPr>
          </w:p>
        </w:tc>
        <w:tc>
          <w:tcPr>
            <w:tcW w:w="1360" w:type="dxa"/>
            <w:shd w:val="clear" w:color="auto" w:fill="auto"/>
            <w:noWrap/>
            <w:vAlign w:val="bottom"/>
            <w:hideMark/>
          </w:tcPr>
          <w:p w14:paraId="0FA92556"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estimate</w:t>
            </w:r>
          </w:p>
        </w:tc>
        <w:tc>
          <w:tcPr>
            <w:tcW w:w="1305" w:type="dxa"/>
            <w:shd w:val="clear" w:color="auto" w:fill="auto"/>
            <w:noWrap/>
            <w:vAlign w:val="bottom"/>
            <w:hideMark/>
          </w:tcPr>
          <w:p w14:paraId="6709FC8D"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S.E.</w:t>
            </w:r>
          </w:p>
        </w:tc>
        <w:tc>
          <w:tcPr>
            <w:tcW w:w="1305" w:type="dxa"/>
            <w:shd w:val="clear" w:color="auto" w:fill="auto"/>
            <w:noWrap/>
            <w:vAlign w:val="bottom"/>
            <w:hideMark/>
          </w:tcPr>
          <w:p w14:paraId="052AA2CA"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t-value</w:t>
            </w:r>
          </w:p>
        </w:tc>
        <w:tc>
          <w:tcPr>
            <w:tcW w:w="1305" w:type="dxa"/>
            <w:shd w:val="clear" w:color="auto" w:fill="auto"/>
            <w:noWrap/>
            <w:vAlign w:val="bottom"/>
            <w:hideMark/>
          </w:tcPr>
          <w:p w14:paraId="4FB3D2A2"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Pr(&gt;|t|)</w:t>
            </w:r>
          </w:p>
        </w:tc>
        <w:tc>
          <w:tcPr>
            <w:tcW w:w="1305" w:type="dxa"/>
            <w:shd w:val="clear" w:color="auto" w:fill="auto"/>
            <w:noWrap/>
            <w:vAlign w:val="bottom"/>
            <w:hideMark/>
          </w:tcPr>
          <w:p w14:paraId="40A473FB" w14:textId="77777777" w:rsidR="00B02326" w:rsidRPr="004A523D" w:rsidRDefault="00B02326" w:rsidP="004A523D">
            <w:pPr>
              <w:rPr>
                <w:rFonts w:ascii="Calibri" w:eastAsia="Times New Roman" w:hAnsi="Calibri" w:cs="Times New Roman"/>
                <w:color w:val="000000"/>
                <w:sz w:val="24"/>
              </w:rPr>
            </w:pPr>
          </w:p>
        </w:tc>
      </w:tr>
      <w:tr w:rsidR="00B02326" w:rsidRPr="00941B30" w14:paraId="73DEDF2C" w14:textId="77777777" w:rsidTr="004A523D">
        <w:trPr>
          <w:trHeight w:val="263"/>
        </w:trPr>
        <w:tc>
          <w:tcPr>
            <w:tcW w:w="2024" w:type="dxa"/>
            <w:shd w:val="clear" w:color="auto" w:fill="auto"/>
            <w:noWrap/>
            <w:vAlign w:val="bottom"/>
            <w:hideMark/>
          </w:tcPr>
          <w:p w14:paraId="72DB4949"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intercept</w:t>
            </w:r>
          </w:p>
        </w:tc>
        <w:tc>
          <w:tcPr>
            <w:tcW w:w="1360" w:type="dxa"/>
            <w:shd w:val="clear" w:color="auto" w:fill="auto"/>
            <w:noWrap/>
            <w:vAlign w:val="bottom"/>
            <w:hideMark/>
          </w:tcPr>
          <w:p w14:paraId="61977233"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-7.01</w:t>
            </w:r>
          </w:p>
        </w:tc>
        <w:tc>
          <w:tcPr>
            <w:tcW w:w="1305" w:type="dxa"/>
            <w:shd w:val="clear" w:color="auto" w:fill="auto"/>
            <w:noWrap/>
            <w:vAlign w:val="bottom"/>
            <w:hideMark/>
          </w:tcPr>
          <w:p w14:paraId="0A04FFE6"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2.90</w:t>
            </w:r>
          </w:p>
        </w:tc>
        <w:tc>
          <w:tcPr>
            <w:tcW w:w="1305" w:type="dxa"/>
            <w:shd w:val="clear" w:color="auto" w:fill="auto"/>
            <w:noWrap/>
            <w:vAlign w:val="bottom"/>
            <w:hideMark/>
          </w:tcPr>
          <w:p w14:paraId="7CD9C735"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-2.42</w:t>
            </w:r>
          </w:p>
        </w:tc>
        <w:tc>
          <w:tcPr>
            <w:tcW w:w="1305" w:type="dxa"/>
            <w:shd w:val="clear" w:color="auto" w:fill="auto"/>
            <w:noWrap/>
            <w:vAlign w:val="bottom"/>
            <w:hideMark/>
          </w:tcPr>
          <w:p w14:paraId="49BC4659"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1.56E-02</w:t>
            </w:r>
          </w:p>
        </w:tc>
        <w:tc>
          <w:tcPr>
            <w:tcW w:w="1305" w:type="dxa"/>
            <w:shd w:val="clear" w:color="auto" w:fill="auto"/>
            <w:noWrap/>
            <w:vAlign w:val="bottom"/>
            <w:hideMark/>
          </w:tcPr>
          <w:p w14:paraId="56E3952E"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41B30" w14:paraId="4ECCE943" w14:textId="77777777" w:rsidTr="004A523D">
        <w:trPr>
          <w:trHeight w:val="263"/>
        </w:trPr>
        <w:tc>
          <w:tcPr>
            <w:tcW w:w="2024" w:type="dxa"/>
            <w:shd w:val="clear" w:color="auto" w:fill="auto"/>
            <w:noWrap/>
            <w:vAlign w:val="bottom"/>
            <w:hideMark/>
          </w:tcPr>
          <w:p w14:paraId="4824968A"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age</w:t>
            </w:r>
          </w:p>
        </w:tc>
        <w:tc>
          <w:tcPr>
            <w:tcW w:w="1360" w:type="dxa"/>
            <w:shd w:val="clear" w:color="auto" w:fill="auto"/>
            <w:noWrap/>
            <w:vAlign w:val="bottom"/>
            <w:hideMark/>
          </w:tcPr>
          <w:p w14:paraId="3EB01A34"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-0.29</w:t>
            </w:r>
          </w:p>
        </w:tc>
        <w:tc>
          <w:tcPr>
            <w:tcW w:w="1305" w:type="dxa"/>
            <w:shd w:val="clear" w:color="auto" w:fill="auto"/>
            <w:noWrap/>
            <w:vAlign w:val="bottom"/>
            <w:hideMark/>
          </w:tcPr>
          <w:p w14:paraId="04EA1037"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0.02</w:t>
            </w:r>
          </w:p>
        </w:tc>
        <w:tc>
          <w:tcPr>
            <w:tcW w:w="1305" w:type="dxa"/>
            <w:shd w:val="clear" w:color="auto" w:fill="auto"/>
            <w:noWrap/>
            <w:vAlign w:val="bottom"/>
            <w:hideMark/>
          </w:tcPr>
          <w:p w14:paraId="227CC0DC"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-17.66</w:t>
            </w:r>
          </w:p>
        </w:tc>
        <w:tc>
          <w:tcPr>
            <w:tcW w:w="1305" w:type="dxa"/>
            <w:shd w:val="clear" w:color="auto" w:fill="auto"/>
            <w:noWrap/>
            <w:vAlign w:val="bottom"/>
            <w:hideMark/>
          </w:tcPr>
          <w:p w14:paraId="26FF7836"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&lt; 2.2e-16</w:t>
            </w:r>
          </w:p>
        </w:tc>
        <w:tc>
          <w:tcPr>
            <w:tcW w:w="1305" w:type="dxa"/>
            <w:shd w:val="clear" w:color="auto" w:fill="auto"/>
            <w:noWrap/>
            <w:vAlign w:val="bottom"/>
            <w:hideMark/>
          </w:tcPr>
          <w:p w14:paraId="31B3839D"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41B30" w14:paraId="344DEAC7" w14:textId="77777777" w:rsidTr="004A523D">
        <w:trPr>
          <w:trHeight w:val="263"/>
        </w:trPr>
        <w:tc>
          <w:tcPr>
            <w:tcW w:w="2024" w:type="dxa"/>
            <w:shd w:val="clear" w:color="auto" w:fill="auto"/>
            <w:noWrap/>
            <w:vAlign w:val="bottom"/>
            <w:hideMark/>
          </w:tcPr>
          <w:p w14:paraId="261D9744"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more educated</w:t>
            </w:r>
          </w:p>
        </w:tc>
        <w:tc>
          <w:tcPr>
            <w:tcW w:w="1360" w:type="dxa"/>
            <w:shd w:val="clear" w:color="auto" w:fill="auto"/>
            <w:noWrap/>
            <w:vAlign w:val="bottom"/>
            <w:hideMark/>
          </w:tcPr>
          <w:p w14:paraId="5840E311"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1.16</w:t>
            </w:r>
          </w:p>
        </w:tc>
        <w:tc>
          <w:tcPr>
            <w:tcW w:w="1305" w:type="dxa"/>
            <w:shd w:val="clear" w:color="auto" w:fill="auto"/>
            <w:noWrap/>
            <w:vAlign w:val="bottom"/>
            <w:hideMark/>
          </w:tcPr>
          <w:p w14:paraId="4C53FB6F"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0.22</w:t>
            </w:r>
          </w:p>
        </w:tc>
        <w:tc>
          <w:tcPr>
            <w:tcW w:w="1305" w:type="dxa"/>
            <w:shd w:val="clear" w:color="auto" w:fill="auto"/>
            <w:noWrap/>
            <w:vAlign w:val="bottom"/>
            <w:hideMark/>
          </w:tcPr>
          <w:p w14:paraId="4CE1BF9E"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5.19</w:t>
            </w:r>
          </w:p>
        </w:tc>
        <w:tc>
          <w:tcPr>
            <w:tcW w:w="1305" w:type="dxa"/>
            <w:shd w:val="clear" w:color="auto" w:fill="auto"/>
            <w:noWrap/>
            <w:vAlign w:val="bottom"/>
            <w:hideMark/>
          </w:tcPr>
          <w:p w14:paraId="0B80F8A1"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2.12E-07</w:t>
            </w:r>
          </w:p>
        </w:tc>
        <w:tc>
          <w:tcPr>
            <w:tcW w:w="1305" w:type="dxa"/>
            <w:shd w:val="clear" w:color="auto" w:fill="auto"/>
            <w:noWrap/>
            <w:vAlign w:val="bottom"/>
            <w:hideMark/>
          </w:tcPr>
          <w:p w14:paraId="6DCEDF00"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41B30" w14:paraId="0DBE581A" w14:textId="77777777" w:rsidTr="004A523D">
        <w:trPr>
          <w:trHeight w:val="263"/>
        </w:trPr>
        <w:tc>
          <w:tcPr>
            <w:tcW w:w="2024" w:type="dxa"/>
            <w:shd w:val="clear" w:color="auto" w:fill="auto"/>
            <w:noWrap/>
            <w:vAlign w:val="bottom"/>
            <w:hideMark/>
          </w:tcPr>
          <w:p w14:paraId="2C349DCD"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weight</w:t>
            </w:r>
          </w:p>
        </w:tc>
        <w:tc>
          <w:tcPr>
            <w:tcW w:w="1360" w:type="dxa"/>
            <w:shd w:val="clear" w:color="auto" w:fill="auto"/>
            <w:noWrap/>
            <w:vAlign w:val="bottom"/>
            <w:hideMark/>
          </w:tcPr>
          <w:p w14:paraId="79967C37"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0.02</w:t>
            </w:r>
          </w:p>
        </w:tc>
        <w:tc>
          <w:tcPr>
            <w:tcW w:w="1305" w:type="dxa"/>
            <w:shd w:val="clear" w:color="auto" w:fill="auto"/>
            <w:noWrap/>
            <w:vAlign w:val="bottom"/>
            <w:hideMark/>
          </w:tcPr>
          <w:p w14:paraId="1D283368"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0.01</w:t>
            </w:r>
          </w:p>
        </w:tc>
        <w:tc>
          <w:tcPr>
            <w:tcW w:w="1305" w:type="dxa"/>
            <w:shd w:val="clear" w:color="auto" w:fill="auto"/>
            <w:noWrap/>
            <w:vAlign w:val="bottom"/>
            <w:hideMark/>
          </w:tcPr>
          <w:p w14:paraId="2A48E623"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2.33</w:t>
            </w:r>
          </w:p>
        </w:tc>
        <w:tc>
          <w:tcPr>
            <w:tcW w:w="1305" w:type="dxa"/>
            <w:shd w:val="clear" w:color="auto" w:fill="auto"/>
            <w:noWrap/>
            <w:vAlign w:val="bottom"/>
            <w:hideMark/>
          </w:tcPr>
          <w:p w14:paraId="49B19FE3"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1.98E-02</w:t>
            </w:r>
          </w:p>
        </w:tc>
        <w:tc>
          <w:tcPr>
            <w:tcW w:w="1305" w:type="dxa"/>
            <w:shd w:val="clear" w:color="auto" w:fill="auto"/>
            <w:noWrap/>
            <w:vAlign w:val="bottom"/>
            <w:hideMark/>
          </w:tcPr>
          <w:p w14:paraId="3E4F92C5"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41B30" w14:paraId="5DF0E1B3" w14:textId="77777777" w:rsidTr="004A523D">
        <w:trPr>
          <w:trHeight w:val="263"/>
        </w:trPr>
        <w:tc>
          <w:tcPr>
            <w:tcW w:w="2024" w:type="dxa"/>
            <w:shd w:val="clear" w:color="auto" w:fill="auto"/>
            <w:noWrap/>
            <w:vAlign w:val="bottom"/>
            <w:hideMark/>
          </w:tcPr>
          <w:p w14:paraId="5A468A53"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height</w:t>
            </w:r>
          </w:p>
        </w:tc>
        <w:tc>
          <w:tcPr>
            <w:tcW w:w="1360" w:type="dxa"/>
            <w:shd w:val="clear" w:color="auto" w:fill="auto"/>
            <w:noWrap/>
            <w:vAlign w:val="bottom"/>
            <w:hideMark/>
          </w:tcPr>
          <w:p w14:paraId="5F358AC9"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19.42</w:t>
            </w:r>
          </w:p>
        </w:tc>
        <w:tc>
          <w:tcPr>
            <w:tcW w:w="1305" w:type="dxa"/>
            <w:shd w:val="clear" w:color="auto" w:fill="auto"/>
            <w:noWrap/>
            <w:vAlign w:val="bottom"/>
            <w:hideMark/>
          </w:tcPr>
          <w:p w14:paraId="241A2BCB"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1.89</w:t>
            </w:r>
          </w:p>
        </w:tc>
        <w:tc>
          <w:tcPr>
            <w:tcW w:w="1305" w:type="dxa"/>
            <w:shd w:val="clear" w:color="auto" w:fill="auto"/>
            <w:noWrap/>
            <w:vAlign w:val="bottom"/>
            <w:hideMark/>
          </w:tcPr>
          <w:p w14:paraId="1B0EDE5E"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10.29</w:t>
            </w:r>
          </w:p>
        </w:tc>
        <w:tc>
          <w:tcPr>
            <w:tcW w:w="1305" w:type="dxa"/>
            <w:shd w:val="clear" w:color="auto" w:fill="auto"/>
            <w:noWrap/>
            <w:vAlign w:val="bottom"/>
            <w:hideMark/>
          </w:tcPr>
          <w:p w14:paraId="24758AE6"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&lt; 2.2e-16</w:t>
            </w:r>
          </w:p>
        </w:tc>
        <w:tc>
          <w:tcPr>
            <w:tcW w:w="1305" w:type="dxa"/>
            <w:shd w:val="clear" w:color="auto" w:fill="auto"/>
            <w:noWrap/>
            <w:vAlign w:val="bottom"/>
            <w:hideMark/>
          </w:tcPr>
          <w:p w14:paraId="4C5E6FB9"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41B30" w14:paraId="5CC46A38" w14:textId="77777777" w:rsidTr="004A523D">
        <w:trPr>
          <w:trHeight w:val="263"/>
        </w:trPr>
        <w:tc>
          <w:tcPr>
            <w:tcW w:w="2024" w:type="dxa"/>
            <w:shd w:val="clear" w:color="auto" w:fill="auto"/>
            <w:noWrap/>
            <w:vAlign w:val="bottom"/>
            <w:hideMark/>
          </w:tcPr>
          <w:p w14:paraId="7D0F7387"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sigma</w:t>
            </w:r>
          </w:p>
        </w:tc>
        <w:tc>
          <w:tcPr>
            <w:tcW w:w="1360" w:type="dxa"/>
            <w:shd w:val="clear" w:color="auto" w:fill="auto"/>
            <w:noWrap/>
            <w:vAlign w:val="bottom"/>
            <w:hideMark/>
          </w:tcPr>
          <w:p w14:paraId="54D00AA3"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4.89</w:t>
            </w:r>
          </w:p>
        </w:tc>
        <w:tc>
          <w:tcPr>
            <w:tcW w:w="1305" w:type="dxa"/>
            <w:shd w:val="clear" w:color="auto" w:fill="auto"/>
            <w:noWrap/>
            <w:vAlign w:val="bottom"/>
            <w:hideMark/>
          </w:tcPr>
          <w:p w14:paraId="4C34EE26"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0.08</w:t>
            </w:r>
          </w:p>
        </w:tc>
        <w:tc>
          <w:tcPr>
            <w:tcW w:w="1305" w:type="dxa"/>
            <w:shd w:val="clear" w:color="auto" w:fill="auto"/>
            <w:noWrap/>
            <w:vAlign w:val="bottom"/>
            <w:hideMark/>
          </w:tcPr>
          <w:p w14:paraId="25A106F7"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62.35</w:t>
            </w:r>
          </w:p>
        </w:tc>
        <w:tc>
          <w:tcPr>
            <w:tcW w:w="1305" w:type="dxa"/>
            <w:shd w:val="clear" w:color="auto" w:fill="auto"/>
            <w:noWrap/>
            <w:vAlign w:val="bottom"/>
            <w:hideMark/>
          </w:tcPr>
          <w:p w14:paraId="2D94FF6F"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&lt; 2.2e-16</w:t>
            </w:r>
          </w:p>
        </w:tc>
        <w:tc>
          <w:tcPr>
            <w:tcW w:w="1305" w:type="dxa"/>
            <w:shd w:val="clear" w:color="auto" w:fill="auto"/>
            <w:noWrap/>
            <w:vAlign w:val="bottom"/>
            <w:hideMark/>
          </w:tcPr>
          <w:p w14:paraId="481806A9"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bl>
    <w:p w14:paraId="762BC49A" w14:textId="77777777" w:rsidR="00B02326" w:rsidRDefault="00B02326" w:rsidP="00B02326">
      <w:r>
        <w:t xml:space="preserve">Note: </w:t>
      </w:r>
      <w:r w:rsidRPr="0038080F">
        <w:t>* p&lt;0.</w:t>
      </w:r>
      <w:r>
        <w:t>05</w:t>
      </w:r>
      <w:r w:rsidRPr="0038080F">
        <w:t>; ** p&lt;0.0</w:t>
      </w:r>
      <w:r>
        <w:t>1</w:t>
      </w:r>
      <w:r w:rsidRPr="0038080F">
        <w:t>; *** p&lt;0.0</w:t>
      </w:r>
      <w:r>
        <w:t>01</w:t>
      </w:r>
      <w:r w:rsidRPr="0038080F">
        <w:t>.</w:t>
      </w:r>
    </w:p>
    <w:p w14:paraId="235C8C67" w14:textId="77777777" w:rsidR="00B02326" w:rsidRDefault="00B02326" w:rsidP="00B02326"/>
    <w:p w14:paraId="693B7F48" w14:textId="77777777" w:rsidR="00941B30" w:rsidRDefault="00941B30">
      <w:r>
        <w:br w:type="page"/>
      </w:r>
    </w:p>
    <w:p w14:paraId="3083105A" w14:textId="01DF292E" w:rsidR="00B02326" w:rsidRPr="001F57E3" w:rsidRDefault="00941B30" w:rsidP="004A523D">
      <w:r w:rsidRPr="001F57E3">
        <w:lastRenderedPageBreak/>
        <w:t xml:space="preserve">Table </w:t>
      </w:r>
      <w:r>
        <w:t>6</w:t>
      </w:r>
      <w:r w:rsidRPr="001F57E3">
        <w:t xml:space="preserve">: Results from truncated regression (truncation point </w:t>
      </w:r>
      <w:r>
        <w:t>8</w:t>
      </w:r>
      <w:r w:rsidRPr="001F57E3">
        <w:t>) for men's hand grip strength</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1356"/>
        <w:gridCol w:w="1301"/>
        <w:gridCol w:w="1301"/>
        <w:gridCol w:w="1301"/>
        <w:gridCol w:w="1301"/>
      </w:tblGrid>
      <w:tr w:rsidR="00B02326" w:rsidRPr="00941B30" w14:paraId="321C2446" w14:textId="77777777" w:rsidTr="004A523D">
        <w:trPr>
          <w:trHeight w:val="236"/>
        </w:trPr>
        <w:tc>
          <w:tcPr>
            <w:tcW w:w="2019" w:type="dxa"/>
            <w:shd w:val="clear" w:color="auto" w:fill="auto"/>
            <w:noWrap/>
            <w:vAlign w:val="bottom"/>
            <w:hideMark/>
          </w:tcPr>
          <w:p w14:paraId="2F172ABB" w14:textId="77777777" w:rsidR="00B02326" w:rsidRPr="004A523D" w:rsidRDefault="00B02326" w:rsidP="004A523D">
            <w:pPr>
              <w:jc w:val="right"/>
              <w:rPr>
                <w:rFonts w:ascii="Calibri" w:eastAsia="Times New Roman" w:hAnsi="Calibri" w:cs="Times New Roman"/>
                <w:color w:val="000000"/>
                <w:sz w:val="24"/>
              </w:rPr>
            </w:pPr>
          </w:p>
        </w:tc>
        <w:tc>
          <w:tcPr>
            <w:tcW w:w="1356" w:type="dxa"/>
            <w:shd w:val="clear" w:color="auto" w:fill="auto"/>
            <w:noWrap/>
            <w:vAlign w:val="bottom"/>
            <w:hideMark/>
          </w:tcPr>
          <w:p w14:paraId="26CF2033"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estimate</w:t>
            </w:r>
          </w:p>
        </w:tc>
        <w:tc>
          <w:tcPr>
            <w:tcW w:w="1301" w:type="dxa"/>
            <w:shd w:val="clear" w:color="auto" w:fill="auto"/>
            <w:noWrap/>
            <w:vAlign w:val="bottom"/>
            <w:hideMark/>
          </w:tcPr>
          <w:p w14:paraId="73131D51"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S.E.</w:t>
            </w:r>
          </w:p>
        </w:tc>
        <w:tc>
          <w:tcPr>
            <w:tcW w:w="1301" w:type="dxa"/>
            <w:shd w:val="clear" w:color="auto" w:fill="auto"/>
            <w:noWrap/>
            <w:vAlign w:val="bottom"/>
            <w:hideMark/>
          </w:tcPr>
          <w:p w14:paraId="3F588FA2"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t-value</w:t>
            </w:r>
          </w:p>
        </w:tc>
        <w:tc>
          <w:tcPr>
            <w:tcW w:w="1301" w:type="dxa"/>
            <w:shd w:val="clear" w:color="auto" w:fill="auto"/>
            <w:noWrap/>
            <w:vAlign w:val="bottom"/>
            <w:hideMark/>
          </w:tcPr>
          <w:p w14:paraId="438B0036"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Pr(&gt;|t|)</w:t>
            </w:r>
          </w:p>
        </w:tc>
        <w:tc>
          <w:tcPr>
            <w:tcW w:w="1301" w:type="dxa"/>
            <w:shd w:val="clear" w:color="auto" w:fill="auto"/>
            <w:noWrap/>
            <w:vAlign w:val="bottom"/>
            <w:hideMark/>
          </w:tcPr>
          <w:p w14:paraId="4693E099" w14:textId="77777777" w:rsidR="00B02326" w:rsidRPr="004A523D" w:rsidRDefault="00B02326" w:rsidP="004A523D">
            <w:pPr>
              <w:rPr>
                <w:rFonts w:ascii="Calibri" w:eastAsia="Times New Roman" w:hAnsi="Calibri" w:cs="Times New Roman"/>
                <w:color w:val="000000"/>
                <w:sz w:val="24"/>
              </w:rPr>
            </w:pPr>
          </w:p>
        </w:tc>
      </w:tr>
      <w:tr w:rsidR="00B02326" w:rsidRPr="00941B30" w14:paraId="5E7835DD" w14:textId="77777777" w:rsidTr="004A523D">
        <w:trPr>
          <w:trHeight w:val="236"/>
        </w:trPr>
        <w:tc>
          <w:tcPr>
            <w:tcW w:w="2019" w:type="dxa"/>
            <w:shd w:val="clear" w:color="auto" w:fill="auto"/>
            <w:noWrap/>
            <w:vAlign w:val="bottom"/>
            <w:hideMark/>
          </w:tcPr>
          <w:p w14:paraId="7CA87156"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intercept</w:t>
            </w:r>
          </w:p>
        </w:tc>
        <w:tc>
          <w:tcPr>
            <w:tcW w:w="1356" w:type="dxa"/>
            <w:shd w:val="clear" w:color="auto" w:fill="auto"/>
            <w:noWrap/>
            <w:vAlign w:val="bottom"/>
            <w:hideMark/>
          </w:tcPr>
          <w:p w14:paraId="6510DD43"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-11.42</w:t>
            </w:r>
          </w:p>
        </w:tc>
        <w:tc>
          <w:tcPr>
            <w:tcW w:w="1301" w:type="dxa"/>
            <w:shd w:val="clear" w:color="auto" w:fill="auto"/>
            <w:noWrap/>
            <w:vAlign w:val="bottom"/>
            <w:hideMark/>
          </w:tcPr>
          <w:p w14:paraId="53053844"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4.45</w:t>
            </w:r>
          </w:p>
        </w:tc>
        <w:tc>
          <w:tcPr>
            <w:tcW w:w="1301" w:type="dxa"/>
            <w:shd w:val="clear" w:color="auto" w:fill="auto"/>
            <w:noWrap/>
            <w:vAlign w:val="bottom"/>
            <w:hideMark/>
          </w:tcPr>
          <w:p w14:paraId="0A4C7C3F"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-2.57</w:t>
            </w:r>
          </w:p>
        </w:tc>
        <w:tc>
          <w:tcPr>
            <w:tcW w:w="1301" w:type="dxa"/>
            <w:shd w:val="clear" w:color="auto" w:fill="auto"/>
            <w:noWrap/>
            <w:vAlign w:val="bottom"/>
            <w:hideMark/>
          </w:tcPr>
          <w:p w14:paraId="334733CF"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1.02E-02</w:t>
            </w:r>
          </w:p>
        </w:tc>
        <w:tc>
          <w:tcPr>
            <w:tcW w:w="1301" w:type="dxa"/>
            <w:shd w:val="clear" w:color="auto" w:fill="auto"/>
            <w:noWrap/>
            <w:vAlign w:val="bottom"/>
            <w:hideMark/>
          </w:tcPr>
          <w:p w14:paraId="4D9B6B82"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41B30" w14:paraId="7CD5E7F4" w14:textId="77777777" w:rsidTr="004A523D">
        <w:trPr>
          <w:trHeight w:val="236"/>
        </w:trPr>
        <w:tc>
          <w:tcPr>
            <w:tcW w:w="2019" w:type="dxa"/>
            <w:shd w:val="clear" w:color="auto" w:fill="auto"/>
            <w:noWrap/>
            <w:vAlign w:val="bottom"/>
            <w:hideMark/>
          </w:tcPr>
          <w:p w14:paraId="44B73EBE"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age</w:t>
            </w:r>
          </w:p>
        </w:tc>
        <w:tc>
          <w:tcPr>
            <w:tcW w:w="1356" w:type="dxa"/>
            <w:shd w:val="clear" w:color="auto" w:fill="auto"/>
            <w:noWrap/>
            <w:vAlign w:val="bottom"/>
            <w:hideMark/>
          </w:tcPr>
          <w:p w14:paraId="44EEE899"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-0.49</w:t>
            </w:r>
          </w:p>
        </w:tc>
        <w:tc>
          <w:tcPr>
            <w:tcW w:w="1301" w:type="dxa"/>
            <w:shd w:val="clear" w:color="auto" w:fill="auto"/>
            <w:noWrap/>
            <w:vAlign w:val="bottom"/>
            <w:hideMark/>
          </w:tcPr>
          <w:p w14:paraId="1C5E0CCD"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0.03</w:t>
            </w:r>
          </w:p>
        </w:tc>
        <w:tc>
          <w:tcPr>
            <w:tcW w:w="1301" w:type="dxa"/>
            <w:shd w:val="clear" w:color="auto" w:fill="auto"/>
            <w:noWrap/>
            <w:vAlign w:val="bottom"/>
            <w:hideMark/>
          </w:tcPr>
          <w:p w14:paraId="5F1DD86E"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-19.25</w:t>
            </w:r>
          </w:p>
        </w:tc>
        <w:tc>
          <w:tcPr>
            <w:tcW w:w="1301" w:type="dxa"/>
            <w:shd w:val="clear" w:color="auto" w:fill="auto"/>
            <w:noWrap/>
            <w:vAlign w:val="bottom"/>
            <w:hideMark/>
          </w:tcPr>
          <w:p w14:paraId="1704EA80"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&lt; 2.2e-16</w:t>
            </w:r>
          </w:p>
        </w:tc>
        <w:tc>
          <w:tcPr>
            <w:tcW w:w="1301" w:type="dxa"/>
            <w:shd w:val="clear" w:color="auto" w:fill="auto"/>
            <w:noWrap/>
            <w:vAlign w:val="bottom"/>
            <w:hideMark/>
          </w:tcPr>
          <w:p w14:paraId="32A4F19D"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41B30" w14:paraId="78BB20A6" w14:textId="77777777" w:rsidTr="004A523D">
        <w:trPr>
          <w:trHeight w:val="236"/>
        </w:trPr>
        <w:tc>
          <w:tcPr>
            <w:tcW w:w="2019" w:type="dxa"/>
            <w:shd w:val="clear" w:color="auto" w:fill="auto"/>
            <w:noWrap/>
            <w:vAlign w:val="bottom"/>
            <w:hideMark/>
          </w:tcPr>
          <w:p w14:paraId="35306644"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more educated</w:t>
            </w:r>
          </w:p>
        </w:tc>
        <w:tc>
          <w:tcPr>
            <w:tcW w:w="1356" w:type="dxa"/>
            <w:shd w:val="clear" w:color="auto" w:fill="auto"/>
            <w:noWrap/>
            <w:vAlign w:val="bottom"/>
            <w:hideMark/>
          </w:tcPr>
          <w:p w14:paraId="1CD00477"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1.72</w:t>
            </w:r>
          </w:p>
        </w:tc>
        <w:tc>
          <w:tcPr>
            <w:tcW w:w="1301" w:type="dxa"/>
            <w:shd w:val="clear" w:color="auto" w:fill="auto"/>
            <w:noWrap/>
            <w:vAlign w:val="bottom"/>
            <w:hideMark/>
          </w:tcPr>
          <w:p w14:paraId="734800D3"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0.34</w:t>
            </w:r>
          </w:p>
        </w:tc>
        <w:tc>
          <w:tcPr>
            <w:tcW w:w="1301" w:type="dxa"/>
            <w:shd w:val="clear" w:color="auto" w:fill="auto"/>
            <w:noWrap/>
            <w:vAlign w:val="bottom"/>
            <w:hideMark/>
          </w:tcPr>
          <w:p w14:paraId="2C549650"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5.11</w:t>
            </w:r>
          </w:p>
        </w:tc>
        <w:tc>
          <w:tcPr>
            <w:tcW w:w="1301" w:type="dxa"/>
            <w:shd w:val="clear" w:color="auto" w:fill="auto"/>
            <w:noWrap/>
            <w:vAlign w:val="bottom"/>
            <w:hideMark/>
          </w:tcPr>
          <w:p w14:paraId="4417580C"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3.20E-07</w:t>
            </w:r>
          </w:p>
        </w:tc>
        <w:tc>
          <w:tcPr>
            <w:tcW w:w="1301" w:type="dxa"/>
            <w:shd w:val="clear" w:color="auto" w:fill="auto"/>
            <w:noWrap/>
            <w:vAlign w:val="bottom"/>
            <w:hideMark/>
          </w:tcPr>
          <w:p w14:paraId="4E99AE28"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41B30" w14:paraId="7CF50352" w14:textId="77777777" w:rsidTr="004A523D">
        <w:trPr>
          <w:trHeight w:val="236"/>
        </w:trPr>
        <w:tc>
          <w:tcPr>
            <w:tcW w:w="2019" w:type="dxa"/>
            <w:shd w:val="clear" w:color="auto" w:fill="auto"/>
            <w:noWrap/>
            <w:vAlign w:val="bottom"/>
            <w:hideMark/>
          </w:tcPr>
          <w:p w14:paraId="3DE084A1"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weight</w:t>
            </w:r>
          </w:p>
        </w:tc>
        <w:tc>
          <w:tcPr>
            <w:tcW w:w="1356" w:type="dxa"/>
            <w:shd w:val="clear" w:color="auto" w:fill="auto"/>
            <w:noWrap/>
            <w:vAlign w:val="bottom"/>
            <w:hideMark/>
          </w:tcPr>
          <w:p w14:paraId="694CE5EF"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0.07</w:t>
            </w:r>
          </w:p>
        </w:tc>
        <w:tc>
          <w:tcPr>
            <w:tcW w:w="1301" w:type="dxa"/>
            <w:shd w:val="clear" w:color="auto" w:fill="auto"/>
            <w:noWrap/>
            <w:vAlign w:val="bottom"/>
            <w:hideMark/>
          </w:tcPr>
          <w:p w14:paraId="461DECAC"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0.01</w:t>
            </w:r>
          </w:p>
        </w:tc>
        <w:tc>
          <w:tcPr>
            <w:tcW w:w="1301" w:type="dxa"/>
            <w:shd w:val="clear" w:color="auto" w:fill="auto"/>
            <w:noWrap/>
            <w:vAlign w:val="bottom"/>
            <w:hideMark/>
          </w:tcPr>
          <w:p w14:paraId="050D5D14"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4.75</w:t>
            </w:r>
          </w:p>
        </w:tc>
        <w:tc>
          <w:tcPr>
            <w:tcW w:w="1301" w:type="dxa"/>
            <w:shd w:val="clear" w:color="auto" w:fill="auto"/>
            <w:noWrap/>
            <w:vAlign w:val="bottom"/>
            <w:hideMark/>
          </w:tcPr>
          <w:p w14:paraId="6CB86C87"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2.03E-06</w:t>
            </w:r>
          </w:p>
        </w:tc>
        <w:tc>
          <w:tcPr>
            <w:tcW w:w="1301" w:type="dxa"/>
            <w:shd w:val="clear" w:color="auto" w:fill="auto"/>
            <w:noWrap/>
            <w:vAlign w:val="bottom"/>
            <w:hideMark/>
          </w:tcPr>
          <w:p w14:paraId="7A2873F2"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41B30" w14:paraId="612DBC54" w14:textId="77777777" w:rsidTr="004A523D">
        <w:trPr>
          <w:trHeight w:val="236"/>
        </w:trPr>
        <w:tc>
          <w:tcPr>
            <w:tcW w:w="2019" w:type="dxa"/>
            <w:shd w:val="clear" w:color="auto" w:fill="auto"/>
            <w:noWrap/>
            <w:vAlign w:val="bottom"/>
            <w:hideMark/>
          </w:tcPr>
          <w:p w14:paraId="5E8D5D18"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height</w:t>
            </w:r>
          </w:p>
        </w:tc>
        <w:tc>
          <w:tcPr>
            <w:tcW w:w="1356" w:type="dxa"/>
            <w:shd w:val="clear" w:color="auto" w:fill="auto"/>
            <w:noWrap/>
            <w:vAlign w:val="bottom"/>
            <w:hideMark/>
          </w:tcPr>
          <w:p w14:paraId="703948BE"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27.75</w:t>
            </w:r>
          </w:p>
        </w:tc>
        <w:tc>
          <w:tcPr>
            <w:tcW w:w="1301" w:type="dxa"/>
            <w:shd w:val="clear" w:color="auto" w:fill="auto"/>
            <w:noWrap/>
            <w:vAlign w:val="bottom"/>
            <w:hideMark/>
          </w:tcPr>
          <w:p w14:paraId="60A897DC"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2.79</w:t>
            </w:r>
          </w:p>
        </w:tc>
        <w:tc>
          <w:tcPr>
            <w:tcW w:w="1301" w:type="dxa"/>
            <w:shd w:val="clear" w:color="auto" w:fill="auto"/>
            <w:noWrap/>
            <w:vAlign w:val="bottom"/>
            <w:hideMark/>
          </w:tcPr>
          <w:p w14:paraId="3ED6B00F"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9.96</w:t>
            </w:r>
          </w:p>
        </w:tc>
        <w:tc>
          <w:tcPr>
            <w:tcW w:w="1301" w:type="dxa"/>
            <w:shd w:val="clear" w:color="auto" w:fill="auto"/>
            <w:noWrap/>
            <w:vAlign w:val="bottom"/>
            <w:hideMark/>
          </w:tcPr>
          <w:p w14:paraId="4D2D00D2"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&lt; 2.2e-16</w:t>
            </w:r>
          </w:p>
        </w:tc>
        <w:tc>
          <w:tcPr>
            <w:tcW w:w="1301" w:type="dxa"/>
            <w:shd w:val="clear" w:color="auto" w:fill="auto"/>
            <w:noWrap/>
            <w:vAlign w:val="bottom"/>
            <w:hideMark/>
          </w:tcPr>
          <w:p w14:paraId="52855C2B"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B02326" w:rsidRPr="00941B30" w14:paraId="1E488C3D" w14:textId="77777777" w:rsidTr="004A523D">
        <w:trPr>
          <w:trHeight w:val="236"/>
        </w:trPr>
        <w:tc>
          <w:tcPr>
            <w:tcW w:w="2019" w:type="dxa"/>
            <w:shd w:val="clear" w:color="auto" w:fill="auto"/>
            <w:noWrap/>
            <w:vAlign w:val="bottom"/>
            <w:hideMark/>
          </w:tcPr>
          <w:p w14:paraId="329ED322"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sigma</w:t>
            </w:r>
          </w:p>
        </w:tc>
        <w:tc>
          <w:tcPr>
            <w:tcW w:w="1356" w:type="dxa"/>
            <w:shd w:val="clear" w:color="auto" w:fill="auto"/>
            <w:noWrap/>
            <w:vAlign w:val="bottom"/>
            <w:hideMark/>
          </w:tcPr>
          <w:p w14:paraId="1216996B"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7.23</w:t>
            </w:r>
          </w:p>
        </w:tc>
        <w:tc>
          <w:tcPr>
            <w:tcW w:w="1301" w:type="dxa"/>
            <w:shd w:val="clear" w:color="auto" w:fill="auto"/>
            <w:noWrap/>
            <w:vAlign w:val="bottom"/>
            <w:hideMark/>
          </w:tcPr>
          <w:p w14:paraId="08085E17"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0.12</w:t>
            </w:r>
          </w:p>
        </w:tc>
        <w:tc>
          <w:tcPr>
            <w:tcW w:w="1301" w:type="dxa"/>
            <w:shd w:val="clear" w:color="auto" w:fill="auto"/>
            <w:noWrap/>
            <w:vAlign w:val="bottom"/>
            <w:hideMark/>
          </w:tcPr>
          <w:p w14:paraId="440E3F05"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62.83</w:t>
            </w:r>
          </w:p>
        </w:tc>
        <w:tc>
          <w:tcPr>
            <w:tcW w:w="1301" w:type="dxa"/>
            <w:shd w:val="clear" w:color="auto" w:fill="auto"/>
            <w:noWrap/>
            <w:vAlign w:val="bottom"/>
            <w:hideMark/>
          </w:tcPr>
          <w:p w14:paraId="7194722A"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&lt; 2.2e-16</w:t>
            </w:r>
          </w:p>
        </w:tc>
        <w:tc>
          <w:tcPr>
            <w:tcW w:w="1301" w:type="dxa"/>
            <w:shd w:val="clear" w:color="auto" w:fill="auto"/>
            <w:noWrap/>
            <w:vAlign w:val="bottom"/>
            <w:hideMark/>
          </w:tcPr>
          <w:p w14:paraId="66EC9CCF" w14:textId="77777777" w:rsidR="00B02326" w:rsidRPr="004A523D" w:rsidRDefault="00B02326"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bl>
    <w:p w14:paraId="6038CE3C" w14:textId="77777777" w:rsidR="00B02326" w:rsidRDefault="00B02326" w:rsidP="00B02326">
      <w:r>
        <w:t xml:space="preserve">Note: </w:t>
      </w:r>
      <w:r w:rsidRPr="0038080F">
        <w:t>* p&lt;0.</w:t>
      </w:r>
      <w:r>
        <w:t>05</w:t>
      </w:r>
      <w:r w:rsidRPr="0038080F">
        <w:t>; ** p&lt;0.0</w:t>
      </w:r>
      <w:r>
        <w:t>1</w:t>
      </w:r>
      <w:r w:rsidRPr="0038080F">
        <w:t>; *** p&lt;0.0</w:t>
      </w:r>
      <w:r>
        <w:t>01</w:t>
      </w:r>
      <w:r w:rsidRPr="0038080F">
        <w:t>.</w:t>
      </w:r>
    </w:p>
    <w:p w14:paraId="603AC60A" w14:textId="77777777" w:rsidR="00B02326" w:rsidRDefault="00B02326" w:rsidP="00B02326">
      <w:pPr>
        <w:autoSpaceDE w:val="0"/>
        <w:autoSpaceDN w:val="0"/>
        <w:adjustRightInd w:val="0"/>
      </w:pPr>
      <w:r>
        <w:t>In Tables 3 through 6, the variable “age” is measured as chronological age minus 60,</w:t>
      </w:r>
    </w:p>
    <w:p w14:paraId="5E7C47E5" w14:textId="0ABB84B7" w:rsidR="00782554" w:rsidRDefault="00782554">
      <w:pPr>
        <w:rPr>
          <w:b/>
          <w:sz w:val="24"/>
          <w:szCs w:val="24"/>
        </w:rPr>
      </w:pPr>
    </w:p>
    <w:p w14:paraId="3DD033C4" w14:textId="77777777" w:rsidR="00B02326" w:rsidRDefault="00B02326">
      <w:r>
        <w:br w:type="page"/>
      </w:r>
    </w:p>
    <w:p w14:paraId="68046220" w14:textId="49CC4DC4" w:rsidR="00725E6E" w:rsidRPr="004A523D" w:rsidRDefault="00725E6E" w:rsidP="00725E6E">
      <w:r>
        <w:lastRenderedPageBreak/>
        <w:t xml:space="preserve">Table 7: Alpha-age minus chronological age (see equation 6). </w:t>
      </w:r>
      <w:r>
        <w:rPr>
          <w:i/>
        </w:rPr>
        <w:t xml:space="preserve">r </w:t>
      </w:r>
      <w:r>
        <w:t xml:space="preserve">is the characteristic schedule for more educated people and </w:t>
      </w:r>
      <w:r>
        <w:rPr>
          <w:i/>
        </w:rPr>
        <w:t xml:space="preserve">s </w:t>
      </w:r>
      <w:r>
        <w:t>is the characteristic schedule for those with less education (see equation 2)</w:t>
      </w:r>
    </w:p>
    <w:tbl>
      <w:tblPr>
        <w:tblStyle w:val="TableGrid"/>
        <w:tblW w:w="0" w:type="auto"/>
        <w:tblLook w:val="04A0" w:firstRow="1" w:lastRow="0" w:firstColumn="1" w:lastColumn="0" w:noHBand="0" w:noVBand="1"/>
      </w:tblPr>
      <w:tblGrid>
        <w:gridCol w:w="3116"/>
        <w:gridCol w:w="3117"/>
        <w:gridCol w:w="3117"/>
      </w:tblGrid>
      <w:tr w:rsidR="00725E6E" w14:paraId="740366D6" w14:textId="77777777" w:rsidTr="00D62A5C">
        <w:tc>
          <w:tcPr>
            <w:tcW w:w="3116" w:type="dxa"/>
          </w:tcPr>
          <w:p w14:paraId="63F7D7C2" w14:textId="77777777" w:rsidR="00725E6E" w:rsidRPr="004A523D" w:rsidRDefault="00725E6E" w:rsidP="004A523D">
            <w:pPr>
              <w:autoSpaceDE w:val="0"/>
              <w:autoSpaceDN w:val="0"/>
              <w:adjustRightInd w:val="0"/>
              <w:spacing w:line="480" w:lineRule="auto"/>
              <w:rPr>
                <w:sz w:val="24"/>
              </w:rPr>
            </w:pPr>
          </w:p>
        </w:tc>
        <w:tc>
          <w:tcPr>
            <w:tcW w:w="3117" w:type="dxa"/>
          </w:tcPr>
          <w:p w14:paraId="361D139B" w14:textId="77777777" w:rsidR="00725E6E" w:rsidRPr="004A523D" w:rsidRDefault="00725E6E" w:rsidP="004A523D">
            <w:pPr>
              <w:autoSpaceDE w:val="0"/>
              <w:autoSpaceDN w:val="0"/>
              <w:adjustRightInd w:val="0"/>
              <w:spacing w:line="480" w:lineRule="auto"/>
              <w:rPr>
                <w:sz w:val="24"/>
              </w:rPr>
            </w:pPr>
            <w:r w:rsidRPr="004A523D">
              <w:rPr>
                <w:sz w:val="24"/>
              </w:rPr>
              <w:t>Women</w:t>
            </w:r>
          </w:p>
        </w:tc>
        <w:tc>
          <w:tcPr>
            <w:tcW w:w="3117" w:type="dxa"/>
          </w:tcPr>
          <w:p w14:paraId="148601E5" w14:textId="77777777" w:rsidR="00725E6E" w:rsidRPr="004A523D" w:rsidRDefault="00725E6E" w:rsidP="004A523D">
            <w:pPr>
              <w:autoSpaceDE w:val="0"/>
              <w:autoSpaceDN w:val="0"/>
              <w:adjustRightInd w:val="0"/>
              <w:spacing w:line="480" w:lineRule="auto"/>
              <w:rPr>
                <w:sz w:val="24"/>
              </w:rPr>
            </w:pPr>
            <w:r w:rsidRPr="004A523D">
              <w:rPr>
                <w:sz w:val="24"/>
              </w:rPr>
              <w:t>Men</w:t>
            </w:r>
          </w:p>
        </w:tc>
      </w:tr>
      <w:tr w:rsidR="00725E6E" w14:paraId="7DE34EA7" w14:textId="77777777" w:rsidTr="00D62A5C">
        <w:tc>
          <w:tcPr>
            <w:tcW w:w="3116" w:type="dxa"/>
          </w:tcPr>
          <w:p w14:paraId="418D05DF" w14:textId="77777777" w:rsidR="00725E6E" w:rsidRPr="004A523D" w:rsidRDefault="00725E6E" w:rsidP="004A523D">
            <w:pPr>
              <w:autoSpaceDE w:val="0"/>
              <w:autoSpaceDN w:val="0"/>
              <w:adjustRightInd w:val="0"/>
              <w:spacing w:line="480" w:lineRule="auto"/>
              <w:rPr>
                <w:sz w:val="24"/>
              </w:rPr>
            </w:pPr>
            <w:r w:rsidRPr="004A523D">
              <w:rPr>
                <w:sz w:val="24"/>
              </w:rPr>
              <w:t>Hand-grip strength</w:t>
            </w:r>
          </w:p>
        </w:tc>
        <w:tc>
          <w:tcPr>
            <w:tcW w:w="3117" w:type="dxa"/>
          </w:tcPr>
          <w:p w14:paraId="5A2705AA" w14:textId="77777777" w:rsidR="00725E6E" w:rsidRPr="004A523D" w:rsidRDefault="00725E6E" w:rsidP="004A523D">
            <w:pPr>
              <w:autoSpaceDE w:val="0"/>
              <w:autoSpaceDN w:val="0"/>
              <w:adjustRightInd w:val="0"/>
              <w:spacing w:line="480" w:lineRule="auto"/>
              <w:rPr>
                <w:sz w:val="24"/>
              </w:rPr>
            </w:pPr>
            <w:r w:rsidRPr="004A523D">
              <w:rPr>
                <w:sz w:val="24"/>
              </w:rPr>
              <w:t>-4.0 years</w:t>
            </w:r>
          </w:p>
        </w:tc>
        <w:tc>
          <w:tcPr>
            <w:tcW w:w="3117" w:type="dxa"/>
          </w:tcPr>
          <w:p w14:paraId="261139CE" w14:textId="77777777" w:rsidR="00725E6E" w:rsidRPr="004A523D" w:rsidRDefault="00725E6E" w:rsidP="004A523D">
            <w:pPr>
              <w:autoSpaceDE w:val="0"/>
              <w:autoSpaceDN w:val="0"/>
              <w:adjustRightInd w:val="0"/>
              <w:spacing w:line="480" w:lineRule="auto"/>
              <w:rPr>
                <w:sz w:val="24"/>
              </w:rPr>
            </w:pPr>
            <w:r w:rsidRPr="004A523D">
              <w:rPr>
                <w:sz w:val="24"/>
              </w:rPr>
              <w:t>-3.5 years</w:t>
            </w:r>
          </w:p>
        </w:tc>
      </w:tr>
      <w:tr w:rsidR="00725E6E" w14:paraId="74252952" w14:textId="77777777" w:rsidTr="00D62A5C">
        <w:tc>
          <w:tcPr>
            <w:tcW w:w="3116" w:type="dxa"/>
          </w:tcPr>
          <w:p w14:paraId="144D4D10" w14:textId="77777777" w:rsidR="00725E6E" w:rsidRPr="004A523D" w:rsidRDefault="00725E6E" w:rsidP="004A523D">
            <w:pPr>
              <w:autoSpaceDE w:val="0"/>
              <w:autoSpaceDN w:val="0"/>
              <w:adjustRightInd w:val="0"/>
              <w:spacing w:line="480" w:lineRule="auto"/>
              <w:rPr>
                <w:sz w:val="24"/>
              </w:rPr>
            </w:pPr>
            <w:r w:rsidRPr="004A523D">
              <w:rPr>
                <w:sz w:val="24"/>
              </w:rPr>
              <w:t>Chair rise speed</w:t>
            </w:r>
          </w:p>
        </w:tc>
        <w:tc>
          <w:tcPr>
            <w:tcW w:w="3117" w:type="dxa"/>
          </w:tcPr>
          <w:p w14:paraId="749223F8" w14:textId="77777777" w:rsidR="00725E6E" w:rsidRPr="004A523D" w:rsidRDefault="00725E6E" w:rsidP="004A523D">
            <w:pPr>
              <w:autoSpaceDE w:val="0"/>
              <w:autoSpaceDN w:val="0"/>
              <w:adjustRightInd w:val="0"/>
              <w:spacing w:line="480" w:lineRule="auto"/>
              <w:rPr>
                <w:sz w:val="24"/>
              </w:rPr>
            </w:pPr>
            <w:r w:rsidRPr="004A523D">
              <w:rPr>
                <w:sz w:val="24"/>
              </w:rPr>
              <w:t>-3.2 years</w:t>
            </w:r>
          </w:p>
        </w:tc>
        <w:tc>
          <w:tcPr>
            <w:tcW w:w="3117" w:type="dxa"/>
          </w:tcPr>
          <w:p w14:paraId="257AD409" w14:textId="77777777" w:rsidR="00725E6E" w:rsidRPr="004A523D" w:rsidRDefault="00725E6E" w:rsidP="004A523D">
            <w:pPr>
              <w:autoSpaceDE w:val="0"/>
              <w:autoSpaceDN w:val="0"/>
              <w:adjustRightInd w:val="0"/>
              <w:spacing w:line="480" w:lineRule="auto"/>
              <w:rPr>
                <w:sz w:val="24"/>
              </w:rPr>
            </w:pPr>
            <w:r w:rsidRPr="004A523D">
              <w:rPr>
                <w:sz w:val="24"/>
              </w:rPr>
              <w:t>-5.2 years</w:t>
            </w:r>
          </w:p>
        </w:tc>
      </w:tr>
    </w:tbl>
    <w:p w14:paraId="069A7B0F" w14:textId="77777777" w:rsidR="001B3B34" w:rsidRDefault="00725E6E" w:rsidP="001B3B34">
      <w:r>
        <w:br w:type="page"/>
      </w:r>
    </w:p>
    <w:p w14:paraId="5E4324A7" w14:textId="59C7D25D" w:rsidR="001B3B34" w:rsidRDefault="001B3B34" w:rsidP="001B3B34">
      <w:r>
        <w:lastRenderedPageBreak/>
        <w:t xml:space="preserve">Table 8: </w:t>
      </w:r>
      <w:r w:rsidRPr="00935BBE">
        <w:rPr>
          <w:position w:val="-10"/>
        </w:rPr>
        <w:object w:dxaOrig="240" w:dyaOrig="320" w14:anchorId="1CFFC492">
          <v:shape id="_x0000_i1040" type="#_x0000_t75" style="width:11.85pt;height:15.8pt" o:ole="">
            <v:imagedata r:id="rId39" o:title=""/>
          </v:shape>
          <o:OLEObject Type="Embed" ProgID="Equation.3" ShapeID="_x0000_i1040" DrawAspect="Content" ObjectID="_1528894906" r:id="rId40"/>
        </w:object>
      </w:r>
      <w:r>
        <w:t xml:space="preserve"> coefficients for women.  The variable “age” is coded as age-60.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00"/>
        <w:gridCol w:w="1829"/>
        <w:gridCol w:w="1666"/>
        <w:gridCol w:w="1567"/>
        <w:gridCol w:w="808"/>
      </w:tblGrid>
      <w:tr w:rsidR="001B3B34" w:rsidRPr="009728B3" w14:paraId="02EDFE54" w14:textId="77777777" w:rsidTr="004A523D">
        <w:trPr>
          <w:trHeight w:val="288"/>
        </w:trPr>
        <w:tc>
          <w:tcPr>
            <w:tcW w:w="1059" w:type="pct"/>
            <w:shd w:val="clear" w:color="auto" w:fill="auto"/>
            <w:noWrap/>
            <w:vAlign w:val="bottom"/>
            <w:hideMark/>
          </w:tcPr>
          <w:p w14:paraId="6F6FAC90" w14:textId="77777777" w:rsidR="001B3B34" w:rsidRPr="004A523D" w:rsidRDefault="001B3B34" w:rsidP="004A523D">
            <w:pPr>
              <w:rPr>
                <w:rFonts w:ascii="Times New Roman" w:eastAsia="Times New Roman" w:hAnsi="Times New Roman" w:cs="Times New Roman"/>
                <w:sz w:val="24"/>
                <w:szCs w:val="20"/>
              </w:rPr>
            </w:pPr>
          </w:p>
        </w:tc>
        <w:tc>
          <w:tcPr>
            <w:tcW w:w="802" w:type="pct"/>
            <w:shd w:val="clear" w:color="auto" w:fill="auto"/>
            <w:noWrap/>
            <w:vAlign w:val="bottom"/>
            <w:hideMark/>
          </w:tcPr>
          <w:p w14:paraId="2A3C0068"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Estimate</w:t>
            </w:r>
          </w:p>
        </w:tc>
        <w:tc>
          <w:tcPr>
            <w:tcW w:w="978" w:type="pct"/>
            <w:shd w:val="clear" w:color="auto" w:fill="auto"/>
            <w:noWrap/>
            <w:vAlign w:val="bottom"/>
            <w:hideMark/>
          </w:tcPr>
          <w:p w14:paraId="5AE8656E"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S.E.</w:t>
            </w:r>
          </w:p>
        </w:tc>
        <w:tc>
          <w:tcPr>
            <w:tcW w:w="891" w:type="pct"/>
            <w:shd w:val="clear" w:color="auto" w:fill="auto"/>
            <w:noWrap/>
            <w:vAlign w:val="bottom"/>
            <w:hideMark/>
          </w:tcPr>
          <w:p w14:paraId="20880A06"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z value</w:t>
            </w:r>
          </w:p>
        </w:tc>
        <w:tc>
          <w:tcPr>
            <w:tcW w:w="838" w:type="pct"/>
            <w:shd w:val="clear" w:color="auto" w:fill="auto"/>
            <w:noWrap/>
            <w:vAlign w:val="bottom"/>
            <w:hideMark/>
          </w:tcPr>
          <w:p w14:paraId="1DF55296"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Pr(&gt;|z|)</w:t>
            </w:r>
          </w:p>
        </w:tc>
        <w:tc>
          <w:tcPr>
            <w:tcW w:w="432" w:type="pct"/>
            <w:shd w:val="clear" w:color="auto" w:fill="auto"/>
            <w:noWrap/>
            <w:vAlign w:val="bottom"/>
            <w:hideMark/>
          </w:tcPr>
          <w:p w14:paraId="676E0621" w14:textId="77777777" w:rsidR="001B3B34" w:rsidRPr="004A523D" w:rsidRDefault="001B3B34" w:rsidP="004A523D">
            <w:pPr>
              <w:rPr>
                <w:rFonts w:ascii="Calibri" w:eastAsia="Times New Roman" w:hAnsi="Calibri" w:cs="Times New Roman"/>
                <w:color w:val="000000"/>
                <w:sz w:val="24"/>
              </w:rPr>
            </w:pPr>
          </w:p>
        </w:tc>
      </w:tr>
      <w:tr w:rsidR="001B3B34" w:rsidRPr="009728B3" w14:paraId="4CA9B93F" w14:textId="77777777" w:rsidTr="004A523D">
        <w:trPr>
          <w:trHeight w:val="288"/>
        </w:trPr>
        <w:tc>
          <w:tcPr>
            <w:tcW w:w="1059" w:type="pct"/>
            <w:shd w:val="clear" w:color="auto" w:fill="auto"/>
            <w:noWrap/>
            <w:vAlign w:val="bottom"/>
            <w:hideMark/>
          </w:tcPr>
          <w:p w14:paraId="7F4283ED"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Intercept</w:t>
            </w:r>
          </w:p>
        </w:tc>
        <w:tc>
          <w:tcPr>
            <w:tcW w:w="802" w:type="pct"/>
            <w:shd w:val="clear" w:color="auto" w:fill="auto"/>
            <w:noWrap/>
            <w:vAlign w:val="bottom"/>
            <w:hideMark/>
          </w:tcPr>
          <w:p w14:paraId="35CC09C5"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1.22</w:t>
            </w:r>
          </w:p>
        </w:tc>
        <w:tc>
          <w:tcPr>
            <w:tcW w:w="978" w:type="pct"/>
            <w:shd w:val="clear" w:color="auto" w:fill="auto"/>
            <w:noWrap/>
            <w:vAlign w:val="bottom"/>
            <w:hideMark/>
          </w:tcPr>
          <w:p w14:paraId="6F9F9FE8"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0.06</w:t>
            </w:r>
          </w:p>
        </w:tc>
        <w:tc>
          <w:tcPr>
            <w:tcW w:w="891" w:type="pct"/>
            <w:shd w:val="clear" w:color="auto" w:fill="auto"/>
            <w:noWrap/>
            <w:vAlign w:val="bottom"/>
            <w:hideMark/>
          </w:tcPr>
          <w:p w14:paraId="59C68336"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19.82</w:t>
            </w:r>
          </w:p>
        </w:tc>
        <w:tc>
          <w:tcPr>
            <w:tcW w:w="838" w:type="pct"/>
            <w:shd w:val="clear" w:color="auto" w:fill="auto"/>
            <w:noWrap/>
            <w:vAlign w:val="bottom"/>
            <w:hideMark/>
          </w:tcPr>
          <w:p w14:paraId="2FA4993E"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&lt; 2e-16</w:t>
            </w:r>
          </w:p>
        </w:tc>
        <w:tc>
          <w:tcPr>
            <w:tcW w:w="432" w:type="pct"/>
            <w:shd w:val="clear" w:color="auto" w:fill="auto"/>
            <w:noWrap/>
            <w:vAlign w:val="bottom"/>
            <w:hideMark/>
          </w:tcPr>
          <w:p w14:paraId="5897A535"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1B3B34" w:rsidRPr="009728B3" w14:paraId="4494584C" w14:textId="77777777" w:rsidTr="004A523D">
        <w:trPr>
          <w:trHeight w:val="288"/>
        </w:trPr>
        <w:tc>
          <w:tcPr>
            <w:tcW w:w="1059" w:type="pct"/>
            <w:tcBorders>
              <w:bottom w:val="single" w:sz="4" w:space="0" w:color="auto"/>
            </w:tcBorders>
            <w:shd w:val="clear" w:color="auto" w:fill="auto"/>
            <w:noWrap/>
            <w:vAlign w:val="bottom"/>
            <w:hideMark/>
          </w:tcPr>
          <w:p w14:paraId="26347B4F"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age</w:t>
            </w:r>
          </w:p>
        </w:tc>
        <w:tc>
          <w:tcPr>
            <w:tcW w:w="802" w:type="pct"/>
            <w:tcBorders>
              <w:bottom w:val="single" w:sz="4" w:space="0" w:color="auto"/>
            </w:tcBorders>
            <w:shd w:val="clear" w:color="auto" w:fill="auto"/>
            <w:noWrap/>
            <w:vAlign w:val="bottom"/>
            <w:hideMark/>
          </w:tcPr>
          <w:p w14:paraId="466B3BDF"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-0.06</w:t>
            </w:r>
          </w:p>
        </w:tc>
        <w:tc>
          <w:tcPr>
            <w:tcW w:w="978" w:type="pct"/>
            <w:tcBorders>
              <w:bottom w:val="single" w:sz="4" w:space="0" w:color="auto"/>
            </w:tcBorders>
            <w:shd w:val="clear" w:color="auto" w:fill="auto"/>
            <w:noWrap/>
            <w:vAlign w:val="bottom"/>
            <w:hideMark/>
          </w:tcPr>
          <w:p w14:paraId="1AE4C05E"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0.00</w:t>
            </w:r>
          </w:p>
        </w:tc>
        <w:tc>
          <w:tcPr>
            <w:tcW w:w="891" w:type="pct"/>
            <w:tcBorders>
              <w:bottom w:val="single" w:sz="4" w:space="0" w:color="auto"/>
            </w:tcBorders>
            <w:shd w:val="clear" w:color="auto" w:fill="auto"/>
            <w:noWrap/>
            <w:vAlign w:val="bottom"/>
            <w:hideMark/>
          </w:tcPr>
          <w:p w14:paraId="54B48E45"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-14.34</w:t>
            </w:r>
          </w:p>
        </w:tc>
        <w:tc>
          <w:tcPr>
            <w:tcW w:w="838" w:type="pct"/>
            <w:tcBorders>
              <w:bottom w:val="single" w:sz="4" w:space="0" w:color="auto"/>
            </w:tcBorders>
            <w:shd w:val="clear" w:color="auto" w:fill="auto"/>
            <w:noWrap/>
            <w:vAlign w:val="bottom"/>
            <w:hideMark/>
          </w:tcPr>
          <w:p w14:paraId="2DC2C8C8"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&lt; 2e-16</w:t>
            </w:r>
          </w:p>
        </w:tc>
        <w:tc>
          <w:tcPr>
            <w:tcW w:w="432" w:type="pct"/>
            <w:tcBorders>
              <w:bottom w:val="single" w:sz="4" w:space="0" w:color="auto"/>
            </w:tcBorders>
            <w:shd w:val="clear" w:color="auto" w:fill="auto"/>
            <w:noWrap/>
            <w:vAlign w:val="bottom"/>
            <w:hideMark/>
          </w:tcPr>
          <w:p w14:paraId="249D60B9"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r w:rsidR="001B3B34" w:rsidRPr="009728B3" w14:paraId="6B4EFF9F" w14:textId="77777777" w:rsidTr="004A523D">
        <w:trPr>
          <w:trHeight w:val="288"/>
        </w:trPr>
        <w:tc>
          <w:tcPr>
            <w:tcW w:w="10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C3334"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more educated</w:t>
            </w:r>
          </w:p>
        </w:tc>
        <w:tc>
          <w:tcPr>
            <w:tcW w:w="8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51255"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0.21</w:t>
            </w:r>
          </w:p>
        </w:tc>
        <w:tc>
          <w:tcPr>
            <w:tcW w:w="9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D0272"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0.06</w:t>
            </w:r>
          </w:p>
        </w:tc>
        <w:tc>
          <w:tcPr>
            <w:tcW w:w="8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3B8C4"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3.71</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3F9AB"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0.00</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DCD05" w14:textId="77777777" w:rsidR="001B3B34" w:rsidRPr="004A523D" w:rsidRDefault="001B3B34"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w:t>
            </w:r>
          </w:p>
        </w:tc>
      </w:tr>
    </w:tbl>
    <w:p w14:paraId="3DBDDFC3" w14:textId="77777777" w:rsidR="001B3B34" w:rsidRDefault="001B3B34" w:rsidP="001B3B34">
      <w:r>
        <w:t xml:space="preserve">Note: </w:t>
      </w:r>
      <w:r w:rsidRPr="0038080F">
        <w:t>* p&lt;0.</w:t>
      </w:r>
      <w:r>
        <w:t>05</w:t>
      </w:r>
      <w:r w:rsidRPr="0038080F">
        <w:t>; ** p&lt;0.0</w:t>
      </w:r>
      <w:r>
        <w:t>1</w:t>
      </w:r>
      <w:r w:rsidRPr="0038080F">
        <w:t>; *** p&lt;0.0</w:t>
      </w:r>
      <w:r>
        <w:t>01</w:t>
      </w:r>
      <w:r w:rsidRPr="0038080F">
        <w:t>.</w:t>
      </w:r>
    </w:p>
    <w:p w14:paraId="5661C133" w14:textId="77777777" w:rsidR="00EE374D" w:rsidRDefault="00EE374D" w:rsidP="001B3B34"/>
    <w:p w14:paraId="79F7DBB6" w14:textId="77777777" w:rsidR="00EE374D" w:rsidRDefault="00EE374D">
      <w:r>
        <w:br w:type="page"/>
      </w:r>
    </w:p>
    <w:p w14:paraId="142FC9CA" w14:textId="2FEEDF43" w:rsidR="001B3B34" w:rsidRDefault="001B3B34" w:rsidP="001B3B34">
      <w:r>
        <w:lastRenderedPageBreak/>
        <w:t xml:space="preserve">Table 9: </w:t>
      </w:r>
      <w:r w:rsidRPr="00935BBE">
        <w:rPr>
          <w:position w:val="-10"/>
        </w:rPr>
        <w:object w:dxaOrig="240" w:dyaOrig="320" w14:anchorId="7699F39E">
          <v:shape id="_x0000_i1041" type="#_x0000_t75" style="width:11.85pt;height:15.8pt" o:ole="">
            <v:imagedata r:id="rId39" o:title=""/>
          </v:shape>
          <o:OLEObject Type="Embed" ProgID="Equation.3" ShapeID="_x0000_i1041" DrawAspect="Content" ObjectID="_1528894907" r:id="rId41"/>
        </w:object>
      </w:r>
      <w:r>
        <w:t xml:space="preserve"> coefficients for men. The variable “age” is coded as age-60.</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30"/>
        <w:gridCol w:w="1800"/>
        <w:gridCol w:w="1710"/>
        <w:gridCol w:w="1530"/>
        <w:gridCol w:w="810"/>
      </w:tblGrid>
      <w:tr w:rsidR="00E6373A" w:rsidRPr="009728B3" w14:paraId="01E2F86D" w14:textId="5001AEDF" w:rsidTr="00EE374D">
        <w:trPr>
          <w:trHeight w:val="615"/>
        </w:trPr>
        <w:tc>
          <w:tcPr>
            <w:tcW w:w="1980" w:type="dxa"/>
            <w:shd w:val="clear" w:color="auto" w:fill="auto"/>
            <w:noWrap/>
            <w:vAlign w:val="bottom"/>
            <w:hideMark/>
          </w:tcPr>
          <w:p w14:paraId="41BB5B68" w14:textId="77777777" w:rsidR="00E6373A" w:rsidRPr="004A523D" w:rsidRDefault="00E6373A" w:rsidP="004A523D">
            <w:pPr>
              <w:rPr>
                <w:rFonts w:ascii="Times New Roman" w:eastAsia="Times New Roman" w:hAnsi="Times New Roman" w:cs="Times New Roman"/>
                <w:sz w:val="24"/>
                <w:szCs w:val="20"/>
              </w:rPr>
            </w:pPr>
          </w:p>
        </w:tc>
        <w:tc>
          <w:tcPr>
            <w:tcW w:w="1530" w:type="dxa"/>
            <w:shd w:val="clear" w:color="auto" w:fill="auto"/>
            <w:noWrap/>
            <w:vAlign w:val="bottom"/>
            <w:hideMark/>
          </w:tcPr>
          <w:p w14:paraId="4BAE89A2" w14:textId="77777777" w:rsidR="00E6373A" w:rsidRPr="004A523D" w:rsidRDefault="00E6373A"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Estimate</w:t>
            </w:r>
          </w:p>
        </w:tc>
        <w:tc>
          <w:tcPr>
            <w:tcW w:w="1800" w:type="dxa"/>
            <w:vAlign w:val="bottom"/>
          </w:tcPr>
          <w:p w14:paraId="491B5A92" w14:textId="699B34D3" w:rsidR="00E6373A" w:rsidRPr="00C01DC9" w:rsidRDefault="00E6373A" w:rsidP="00E6373A">
            <w:pPr>
              <w:rPr>
                <w:rFonts w:ascii="Calibri" w:eastAsia="Times New Roman" w:hAnsi="Calibri" w:cs="Times New Roman"/>
                <w:color w:val="000000"/>
                <w:sz w:val="24"/>
              </w:rPr>
            </w:pPr>
            <w:r w:rsidRPr="00CB7420">
              <w:rPr>
                <w:rFonts w:ascii="Calibri" w:eastAsia="Times New Roman" w:hAnsi="Calibri" w:cs="Times New Roman"/>
                <w:color w:val="000000"/>
                <w:sz w:val="24"/>
              </w:rPr>
              <w:t>S.E.</w:t>
            </w:r>
          </w:p>
        </w:tc>
        <w:tc>
          <w:tcPr>
            <w:tcW w:w="1710" w:type="dxa"/>
            <w:vAlign w:val="bottom"/>
          </w:tcPr>
          <w:p w14:paraId="420B1B8D" w14:textId="0246626A" w:rsidR="00E6373A" w:rsidRPr="00C01DC9" w:rsidRDefault="00E6373A" w:rsidP="00E6373A">
            <w:pPr>
              <w:rPr>
                <w:rFonts w:ascii="Calibri" w:eastAsia="Times New Roman" w:hAnsi="Calibri" w:cs="Times New Roman"/>
                <w:color w:val="000000"/>
                <w:sz w:val="24"/>
              </w:rPr>
            </w:pPr>
            <w:r w:rsidRPr="00CB7420">
              <w:rPr>
                <w:rFonts w:ascii="Calibri" w:eastAsia="Times New Roman" w:hAnsi="Calibri" w:cs="Times New Roman"/>
                <w:color w:val="000000"/>
                <w:sz w:val="24"/>
              </w:rPr>
              <w:t>z value</w:t>
            </w:r>
          </w:p>
        </w:tc>
        <w:tc>
          <w:tcPr>
            <w:tcW w:w="1530" w:type="dxa"/>
            <w:vAlign w:val="bottom"/>
          </w:tcPr>
          <w:p w14:paraId="562E07D2" w14:textId="613A353A" w:rsidR="00E6373A" w:rsidRPr="00C01DC9" w:rsidRDefault="00E6373A" w:rsidP="00E6373A">
            <w:pPr>
              <w:rPr>
                <w:rFonts w:ascii="Calibri" w:eastAsia="Times New Roman" w:hAnsi="Calibri" w:cs="Times New Roman"/>
                <w:color w:val="000000"/>
                <w:sz w:val="24"/>
              </w:rPr>
            </w:pPr>
            <w:r w:rsidRPr="00CB7420">
              <w:rPr>
                <w:rFonts w:ascii="Calibri" w:eastAsia="Times New Roman" w:hAnsi="Calibri" w:cs="Times New Roman"/>
                <w:color w:val="000000"/>
                <w:sz w:val="24"/>
              </w:rPr>
              <w:t>Pr(&gt;|z|)</w:t>
            </w:r>
          </w:p>
        </w:tc>
        <w:tc>
          <w:tcPr>
            <w:tcW w:w="810" w:type="dxa"/>
          </w:tcPr>
          <w:p w14:paraId="6B9E8D95" w14:textId="77777777" w:rsidR="00E6373A" w:rsidRPr="00CB7420" w:rsidRDefault="00E6373A" w:rsidP="00E6373A">
            <w:pPr>
              <w:rPr>
                <w:rFonts w:ascii="Calibri" w:eastAsia="Times New Roman" w:hAnsi="Calibri" w:cs="Times New Roman"/>
                <w:color w:val="000000"/>
                <w:sz w:val="24"/>
              </w:rPr>
            </w:pPr>
          </w:p>
        </w:tc>
      </w:tr>
      <w:tr w:rsidR="00E6373A" w:rsidRPr="009728B3" w14:paraId="787769C0" w14:textId="3CAA6E89" w:rsidTr="00EE374D">
        <w:trPr>
          <w:trHeight w:val="615"/>
        </w:trPr>
        <w:tc>
          <w:tcPr>
            <w:tcW w:w="1980" w:type="dxa"/>
            <w:shd w:val="clear" w:color="auto" w:fill="auto"/>
            <w:noWrap/>
            <w:vAlign w:val="bottom"/>
            <w:hideMark/>
          </w:tcPr>
          <w:p w14:paraId="7B6128A3" w14:textId="77777777" w:rsidR="00E6373A" w:rsidRPr="004A523D" w:rsidRDefault="00E6373A"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Intercept</w:t>
            </w:r>
          </w:p>
        </w:tc>
        <w:tc>
          <w:tcPr>
            <w:tcW w:w="1530" w:type="dxa"/>
            <w:shd w:val="clear" w:color="auto" w:fill="auto"/>
            <w:noWrap/>
            <w:vAlign w:val="bottom"/>
            <w:hideMark/>
          </w:tcPr>
          <w:p w14:paraId="5960FA83" w14:textId="77777777" w:rsidR="00E6373A" w:rsidRPr="004A523D" w:rsidRDefault="00E6373A"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0.98027</w:t>
            </w:r>
          </w:p>
        </w:tc>
        <w:tc>
          <w:tcPr>
            <w:tcW w:w="1800" w:type="dxa"/>
            <w:vAlign w:val="bottom"/>
          </w:tcPr>
          <w:p w14:paraId="5A821A5C" w14:textId="4DB0122D" w:rsidR="00E6373A" w:rsidRPr="00C01DC9" w:rsidRDefault="00E6373A" w:rsidP="00E6373A">
            <w:pPr>
              <w:rPr>
                <w:rFonts w:ascii="Calibri" w:eastAsia="Times New Roman" w:hAnsi="Calibri" w:cs="Times New Roman"/>
                <w:color w:val="000000"/>
                <w:sz w:val="24"/>
              </w:rPr>
            </w:pPr>
            <w:r w:rsidRPr="009728B3">
              <w:rPr>
                <w:rFonts w:ascii="Calibri" w:eastAsia="Times New Roman" w:hAnsi="Calibri" w:cs="Times New Roman"/>
                <w:color w:val="000000"/>
              </w:rPr>
              <w:t>0.063002</w:t>
            </w:r>
          </w:p>
        </w:tc>
        <w:tc>
          <w:tcPr>
            <w:tcW w:w="1710" w:type="dxa"/>
            <w:vAlign w:val="bottom"/>
          </w:tcPr>
          <w:p w14:paraId="338A4269" w14:textId="5595860E" w:rsidR="00E6373A" w:rsidRPr="00C01DC9" w:rsidRDefault="00E6373A" w:rsidP="00E6373A">
            <w:pPr>
              <w:rPr>
                <w:rFonts w:ascii="Calibri" w:eastAsia="Times New Roman" w:hAnsi="Calibri" w:cs="Times New Roman"/>
                <w:color w:val="000000"/>
                <w:sz w:val="24"/>
              </w:rPr>
            </w:pPr>
            <w:r w:rsidRPr="009728B3">
              <w:rPr>
                <w:rFonts w:ascii="Calibri" w:eastAsia="Times New Roman" w:hAnsi="Calibri" w:cs="Times New Roman"/>
                <w:color w:val="000000"/>
              </w:rPr>
              <w:t>15.559</w:t>
            </w:r>
          </w:p>
        </w:tc>
        <w:tc>
          <w:tcPr>
            <w:tcW w:w="1530" w:type="dxa"/>
            <w:vAlign w:val="bottom"/>
          </w:tcPr>
          <w:p w14:paraId="700D0579" w14:textId="6C4225C4" w:rsidR="00E6373A" w:rsidRPr="00C01DC9" w:rsidRDefault="00E6373A" w:rsidP="00E6373A">
            <w:pPr>
              <w:rPr>
                <w:rFonts w:ascii="Calibri" w:eastAsia="Times New Roman" w:hAnsi="Calibri" w:cs="Times New Roman"/>
                <w:color w:val="000000"/>
                <w:sz w:val="24"/>
              </w:rPr>
            </w:pPr>
            <w:r w:rsidRPr="009728B3">
              <w:rPr>
                <w:rFonts w:ascii="Calibri" w:eastAsia="Times New Roman" w:hAnsi="Calibri" w:cs="Times New Roman"/>
                <w:color w:val="000000"/>
              </w:rPr>
              <w:t>&lt; 2e-16</w:t>
            </w:r>
          </w:p>
        </w:tc>
        <w:tc>
          <w:tcPr>
            <w:tcW w:w="810" w:type="dxa"/>
            <w:vAlign w:val="bottom"/>
          </w:tcPr>
          <w:p w14:paraId="715F5CB3" w14:textId="15E7FADD" w:rsidR="00E6373A" w:rsidRPr="009728B3" w:rsidRDefault="00E6373A" w:rsidP="00E6373A">
            <w:pPr>
              <w:rPr>
                <w:rFonts w:ascii="Calibri" w:eastAsia="Times New Roman" w:hAnsi="Calibri" w:cs="Times New Roman"/>
                <w:color w:val="000000"/>
              </w:rPr>
            </w:pPr>
            <w:r w:rsidRPr="00CB7420">
              <w:rPr>
                <w:rFonts w:ascii="Calibri" w:eastAsia="Times New Roman" w:hAnsi="Calibri" w:cs="Times New Roman"/>
                <w:color w:val="000000"/>
                <w:sz w:val="24"/>
              </w:rPr>
              <w:t>***</w:t>
            </w:r>
          </w:p>
        </w:tc>
      </w:tr>
      <w:tr w:rsidR="00E6373A" w:rsidRPr="009728B3" w14:paraId="3D581B65" w14:textId="7274448C" w:rsidTr="00EE374D">
        <w:trPr>
          <w:trHeight w:val="615"/>
        </w:trPr>
        <w:tc>
          <w:tcPr>
            <w:tcW w:w="1980" w:type="dxa"/>
            <w:tcBorders>
              <w:bottom w:val="single" w:sz="4" w:space="0" w:color="auto"/>
            </w:tcBorders>
            <w:shd w:val="clear" w:color="auto" w:fill="auto"/>
            <w:noWrap/>
            <w:vAlign w:val="bottom"/>
            <w:hideMark/>
          </w:tcPr>
          <w:p w14:paraId="1820D5C0" w14:textId="77777777" w:rsidR="00E6373A" w:rsidRPr="004A523D" w:rsidRDefault="00E6373A"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age</w:t>
            </w:r>
          </w:p>
        </w:tc>
        <w:tc>
          <w:tcPr>
            <w:tcW w:w="1530" w:type="dxa"/>
            <w:tcBorders>
              <w:bottom w:val="single" w:sz="4" w:space="0" w:color="auto"/>
            </w:tcBorders>
            <w:shd w:val="clear" w:color="auto" w:fill="auto"/>
            <w:noWrap/>
            <w:vAlign w:val="bottom"/>
            <w:hideMark/>
          </w:tcPr>
          <w:p w14:paraId="3EB4E8E9" w14:textId="77777777" w:rsidR="00E6373A" w:rsidRPr="004A523D" w:rsidRDefault="00E6373A"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-0.06435</w:t>
            </w:r>
          </w:p>
        </w:tc>
        <w:tc>
          <w:tcPr>
            <w:tcW w:w="1800" w:type="dxa"/>
            <w:tcBorders>
              <w:bottom w:val="single" w:sz="4" w:space="0" w:color="auto"/>
            </w:tcBorders>
            <w:vAlign w:val="bottom"/>
          </w:tcPr>
          <w:p w14:paraId="6D8D6325" w14:textId="45896EC1" w:rsidR="00E6373A" w:rsidRPr="00C01DC9" w:rsidRDefault="00E6373A" w:rsidP="00E6373A">
            <w:pPr>
              <w:rPr>
                <w:rFonts w:ascii="Calibri" w:eastAsia="Times New Roman" w:hAnsi="Calibri" w:cs="Times New Roman"/>
                <w:color w:val="000000"/>
                <w:sz w:val="24"/>
              </w:rPr>
            </w:pPr>
            <w:r w:rsidRPr="009728B3">
              <w:rPr>
                <w:rFonts w:ascii="Calibri" w:eastAsia="Times New Roman" w:hAnsi="Calibri" w:cs="Times New Roman"/>
                <w:color w:val="000000"/>
              </w:rPr>
              <w:t>0.004499</w:t>
            </w:r>
          </w:p>
        </w:tc>
        <w:tc>
          <w:tcPr>
            <w:tcW w:w="1710" w:type="dxa"/>
            <w:tcBorders>
              <w:bottom w:val="single" w:sz="4" w:space="0" w:color="auto"/>
            </w:tcBorders>
            <w:vAlign w:val="bottom"/>
          </w:tcPr>
          <w:p w14:paraId="77880FEB" w14:textId="3900C8B5" w:rsidR="00E6373A" w:rsidRPr="00C01DC9" w:rsidRDefault="00E6373A" w:rsidP="00E6373A">
            <w:pPr>
              <w:rPr>
                <w:rFonts w:ascii="Calibri" w:eastAsia="Times New Roman" w:hAnsi="Calibri" w:cs="Times New Roman"/>
                <w:color w:val="000000"/>
                <w:sz w:val="24"/>
              </w:rPr>
            </w:pPr>
            <w:r w:rsidRPr="009728B3">
              <w:rPr>
                <w:rFonts w:ascii="Calibri" w:eastAsia="Times New Roman" w:hAnsi="Calibri" w:cs="Times New Roman"/>
                <w:color w:val="000000"/>
              </w:rPr>
              <w:t>-14.303</w:t>
            </w:r>
          </w:p>
        </w:tc>
        <w:tc>
          <w:tcPr>
            <w:tcW w:w="1530" w:type="dxa"/>
            <w:tcBorders>
              <w:bottom w:val="single" w:sz="4" w:space="0" w:color="auto"/>
            </w:tcBorders>
            <w:vAlign w:val="bottom"/>
          </w:tcPr>
          <w:p w14:paraId="631F42AE" w14:textId="31C72F88" w:rsidR="00E6373A" w:rsidRPr="00C01DC9" w:rsidRDefault="00E6373A" w:rsidP="00E6373A">
            <w:pPr>
              <w:rPr>
                <w:rFonts w:ascii="Calibri" w:eastAsia="Times New Roman" w:hAnsi="Calibri" w:cs="Times New Roman"/>
                <w:color w:val="000000"/>
                <w:sz w:val="24"/>
              </w:rPr>
            </w:pPr>
            <w:r w:rsidRPr="009728B3">
              <w:rPr>
                <w:rFonts w:ascii="Calibri" w:eastAsia="Times New Roman" w:hAnsi="Calibri" w:cs="Times New Roman"/>
                <w:color w:val="000000"/>
              </w:rPr>
              <w:t>&lt; 2e-16</w:t>
            </w:r>
          </w:p>
        </w:tc>
        <w:tc>
          <w:tcPr>
            <w:tcW w:w="810" w:type="dxa"/>
            <w:tcBorders>
              <w:bottom w:val="single" w:sz="4" w:space="0" w:color="auto"/>
            </w:tcBorders>
            <w:vAlign w:val="bottom"/>
          </w:tcPr>
          <w:p w14:paraId="7176A312" w14:textId="7F8F9B97" w:rsidR="00E6373A" w:rsidRPr="009728B3" w:rsidRDefault="00E6373A" w:rsidP="00E6373A">
            <w:pPr>
              <w:rPr>
                <w:rFonts w:ascii="Calibri" w:eastAsia="Times New Roman" w:hAnsi="Calibri" w:cs="Times New Roman"/>
                <w:color w:val="000000"/>
              </w:rPr>
            </w:pPr>
            <w:r w:rsidRPr="00CB7420">
              <w:rPr>
                <w:rFonts w:ascii="Calibri" w:eastAsia="Times New Roman" w:hAnsi="Calibri" w:cs="Times New Roman"/>
                <w:color w:val="000000"/>
                <w:sz w:val="24"/>
              </w:rPr>
              <w:t>***</w:t>
            </w:r>
          </w:p>
        </w:tc>
      </w:tr>
      <w:tr w:rsidR="00E6373A" w:rsidRPr="009728B3" w14:paraId="7D2CB25E" w14:textId="6F5ADF40" w:rsidTr="00EE374D">
        <w:trPr>
          <w:trHeight w:val="615"/>
        </w:trPr>
        <w:tc>
          <w:tcPr>
            <w:tcW w:w="1980" w:type="dxa"/>
            <w:tcBorders>
              <w:bottom w:val="single" w:sz="4" w:space="0" w:color="auto"/>
            </w:tcBorders>
            <w:shd w:val="clear" w:color="auto" w:fill="auto"/>
            <w:noWrap/>
            <w:vAlign w:val="bottom"/>
            <w:hideMark/>
          </w:tcPr>
          <w:p w14:paraId="781FC8FB" w14:textId="77777777" w:rsidR="00E6373A" w:rsidRPr="004A523D" w:rsidRDefault="00E6373A"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more educated</w:t>
            </w:r>
          </w:p>
        </w:tc>
        <w:tc>
          <w:tcPr>
            <w:tcW w:w="1530" w:type="dxa"/>
            <w:tcBorders>
              <w:bottom w:val="single" w:sz="4" w:space="0" w:color="auto"/>
            </w:tcBorders>
            <w:shd w:val="clear" w:color="auto" w:fill="auto"/>
            <w:noWrap/>
            <w:vAlign w:val="bottom"/>
            <w:hideMark/>
          </w:tcPr>
          <w:p w14:paraId="766E3679" w14:textId="77777777" w:rsidR="00E6373A" w:rsidRPr="004A523D" w:rsidRDefault="00E6373A" w:rsidP="004A523D">
            <w:pPr>
              <w:rPr>
                <w:rFonts w:ascii="Calibri" w:eastAsia="Times New Roman" w:hAnsi="Calibri" w:cs="Times New Roman"/>
                <w:color w:val="000000"/>
                <w:sz w:val="24"/>
              </w:rPr>
            </w:pPr>
            <w:r w:rsidRPr="004A523D">
              <w:rPr>
                <w:rFonts w:ascii="Calibri" w:eastAsia="Times New Roman" w:hAnsi="Calibri" w:cs="Times New Roman"/>
                <w:color w:val="000000"/>
                <w:sz w:val="24"/>
              </w:rPr>
              <w:t>0.261941</w:t>
            </w:r>
          </w:p>
        </w:tc>
        <w:tc>
          <w:tcPr>
            <w:tcW w:w="1800" w:type="dxa"/>
            <w:tcBorders>
              <w:bottom w:val="single" w:sz="4" w:space="0" w:color="auto"/>
            </w:tcBorders>
            <w:vAlign w:val="bottom"/>
          </w:tcPr>
          <w:p w14:paraId="71C3A689" w14:textId="4E1B0CEA" w:rsidR="00E6373A" w:rsidRPr="00C01DC9" w:rsidRDefault="00E6373A" w:rsidP="00E6373A">
            <w:pPr>
              <w:rPr>
                <w:rFonts w:ascii="Calibri" w:eastAsia="Times New Roman" w:hAnsi="Calibri" w:cs="Times New Roman"/>
                <w:color w:val="000000"/>
                <w:sz w:val="24"/>
              </w:rPr>
            </w:pPr>
            <w:r w:rsidRPr="009728B3">
              <w:rPr>
                <w:rFonts w:ascii="Calibri" w:eastAsia="Times New Roman" w:hAnsi="Calibri" w:cs="Times New Roman"/>
                <w:color w:val="000000"/>
              </w:rPr>
              <w:t>0.057527</w:t>
            </w:r>
          </w:p>
        </w:tc>
        <w:tc>
          <w:tcPr>
            <w:tcW w:w="1710" w:type="dxa"/>
            <w:tcBorders>
              <w:bottom w:val="single" w:sz="4" w:space="0" w:color="auto"/>
            </w:tcBorders>
            <w:vAlign w:val="bottom"/>
          </w:tcPr>
          <w:p w14:paraId="2186BD6D" w14:textId="75B02CB5" w:rsidR="00E6373A" w:rsidRPr="00C01DC9" w:rsidRDefault="00E6373A" w:rsidP="00E6373A">
            <w:pPr>
              <w:rPr>
                <w:rFonts w:ascii="Calibri" w:eastAsia="Times New Roman" w:hAnsi="Calibri" w:cs="Times New Roman"/>
                <w:color w:val="000000"/>
                <w:sz w:val="24"/>
              </w:rPr>
            </w:pPr>
            <w:r w:rsidRPr="009728B3">
              <w:rPr>
                <w:rFonts w:ascii="Calibri" w:eastAsia="Times New Roman" w:hAnsi="Calibri" w:cs="Times New Roman"/>
                <w:color w:val="000000"/>
              </w:rPr>
              <w:t>4.553</w:t>
            </w:r>
          </w:p>
        </w:tc>
        <w:tc>
          <w:tcPr>
            <w:tcW w:w="1530" w:type="dxa"/>
            <w:tcBorders>
              <w:bottom w:val="single" w:sz="4" w:space="0" w:color="auto"/>
            </w:tcBorders>
            <w:vAlign w:val="bottom"/>
          </w:tcPr>
          <w:p w14:paraId="695A1934" w14:textId="148C6BE7" w:rsidR="00E6373A" w:rsidRPr="00C01DC9" w:rsidRDefault="00E6373A" w:rsidP="00E6373A">
            <w:pPr>
              <w:rPr>
                <w:rFonts w:ascii="Calibri" w:eastAsia="Times New Roman" w:hAnsi="Calibri" w:cs="Times New Roman"/>
                <w:color w:val="000000"/>
                <w:sz w:val="24"/>
              </w:rPr>
            </w:pPr>
            <w:r w:rsidRPr="009728B3">
              <w:rPr>
                <w:rFonts w:ascii="Calibri" w:eastAsia="Times New Roman" w:hAnsi="Calibri" w:cs="Times New Roman"/>
                <w:color w:val="000000"/>
              </w:rPr>
              <w:t>5.28E-06</w:t>
            </w:r>
          </w:p>
        </w:tc>
        <w:tc>
          <w:tcPr>
            <w:tcW w:w="810" w:type="dxa"/>
            <w:tcBorders>
              <w:bottom w:val="single" w:sz="4" w:space="0" w:color="auto"/>
            </w:tcBorders>
            <w:vAlign w:val="bottom"/>
          </w:tcPr>
          <w:p w14:paraId="0C3381E1" w14:textId="4350EF9C" w:rsidR="00E6373A" w:rsidRPr="009728B3" w:rsidRDefault="00E6373A" w:rsidP="00E6373A">
            <w:pPr>
              <w:rPr>
                <w:rFonts w:ascii="Calibri" w:eastAsia="Times New Roman" w:hAnsi="Calibri" w:cs="Times New Roman"/>
                <w:color w:val="000000"/>
              </w:rPr>
            </w:pPr>
            <w:r w:rsidRPr="00CB7420">
              <w:rPr>
                <w:rFonts w:ascii="Calibri" w:eastAsia="Times New Roman" w:hAnsi="Calibri" w:cs="Times New Roman"/>
                <w:color w:val="000000"/>
                <w:sz w:val="24"/>
              </w:rPr>
              <w:t>***</w:t>
            </w:r>
          </w:p>
        </w:tc>
      </w:tr>
    </w:tbl>
    <w:p w14:paraId="3694DD54" w14:textId="77777777" w:rsidR="001B3B34" w:rsidRDefault="001B3B34" w:rsidP="001B3B34">
      <w:r>
        <w:t xml:space="preserve">Note: </w:t>
      </w:r>
      <w:r w:rsidRPr="0038080F">
        <w:t>* p&lt;0.</w:t>
      </w:r>
      <w:r>
        <w:t>05</w:t>
      </w:r>
      <w:r w:rsidRPr="0038080F">
        <w:t>; ** p&lt;0.0</w:t>
      </w:r>
      <w:r>
        <w:t>1</w:t>
      </w:r>
      <w:r w:rsidRPr="0038080F">
        <w:t>; *** p&lt;0.0</w:t>
      </w:r>
      <w:r>
        <w:t>01</w:t>
      </w:r>
      <w:r w:rsidRPr="0038080F">
        <w:t>.</w:t>
      </w:r>
    </w:p>
    <w:p w14:paraId="5AFD9807" w14:textId="77777777" w:rsidR="001B3B34" w:rsidRDefault="001B3B34">
      <w:r>
        <w:br w:type="page"/>
      </w:r>
    </w:p>
    <w:p w14:paraId="494375CE" w14:textId="07FB9E89" w:rsidR="00C36FA8" w:rsidRDefault="00C36FA8" w:rsidP="004A523D">
      <w:r>
        <w:lastRenderedPageBreak/>
        <w:t>Table 10: Alpha-age minus chronological age (see equations 6 and 9)</w:t>
      </w:r>
    </w:p>
    <w:tbl>
      <w:tblPr>
        <w:tblStyle w:val="TableGrid"/>
        <w:tblW w:w="0" w:type="auto"/>
        <w:tblLook w:val="04A0" w:firstRow="1" w:lastRow="0" w:firstColumn="1" w:lastColumn="0" w:noHBand="0" w:noVBand="1"/>
      </w:tblPr>
      <w:tblGrid>
        <w:gridCol w:w="3775"/>
        <w:gridCol w:w="2787"/>
        <w:gridCol w:w="2788"/>
      </w:tblGrid>
      <w:tr w:rsidR="00C36FA8" w14:paraId="7F94F560" w14:textId="77777777" w:rsidTr="004A523D">
        <w:tc>
          <w:tcPr>
            <w:tcW w:w="3775" w:type="dxa"/>
          </w:tcPr>
          <w:p w14:paraId="3C0B3448" w14:textId="77777777" w:rsidR="00C36FA8" w:rsidRPr="004A523D" w:rsidRDefault="00C36FA8" w:rsidP="004A523D">
            <w:pPr>
              <w:autoSpaceDE w:val="0"/>
              <w:autoSpaceDN w:val="0"/>
              <w:adjustRightInd w:val="0"/>
              <w:spacing w:line="480" w:lineRule="auto"/>
              <w:rPr>
                <w:sz w:val="24"/>
              </w:rPr>
            </w:pPr>
          </w:p>
        </w:tc>
        <w:tc>
          <w:tcPr>
            <w:tcW w:w="2787" w:type="dxa"/>
          </w:tcPr>
          <w:p w14:paraId="14E17CD5" w14:textId="77777777" w:rsidR="00C36FA8" w:rsidRPr="004A523D" w:rsidRDefault="00C36FA8" w:rsidP="004A523D">
            <w:pPr>
              <w:autoSpaceDE w:val="0"/>
              <w:autoSpaceDN w:val="0"/>
              <w:adjustRightInd w:val="0"/>
              <w:spacing w:line="480" w:lineRule="auto"/>
              <w:rPr>
                <w:sz w:val="24"/>
              </w:rPr>
            </w:pPr>
            <w:r w:rsidRPr="004A523D">
              <w:rPr>
                <w:sz w:val="24"/>
              </w:rPr>
              <w:t>Women</w:t>
            </w:r>
          </w:p>
        </w:tc>
        <w:tc>
          <w:tcPr>
            <w:tcW w:w="2788" w:type="dxa"/>
          </w:tcPr>
          <w:p w14:paraId="297EC694" w14:textId="77777777" w:rsidR="00C36FA8" w:rsidRPr="004A523D" w:rsidRDefault="00C36FA8" w:rsidP="004A523D">
            <w:pPr>
              <w:autoSpaceDE w:val="0"/>
              <w:autoSpaceDN w:val="0"/>
              <w:adjustRightInd w:val="0"/>
              <w:spacing w:line="480" w:lineRule="auto"/>
              <w:rPr>
                <w:sz w:val="24"/>
              </w:rPr>
            </w:pPr>
            <w:r w:rsidRPr="004A523D">
              <w:rPr>
                <w:sz w:val="24"/>
              </w:rPr>
              <w:t>Men</w:t>
            </w:r>
          </w:p>
        </w:tc>
      </w:tr>
      <w:tr w:rsidR="00C36FA8" w14:paraId="1B06132D" w14:textId="77777777" w:rsidTr="004A523D">
        <w:tc>
          <w:tcPr>
            <w:tcW w:w="3775" w:type="dxa"/>
          </w:tcPr>
          <w:p w14:paraId="10966D5F" w14:textId="77777777" w:rsidR="00C36FA8" w:rsidRPr="004A523D" w:rsidRDefault="00C36FA8" w:rsidP="004A523D">
            <w:pPr>
              <w:autoSpaceDE w:val="0"/>
              <w:autoSpaceDN w:val="0"/>
              <w:adjustRightInd w:val="0"/>
              <w:spacing w:line="480" w:lineRule="auto"/>
              <w:rPr>
                <w:sz w:val="24"/>
              </w:rPr>
            </w:pPr>
            <w:r w:rsidRPr="004A523D">
              <w:rPr>
                <w:sz w:val="24"/>
              </w:rPr>
              <w:t>Hand-grip strength</w:t>
            </w:r>
          </w:p>
        </w:tc>
        <w:tc>
          <w:tcPr>
            <w:tcW w:w="2787" w:type="dxa"/>
          </w:tcPr>
          <w:p w14:paraId="75EE94F9" w14:textId="77777777" w:rsidR="00C36FA8" w:rsidRPr="004A523D" w:rsidRDefault="00C36FA8" w:rsidP="004A523D">
            <w:pPr>
              <w:autoSpaceDE w:val="0"/>
              <w:autoSpaceDN w:val="0"/>
              <w:adjustRightInd w:val="0"/>
              <w:spacing w:line="480" w:lineRule="auto"/>
              <w:rPr>
                <w:sz w:val="24"/>
              </w:rPr>
            </w:pPr>
            <w:r w:rsidRPr="004A523D">
              <w:rPr>
                <w:sz w:val="24"/>
              </w:rPr>
              <w:t>-4.0 years</w:t>
            </w:r>
          </w:p>
        </w:tc>
        <w:tc>
          <w:tcPr>
            <w:tcW w:w="2788" w:type="dxa"/>
          </w:tcPr>
          <w:p w14:paraId="5CD60EE3" w14:textId="77777777" w:rsidR="00C36FA8" w:rsidRPr="004A523D" w:rsidRDefault="00C36FA8" w:rsidP="004A523D">
            <w:pPr>
              <w:autoSpaceDE w:val="0"/>
              <w:autoSpaceDN w:val="0"/>
              <w:adjustRightInd w:val="0"/>
              <w:spacing w:line="480" w:lineRule="auto"/>
              <w:rPr>
                <w:sz w:val="24"/>
              </w:rPr>
            </w:pPr>
            <w:r w:rsidRPr="004A523D">
              <w:rPr>
                <w:sz w:val="24"/>
              </w:rPr>
              <w:t>-3.5 years</w:t>
            </w:r>
          </w:p>
        </w:tc>
      </w:tr>
      <w:tr w:rsidR="00C36FA8" w14:paraId="4116C067" w14:textId="77777777" w:rsidTr="004A523D">
        <w:tc>
          <w:tcPr>
            <w:tcW w:w="3775" w:type="dxa"/>
          </w:tcPr>
          <w:p w14:paraId="531A70BA" w14:textId="77777777" w:rsidR="00C36FA8" w:rsidRPr="004A523D" w:rsidRDefault="00C36FA8" w:rsidP="004A523D">
            <w:pPr>
              <w:autoSpaceDE w:val="0"/>
              <w:autoSpaceDN w:val="0"/>
              <w:adjustRightInd w:val="0"/>
              <w:spacing w:line="480" w:lineRule="auto"/>
              <w:rPr>
                <w:sz w:val="24"/>
              </w:rPr>
            </w:pPr>
            <w:r w:rsidRPr="004A523D">
              <w:rPr>
                <w:sz w:val="24"/>
              </w:rPr>
              <w:t>Chair rise speed</w:t>
            </w:r>
          </w:p>
        </w:tc>
        <w:tc>
          <w:tcPr>
            <w:tcW w:w="2787" w:type="dxa"/>
          </w:tcPr>
          <w:p w14:paraId="38635F12" w14:textId="77777777" w:rsidR="00C36FA8" w:rsidRPr="004A523D" w:rsidRDefault="00C36FA8" w:rsidP="004A523D">
            <w:pPr>
              <w:autoSpaceDE w:val="0"/>
              <w:autoSpaceDN w:val="0"/>
              <w:adjustRightInd w:val="0"/>
              <w:spacing w:line="480" w:lineRule="auto"/>
              <w:rPr>
                <w:sz w:val="24"/>
              </w:rPr>
            </w:pPr>
            <w:r w:rsidRPr="004A523D">
              <w:rPr>
                <w:sz w:val="24"/>
              </w:rPr>
              <w:t>-3.2 years</w:t>
            </w:r>
          </w:p>
        </w:tc>
        <w:tc>
          <w:tcPr>
            <w:tcW w:w="2788" w:type="dxa"/>
          </w:tcPr>
          <w:p w14:paraId="574304AA" w14:textId="77777777" w:rsidR="00C36FA8" w:rsidRPr="004A523D" w:rsidRDefault="00C36FA8" w:rsidP="004A523D">
            <w:pPr>
              <w:autoSpaceDE w:val="0"/>
              <w:autoSpaceDN w:val="0"/>
              <w:adjustRightInd w:val="0"/>
              <w:spacing w:line="480" w:lineRule="auto"/>
              <w:rPr>
                <w:sz w:val="24"/>
              </w:rPr>
            </w:pPr>
            <w:r w:rsidRPr="004A523D">
              <w:rPr>
                <w:sz w:val="24"/>
              </w:rPr>
              <w:t>-5.2 years</w:t>
            </w:r>
          </w:p>
        </w:tc>
      </w:tr>
      <w:tr w:rsidR="00C36FA8" w14:paraId="098B0E30" w14:textId="77777777" w:rsidTr="004A523D">
        <w:tc>
          <w:tcPr>
            <w:tcW w:w="3775" w:type="dxa"/>
          </w:tcPr>
          <w:p w14:paraId="20E016AC" w14:textId="77777777" w:rsidR="00C36FA8" w:rsidRPr="004A523D" w:rsidRDefault="00C36FA8" w:rsidP="004A523D">
            <w:pPr>
              <w:autoSpaceDE w:val="0"/>
              <w:autoSpaceDN w:val="0"/>
              <w:adjustRightInd w:val="0"/>
              <w:spacing w:line="480" w:lineRule="auto"/>
              <w:rPr>
                <w:sz w:val="24"/>
              </w:rPr>
            </w:pPr>
            <w:r w:rsidRPr="004A523D">
              <w:rPr>
                <w:sz w:val="24"/>
              </w:rPr>
              <w:t>Subsequent Survival (2004-12)</w:t>
            </w:r>
          </w:p>
        </w:tc>
        <w:tc>
          <w:tcPr>
            <w:tcW w:w="2787" w:type="dxa"/>
          </w:tcPr>
          <w:p w14:paraId="4FD28380" w14:textId="77777777" w:rsidR="00C36FA8" w:rsidRPr="004A523D" w:rsidRDefault="00C36FA8" w:rsidP="004A523D">
            <w:pPr>
              <w:autoSpaceDE w:val="0"/>
              <w:autoSpaceDN w:val="0"/>
              <w:adjustRightInd w:val="0"/>
              <w:spacing w:line="480" w:lineRule="auto"/>
              <w:rPr>
                <w:sz w:val="24"/>
              </w:rPr>
            </w:pPr>
            <w:r w:rsidRPr="004A523D">
              <w:rPr>
                <w:sz w:val="24"/>
              </w:rPr>
              <w:t>-3.6 years</w:t>
            </w:r>
          </w:p>
        </w:tc>
        <w:tc>
          <w:tcPr>
            <w:tcW w:w="2788" w:type="dxa"/>
          </w:tcPr>
          <w:p w14:paraId="5A0B961F" w14:textId="77777777" w:rsidR="00C36FA8" w:rsidRPr="004A523D" w:rsidRDefault="00C36FA8" w:rsidP="004A523D">
            <w:pPr>
              <w:autoSpaceDE w:val="0"/>
              <w:autoSpaceDN w:val="0"/>
              <w:adjustRightInd w:val="0"/>
              <w:spacing w:line="480" w:lineRule="auto"/>
              <w:rPr>
                <w:sz w:val="24"/>
              </w:rPr>
            </w:pPr>
            <w:r w:rsidRPr="004A523D">
              <w:rPr>
                <w:sz w:val="24"/>
              </w:rPr>
              <w:t>-4.1 years</w:t>
            </w:r>
          </w:p>
        </w:tc>
      </w:tr>
    </w:tbl>
    <w:p w14:paraId="56DF1DC5" w14:textId="4885FEBC" w:rsidR="00782554" w:rsidRDefault="00782554">
      <w:pPr>
        <w:rPr>
          <w:bCs/>
          <w:sz w:val="24"/>
          <w:szCs w:val="24"/>
        </w:rPr>
      </w:pPr>
      <w:r>
        <w:rPr>
          <w:b/>
          <w:sz w:val="24"/>
          <w:szCs w:val="24"/>
        </w:rPr>
        <w:br w:type="page"/>
      </w:r>
    </w:p>
    <w:p w14:paraId="578A48EA" w14:textId="58087D88" w:rsidR="00782554" w:rsidRPr="004A523D" w:rsidRDefault="00782554" w:rsidP="004A523D">
      <w:pPr>
        <w:rPr>
          <w:b/>
          <w:sz w:val="20"/>
        </w:rPr>
      </w:pPr>
      <w:r w:rsidRPr="004A523D">
        <w:rPr>
          <w:szCs w:val="24"/>
        </w:rPr>
        <w:lastRenderedPageBreak/>
        <w:t xml:space="preserve">Table 11: 5th, 50th, and 95th percentile of subgroup differences by sex measured in alpha ages, computed from 1,000 replications of Table 10, randomly selecting observations from the dataset with replacement. </w:t>
      </w:r>
    </w:p>
    <w:tbl>
      <w:tblPr>
        <w:tblW w:w="9262" w:type="dxa"/>
        <w:tblInd w:w="93" w:type="dxa"/>
        <w:tblLayout w:type="fixed"/>
        <w:tblLook w:val="04A0" w:firstRow="1" w:lastRow="0" w:firstColumn="1" w:lastColumn="0" w:noHBand="0" w:noVBand="1"/>
      </w:tblPr>
      <w:tblGrid>
        <w:gridCol w:w="1972"/>
        <w:gridCol w:w="1215"/>
        <w:gridCol w:w="950"/>
        <w:gridCol w:w="1480"/>
        <w:gridCol w:w="1215"/>
        <w:gridCol w:w="995"/>
        <w:gridCol w:w="1435"/>
      </w:tblGrid>
      <w:tr w:rsidR="00782554" w:rsidRPr="009F6E18" w14:paraId="78F3C822" w14:textId="77777777" w:rsidTr="004A523D">
        <w:trPr>
          <w:trHeight w:val="300"/>
        </w:trPr>
        <w:tc>
          <w:tcPr>
            <w:tcW w:w="1972" w:type="dxa"/>
            <w:tcBorders>
              <w:right w:val="single" w:sz="4" w:space="0" w:color="auto"/>
            </w:tcBorders>
            <w:shd w:val="clear" w:color="auto" w:fill="auto"/>
            <w:noWrap/>
            <w:vAlign w:val="bottom"/>
            <w:hideMark/>
          </w:tcPr>
          <w:p w14:paraId="60DEF56E" w14:textId="77777777" w:rsidR="00782554" w:rsidRPr="009F6E18" w:rsidRDefault="00782554" w:rsidP="00D62A5C">
            <w:pPr>
              <w:rPr>
                <w:rFonts w:ascii="Calibri" w:eastAsia="Times New Roman" w:hAnsi="Calibri" w:cs="Times New Roman"/>
                <w:color w:val="000000"/>
                <w:sz w:val="24"/>
                <w:szCs w:val="24"/>
              </w:rPr>
            </w:pPr>
          </w:p>
        </w:tc>
        <w:tc>
          <w:tcPr>
            <w:tcW w:w="36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A639C" w14:textId="77777777" w:rsidR="00782554" w:rsidRPr="009F6E18" w:rsidRDefault="00782554" w:rsidP="00D62A5C">
            <w:pPr>
              <w:jc w:val="cente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males</w:t>
            </w:r>
          </w:p>
        </w:tc>
        <w:tc>
          <w:tcPr>
            <w:tcW w:w="36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C5208" w14:textId="77777777" w:rsidR="00782554" w:rsidRPr="009F6E18" w:rsidRDefault="00782554" w:rsidP="00D62A5C">
            <w:pPr>
              <w:jc w:val="cente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females</w:t>
            </w:r>
          </w:p>
        </w:tc>
      </w:tr>
      <w:tr w:rsidR="00E73B25" w:rsidRPr="009F6E18" w14:paraId="724EB01F" w14:textId="77777777" w:rsidTr="004A523D">
        <w:trPr>
          <w:trHeight w:val="300"/>
        </w:trPr>
        <w:tc>
          <w:tcPr>
            <w:tcW w:w="1972" w:type="dxa"/>
            <w:tcBorders>
              <w:bottom w:val="single" w:sz="4" w:space="0" w:color="auto"/>
              <w:right w:val="single" w:sz="4" w:space="0" w:color="auto"/>
            </w:tcBorders>
            <w:shd w:val="clear" w:color="auto" w:fill="auto"/>
            <w:noWrap/>
            <w:vAlign w:val="bottom"/>
            <w:hideMark/>
          </w:tcPr>
          <w:p w14:paraId="3B51A847" w14:textId="77777777" w:rsidR="00782554" w:rsidRPr="009F6E18" w:rsidRDefault="00782554" w:rsidP="00D62A5C">
            <w:pPr>
              <w:rPr>
                <w:rFonts w:ascii="Calibri" w:eastAsia="Times New Roman" w:hAnsi="Calibri" w:cs="Times New Roman"/>
                <w:color w:val="000000"/>
                <w:sz w:val="24"/>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1833C" w14:textId="77777777" w:rsidR="00782554" w:rsidRPr="009F6E18" w:rsidRDefault="00782554" w:rsidP="00E73B25">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5th percentile</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46DAA" w14:textId="77777777" w:rsidR="00782554" w:rsidRPr="009F6E18" w:rsidRDefault="00782554" w:rsidP="005706B5">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median</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FD691" w14:textId="77777777" w:rsidR="00782554" w:rsidRPr="009F6E18" w:rsidRDefault="00782554" w:rsidP="00AF5E4E">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95th percentile</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76147" w14:textId="77777777" w:rsidR="00782554" w:rsidRPr="009F6E18" w:rsidRDefault="00782554" w:rsidP="008A7393">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5th percentile</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BAA26" w14:textId="77777777" w:rsidR="00782554" w:rsidRPr="009F6E18" w:rsidRDefault="00782554" w:rsidP="008A7393">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median</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B46FA" w14:textId="77777777" w:rsidR="00782554" w:rsidRPr="009F6E18" w:rsidRDefault="00782554" w:rsidP="00256174">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95th percentile</w:t>
            </w:r>
          </w:p>
        </w:tc>
      </w:tr>
      <w:tr w:rsidR="00321D77" w:rsidRPr="009F6E18" w14:paraId="0BCA1FEF" w14:textId="77777777" w:rsidTr="004A523D">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78428" w14:textId="77777777" w:rsidR="00782554" w:rsidRPr="009F6E18" w:rsidRDefault="00782554" w:rsidP="00D62A5C">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grip strength</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5C5C7"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2.4</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13591"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3.5</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0C016"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4.7</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5DF9D"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2.</w:t>
            </w:r>
            <w:r>
              <w:rPr>
                <w:rFonts w:ascii="Calibri" w:eastAsia="Times New Roman" w:hAnsi="Calibri" w:cs="Times New Roman"/>
                <w:color w:val="000000"/>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058C9"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4</w:t>
            </w:r>
            <w:r>
              <w:rPr>
                <w:rFonts w:ascii="Calibri" w:eastAsia="Times New Roman" w:hAnsi="Calibri" w:cs="Times New Roman"/>
                <w:color w:val="000000"/>
                <w:sz w:val="24"/>
                <w:szCs w:val="24"/>
              </w:rPr>
              <w:t>.0</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AED31"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5.4</w:t>
            </w:r>
          </w:p>
        </w:tc>
      </w:tr>
      <w:tr w:rsidR="00782554" w:rsidRPr="009F6E18" w14:paraId="1AB6D403" w14:textId="77777777" w:rsidTr="004A523D">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7D0F7" w14:textId="77777777" w:rsidR="00782554" w:rsidRPr="009F6E18" w:rsidRDefault="00782554" w:rsidP="00D62A5C">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chair rise</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875F6"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3.7</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23D39"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5.3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3B242" w14:textId="77777777" w:rsidR="00782554" w:rsidRPr="009F6E18" w:rsidRDefault="00782554" w:rsidP="004A523D">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7.0</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A863E"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1.7</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C9A18"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3.2</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04C96"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4.8</w:t>
            </w:r>
          </w:p>
        </w:tc>
      </w:tr>
      <w:tr w:rsidR="00782554" w:rsidRPr="009F6E18" w14:paraId="32869F82" w14:textId="77777777" w:rsidTr="004A523D">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02F6F" w14:textId="77777777" w:rsidR="00782554" w:rsidRPr="009F6E18" w:rsidRDefault="00782554" w:rsidP="00D62A5C">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survival</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8A5F2"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2.5</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2E8B0"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4.1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5957B"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5.8</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47F1A"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2</w:t>
            </w:r>
            <w:r>
              <w:rPr>
                <w:rFonts w:ascii="Calibri" w:eastAsia="Times New Roman" w:hAnsi="Calibri" w:cs="Times New Roman"/>
                <w:color w:val="000000"/>
                <w:sz w:val="24"/>
                <w:szCs w:val="24"/>
              </w:rPr>
              <w:t>.0</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CE62E"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3.6</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75577" w14:textId="77777777" w:rsidR="00782554" w:rsidRPr="009F6E18" w:rsidRDefault="00782554" w:rsidP="004A523D">
            <w:pPr>
              <w:rPr>
                <w:rFonts w:ascii="Calibri" w:eastAsia="Times New Roman" w:hAnsi="Calibri" w:cs="Times New Roman"/>
                <w:color w:val="000000"/>
                <w:sz w:val="24"/>
                <w:szCs w:val="24"/>
              </w:rPr>
            </w:pPr>
            <w:r w:rsidRPr="009F6E18">
              <w:rPr>
                <w:rFonts w:ascii="Calibri" w:eastAsia="Times New Roman" w:hAnsi="Calibri" w:cs="Times New Roman"/>
                <w:color w:val="000000"/>
                <w:sz w:val="24"/>
                <w:szCs w:val="24"/>
              </w:rPr>
              <w:t>5.5</w:t>
            </w:r>
          </w:p>
        </w:tc>
      </w:tr>
      <w:tr w:rsidR="00782554" w:rsidRPr="009F6E18" w14:paraId="6C44945F" w14:textId="77777777" w:rsidTr="004A523D">
        <w:trPr>
          <w:trHeight w:val="300"/>
        </w:trPr>
        <w:tc>
          <w:tcPr>
            <w:tcW w:w="1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1F991" w14:textId="77777777" w:rsidR="00782554" w:rsidRPr="009F6E18" w:rsidRDefault="00782554" w:rsidP="00D62A5C">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average of hand-grip and chair rise</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02A7B" w14:textId="77777777" w:rsidR="00782554" w:rsidRPr="009F6E18" w:rsidRDefault="00782554" w:rsidP="004A523D">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3.4</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AA5CC" w14:textId="77777777" w:rsidR="00782554" w:rsidRPr="009F6E18" w:rsidRDefault="00782554" w:rsidP="004A523D">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4.1</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7595B" w14:textId="77777777" w:rsidR="00782554" w:rsidRPr="009F6E18" w:rsidRDefault="00782554" w:rsidP="004A523D">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5.5</w:t>
            </w: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BAE29" w14:textId="77777777" w:rsidR="00782554" w:rsidRPr="009F6E18" w:rsidRDefault="00782554" w:rsidP="004A523D">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2.5</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513EB" w14:textId="77777777" w:rsidR="00782554" w:rsidRPr="009F6E18" w:rsidRDefault="00782554" w:rsidP="004A523D">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3.6</w:t>
            </w:r>
          </w:p>
        </w:tc>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9DA9D" w14:textId="77777777" w:rsidR="00782554" w:rsidRPr="009F6E18" w:rsidRDefault="00782554" w:rsidP="004A523D">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4.8</w:t>
            </w:r>
          </w:p>
        </w:tc>
      </w:tr>
    </w:tbl>
    <w:p w14:paraId="600E1C9B" w14:textId="77777777" w:rsidR="00940B1C" w:rsidRPr="009D2F51" w:rsidRDefault="00940B1C" w:rsidP="004A523D"/>
    <w:sectPr w:rsidR="00940B1C" w:rsidRPr="009D2F5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F1674" w14:textId="77777777" w:rsidR="00090D0D" w:rsidRDefault="00090D0D" w:rsidP="00C16407">
      <w:pPr>
        <w:spacing w:line="240" w:lineRule="auto"/>
      </w:pPr>
      <w:r>
        <w:separator/>
      </w:r>
    </w:p>
  </w:endnote>
  <w:endnote w:type="continuationSeparator" w:id="0">
    <w:p w14:paraId="605AE696" w14:textId="77777777" w:rsidR="00090D0D" w:rsidRDefault="00090D0D" w:rsidP="00C16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62900"/>
      <w:docPartObj>
        <w:docPartGallery w:val="Page Numbers (Bottom of Page)"/>
        <w:docPartUnique/>
      </w:docPartObj>
    </w:sdtPr>
    <w:sdtEndPr>
      <w:rPr>
        <w:noProof/>
      </w:rPr>
    </w:sdtEndPr>
    <w:sdtContent>
      <w:p w14:paraId="5E80B59F" w14:textId="2FE7BD0C" w:rsidR="00090D0D" w:rsidRDefault="00090D0D">
        <w:pPr>
          <w:pStyle w:val="Footer"/>
          <w:jc w:val="center"/>
        </w:pPr>
        <w:r>
          <w:fldChar w:fldCharType="begin"/>
        </w:r>
        <w:r>
          <w:instrText xml:space="preserve"> PAGE   \* MERGEFORMAT </w:instrText>
        </w:r>
        <w:r>
          <w:fldChar w:fldCharType="separate"/>
        </w:r>
        <w:r w:rsidR="00A66989">
          <w:rPr>
            <w:noProof/>
          </w:rPr>
          <w:t>6</w:t>
        </w:r>
        <w:r>
          <w:rPr>
            <w:noProof/>
          </w:rPr>
          <w:fldChar w:fldCharType="end"/>
        </w:r>
      </w:p>
    </w:sdtContent>
  </w:sdt>
  <w:p w14:paraId="5C56C2F2" w14:textId="77777777" w:rsidR="00090D0D" w:rsidRDefault="00090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FA7F3" w14:textId="77777777" w:rsidR="00090D0D" w:rsidRDefault="00090D0D" w:rsidP="00C16407">
      <w:pPr>
        <w:spacing w:line="240" w:lineRule="auto"/>
      </w:pPr>
      <w:r>
        <w:separator/>
      </w:r>
    </w:p>
  </w:footnote>
  <w:footnote w:type="continuationSeparator" w:id="0">
    <w:p w14:paraId="1E44FB39" w14:textId="77777777" w:rsidR="00090D0D" w:rsidRDefault="00090D0D" w:rsidP="00C16407">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UCHOWITZ Stefanie">
    <w15:presenceInfo w15:providerId="AD" w15:userId="S-1-5-21-2867065932-3971483559-2346384291-6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55"/>
    <w:rsid w:val="00000B54"/>
    <w:rsid w:val="0000431C"/>
    <w:rsid w:val="00005CA4"/>
    <w:rsid w:val="00011949"/>
    <w:rsid w:val="00020305"/>
    <w:rsid w:val="00021694"/>
    <w:rsid w:val="000264A4"/>
    <w:rsid w:val="00027B30"/>
    <w:rsid w:val="00034D9F"/>
    <w:rsid w:val="00042174"/>
    <w:rsid w:val="000424E5"/>
    <w:rsid w:val="00060318"/>
    <w:rsid w:val="0007013C"/>
    <w:rsid w:val="00073F18"/>
    <w:rsid w:val="00080B0F"/>
    <w:rsid w:val="00090D0D"/>
    <w:rsid w:val="0009146F"/>
    <w:rsid w:val="00094CBE"/>
    <w:rsid w:val="000A10F0"/>
    <w:rsid w:val="000A119C"/>
    <w:rsid w:val="000A1E63"/>
    <w:rsid w:val="000A432F"/>
    <w:rsid w:val="000A4B2E"/>
    <w:rsid w:val="000A5B81"/>
    <w:rsid w:val="000A7158"/>
    <w:rsid w:val="000B15CB"/>
    <w:rsid w:val="000B2DB8"/>
    <w:rsid w:val="000B62DD"/>
    <w:rsid w:val="000C3E6A"/>
    <w:rsid w:val="000C4ADB"/>
    <w:rsid w:val="000D52F7"/>
    <w:rsid w:val="000E043D"/>
    <w:rsid w:val="000E35FE"/>
    <w:rsid w:val="000F2F55"/>
    <w:rsid w:val="000F4533"/>
    <w:rsid w:val="000F5904"/>
    <w:rsid w:val="00103D15"/>
    <w:rsid w:val="0010637E"/>
    <w:rsid w:val="00107F55"/>
    <w:rsid w:val="001151D3"/>
    <w:rsid w:val="00120768"/>
    <w:rsid w:val="00124735"/>
    <w:rsid w:val="00137B7C"/>
    <w:rsid w:val="00143AFD"/>
    <w:rsid w:val="00143F35"/>
    <w:rsid w:val="00154F54"/>
    <w:rsid w:val="00166317"/>
    <w:rsid w:val="00167362"/>
    <w:rsid w:val="0017050E"/>
    <w:rsid w:val="00172C1E"/>
    <w:rsid w:val="00180DD1"/>
    <w:rsid w:val="00181339"/>
    <w:rsid w:val="001828F5"/>
    <w:rsid w:val="0018450E"/>
    <w:rsid w:val="001A63EB"/>
    <w:rsid w:val="001B3B34"/>
    <w:rsid w:val="001B7378"/>
    <w:rsid w:val="001B73AA"/>
    <w:rsid w:val="001C0258"/>
    <w:rsid w:val="001C0AFD"/>
    <w:rsid w:val="001C5ED4"/>
    <w:rsid w:val="001D18F3"/>
    <w:rsid w:val="001E0832"/>
    <w:rsid w:val="001E1D96"/>
    <w:rsid w:val="001E262B"/>
    <w:rsid w:val="001E4687"/>
    <w:rsid w:val="001E4CC9"/>
    <w:rsid w:val="001E4FEA"/>
    <w:rsid w:val="001E5970"/>
    <w:rsid w:val="001E6485"/>
    <w:rsid w:val="001F41CC"/>
    <w:rsid w:val="001F57E3"/>
    <w:rsid w:val="00201F71"/>
    <w:rsid w:val="00203679"/>
    <w:rsid w:val="002101FF"/>
    <w:rsid w:val="002156F8"/>
    <w:rsid w:val="002272EE"/>
    <w:rsid w:val="00234CEF"/>
    <w:rsid w:val="0025205E"/>
    <w:rsid w:val="00252E23"/>
    <w:rsid w:val="002539A0"/>
    <w:rsid w:val="00256174"/>
    <w:rsid w:val="00257C60"/>
    <w:rsid w:val="002701F3"/>
    <w:rsid w:val="00282FA5"/>
    <w:rsid w:val="00283108"/>
    <w:rsid w:val="00283D8E"/>
    <w:rsid w:val="00290D66"/>
    <w:rsid w:val="002912F2"/>
    <w:rsid w:val="00296286"/>
    <w:rsid w:val="002A29AF"/>
    <w:rsid w:val="002A2C5E"/>
    <w:rsid w:val="002A4DAE"/>
    <w:rsid w:val="002A574D"/>
    <w:rsid w:val="002B6231"/>
    <w:rsid w:val="002C3E4D"/>
    <w:rsid w:val="002D0543"/>
    <w:rsid w:val="002D1558"/>
    <w:rsid w:val="002E0491"/>
    <w:rsid w:val="002E334C"/>
    <w:rsid w:val="002E64BA"/>
    <w:rsid w:val="002E75F2"/>
    <w:rsid w:val="002F5F7A"/>
    <w:rsid w:val="002F779B"/>
    <w:rsid w:val="00317293"/>
    <w:rsid w:val="00317B69"/>
    <w:rsid w:val="00320BAE"/>
    <w:rsid w:val="003211F2"/>
    <w:rsid w:val="00321D77"/>
    <w:rsid w:val="0032495C"/>
    <w:rsid w:val="00325079"/>
    <w:rsid w:val="00331742"/>
    <w:rsid w:val="003318E4"/>
    <w:rsid w:val="00334FDE"/>
    <w:rsid w:val="003447B3"/>
    <w:rsid w:val="00347E16"/>
    <w:rsid w:val="00352B3D"/>
    <w:rsid w:val="00354E5B"/>
    <w:rsid w:val="00363348"/>
    <w:rsid w:val="0036380C"/>
    <w:rsid w:val="00374BEE"/>
    <w:rsid w:val="003750ED"/>
    <w:rsid w:val="0038080F"/>
    <w:rsid w:val="0038436E"/>
    <w:rsid w:val="00385E81"/>
    <w:rsid w:val="00391FEF"/>
    <w:rsid w:val="003966D8"/>
    <w:rsid w:val="003A2044"/>
    <w:rsid w:val="003A7D9B"/>
    <w:rsid w:val="003B4A8B"/>
    <w:rsid w:val="003C14F9"/>
    <w:rsid w:val="003D0D14"/>
    <w:rsid w:val="003D19C1"/>
    <w:rsid w:val="003E71D9"/>
    <w:rsid w:val="003F03DC"/>
    <w:rsid w:val="003F1476"/>
    <w:rsid w:val="003F5C71"/>
    <w:rsid w:val="0040107F"/>
    <w:rsid w:val="00403966"/>
    <w:rsid w:val="00406943"/>
    <w:rsid w:val="00417954"/>
    <w:rsid w:val="004179E3"/>
    <w:rsid w:val="004242C2"/>
    <w:rsid w:val="00424665"/>
    <w:rsid w:val="00434960"/>
    <w:rsid w:val="00445BC4"/>
    <w:rsid w:val="004469A6"/>
    <w:rsid w:val="004508F8"/>
    <w:rsid w:val="00461047"/>
    <w:rsid w:val="00463096"/>
    <w:rsid w:val="004811D9"/>
    <w:rsid w:val="00482108"/>
    <w:rsid w:val="0048251C"/>
    <w:rsid w:val="004968CF"/>
    <w:rsid w:val="004A06A4"/>
    <w:rsid w:val="004A523D"/>
    <w:rsid w:val="004B02E9"/>
    <w:rsid w:val="004B0B9C"/>
    <w:rsid w:val="004B3744"/>
    <w:rsid w:val="004C7D13"/>
    <w:rsid w:val="004C7DE1"/>
    <w:rsid w:val="004D4BEC"/>
    <w:rsid w:val="004D63A8"/>
    <w:rsid w:val="004E01C1"/>
    <w:rsid w:val="004F1210"/>
    <w:rsid w:val="004F3BC4"/>
    <w:rsid w:val="004F63F1"/>
    <w:rsid w:val="005109DC"/>
    <w:rsid w:val="0052598E"/>
    <w:rsid w:val="0052792D"/>
    <w:rsid w:val="00534101"/>
    <w:rsid w:val="0053486E"/>
    <w:rsid w:val="00535858"/>
    <w:rsid w:val="005364FB"/>
    <w:rsid w:val="00545E49"/>
    <w:rsid w:val="0055066C"/>
    <w:rsid w:val="00556F0B"/>
    <w:rsid w:val="00567687"/>
    <w:rsid w:val="005706B5"/>
    <w:rsid w:val="00570DC0"/>
    <w:rsid w:val="00575CC3"/>
    <w:rsid w:val="00597C6E"/>
    <w:rsid w:val="005A01B1"/>
    <w:rsid w:val="005A09B1"/>
    <w:rsid w:val="005A2E8D"/>
    <w:rsid w:val="005A72DA"/>
    <w:rsid w:val="005A7B89"/>
    <w:rsid w:val="005B034F"/>
    <w:rsid w:val="005B0A2A"/>
    <w:rsid w:val="005B0BCB"/>
    <w:rsid w:val="005B0C27"/>
    <w:rsid w:val="005B15D8"/>
    <w:rsid w:val="005B2A03"/>
    <w:rsid w:val="005B52FB"/>
    <w:rsid w:val="005B616A"/>
    <w:rsid w:val="005C2324"/>
    <w:rsid w:val="005E0225"/>
    <w:rsid w:val="005E1016"/>
    <w:rsid w:val="005E68F3"/>
    <w:rsid w:val="005F3B3B"/>
    <w:rsid w:val="005F6E13"/>
    <w:rsid w:val="00602A35"/>
    <w:rsid w:val="00604C9B"/>
    <w:rsid w:val="006067EB"/>
    <w:rsid w:val="00621E11"/>
    <w:rsid w:val="00621FB9"/>
    <w:rsid w:val="00626E34"/>
    <w:rsid w:val="00633AFF"/>
    <w:rsid w:val="00637AB2"/>
    <w:rsid w:val="0064527E"/>
    <w:rsid w:val="006561BF"/>
    <w:rsid w:val="00660C4E"/>
    <w:rsid w:val="00661645"/>
    <w:rsid w:val="00662D84"/>
    <w:rsid w:val="0067596D"/>
    <w:rsid w:val="006769AC"/>
    <w:rsid w:val="00691367"/>
    <w:rsid w:val="00697F01"/>
    <w:rsid w:val="006A001E"/>
    <w:rsid w:val="006A076A"/>
    <w:rsid w:val="006A3503"/>
    <w:rsid w:val="006A3E04"/>
    <w:rsid w:val="006A4738"/>
    <w:rsid w:val="006A4C8F"/>
    <w:rsid w:val="006B1326"/>
    <w:rsid w:val="006C0F10"/>
    <w:rsid w:val="006C42BB"/>
    <w:rsid w:val="006C4D0C"/>
    <w:rsid w:val="006C6D2F"/>
    <w:rsid w:val="006D2B1B"/>
    <w:rsid w:val="006D66B5"/>
    <w:rsid w:val="006D6F20"/>
    <w:rsid w:val="00704B83"/>
    <w:rsid w:val="00706D8B"/>
    <w:rsid w:val="00723DD7"/>
    <w:rsid w:val="00725006"/>
    <w:rsid w:val="00725E6E"/>
    <w:rsid w:val="007464B8"/>
    <w:rsid w:val="00750494"/>
    <w:rsid w:val="00753F1D"/>
    <w:rsid w:val="00754DE6"/>
    <w:rsid w:val="00760EE6"/>
    <w:rsid w:val="00761767"/>
    <w:rsid w:val="00763ED3"/>
    <w:rsid w:val="00764A6F"/>
    <w:rsid w:val="00765EAB"/>
    <w:rsid w:val="007762AF"/>
    <w:rsid w:val="00781E58"/>
    <w:rsid w:val="00782554"/>
    <w:rsid w:val="0078673D"/>
    <w:rsid w:val="0079108E"/>
    <w:rsid w:val="007941E0"/>
    <w:rsid w:val="00796031"/>
    <w:rsid w:val="0079753D"/>
    <w:rsid w:val="007C218B"/>
    <w:rsid w:val="007C75A4"/>
    <w:rsid w:val="007D4385"/>
    <w:rsid w:val="007D466D"/>
    <w:rsid w:val="007E0536"/>
    <w:rsid w:val="007E218F"/>
    <w:rsid w:val="007F1274"/>
    <w:rsid w:val="007F2E14"/>
    <w:rsid w:val="007F5BE1"/>
    <w:rsid w:val="007F6FA9"/>
    <w:rsid w:val="007F7302"/>
    <w:rsid w:val="0082012F"/>
    <w:rsid w:val="00825151"/>
    <w:rsid w:val="008275BD"/>
    <w:rsid w:val="00833064"/>
    <w:rsid w:val="008335E9"/>
    <w:rsid w:val="00834896"/>
    <w:rsid w:val="00846E46"/>
    <w:rsid w:val="008502DB"/>
    <w:rsid w:val="00855A62"/>
    <w:rsid w:val="008568F3"/>
    <w:rsid w:val="008674FB"/>
    <w:rsid w:val="00870C6E"/>
    <w:rsid w:val="00876EAB"/>
    <w:rsid w:val="00892F56"/>
    <w:rsid w:val="008A3266"/>
    <w:rsid w:val="008A4364"/>
    <w:rsid w:val="008A4646"/>
    <w:rsid w:val="008A7393"/>
    <w:rsid w:val="008B0D8A"/>
    <w:rsid w:val="008B24C5"/>
    <w:rsid w:val="008B38B4"/>
    <w:rsid w:val="008B3DF6"/>
    <w:rsid w:val="008D367E"/>
    <w:rsid w:val="008D4CBC"/>
    <w:rsid w:val="008D5ED1"/>
    <w:rsid w:val="008E018B"/>
    <w:rsid w:val="008F2691"/>
    <w:rsid w:val="008F283E"/>
    <w:rsid w:val="008F3AEA"/>
    <w:rsid w:val="008F43A8"/>
    <w:rsid w:val="008F7AFF"/>
    <w:rsid w:val="00907107"/>
    <w:rsid w:val="00914DFA"/>
    <w:rsid w:val="009151A0"/>
    <w:rsid w:val="0091596B"/>
    <w:rsid w:val="00922F00"/>
    <w:rsid w:val="00923753"/>
    <w:rsid w:val="00935F84"/>
    <w:rsid w:val="00940B1C"/>
    <w:rsid w:val="00940F01"/>
    <w:rsid w:val="00941B30"/>
    <w:rsid w:val="009560FE"/>
    <w:rsid w:val="009664B2"/>
    <w:rsid w:val="00973CFA"/>
    <w:rsid w:val="00980E13"/>
    <w:rsid w:val="0099346A"/>
    <w:rsid w:val="00997060"/>
    <w:rsid w:val="009A2893"/>
    <w:rsid w:val="009A563B"/>
    <w:rsid w:val="009A67E6"/>
    <w:rsid w:val="009C0C8D"/>
    <w:rsid w:val="009C0DAB"/>
    <w:rsid w:val="009C7809"/>
    <w:rsid w:val="009D1813"/>
    <w:rsid w:val="009D2F51"/>
    <w:rsid w:val="009E10C3"/>
    <w:rsid w:val="009E16F6"/>
    <w:rsid w:val="009E69EA"/>
    <w:rsid w:val="009F0719"/>
    <w:rsid w:val="009F6E18"/>
    <w:rsid w:val="00A0445D"/>
    <w:rsid w:val="00A10A19"/>
    <w:rsid w:val="00A11A2D"/>
    <w:rsid w:val="00A177B0"/>
    <w:rsid w:val="00A17F11"/>
    <w:rsid w:val="00A31BDC"/>
    <w:rsid w:val="00A3408B"/>
    <w:rsid w:val="00A36246"/>
    <w:rsid w:val="00A43AEC"/>
    <w:rsid w:val="00A4651E"/>
    <w:rsid w:val="00A5052E"/>
    <w:rsid w:val="00A51564"/>
    <w:rsid w:val="00A6446E"/>
    <w:rsid w:val="00A66989"/>
    <w:rsid w:val="00A71D5C"/>
    <w:rsid w:val="00A72A6D"/>
    <w:rsid w:val="00A73BB6"/>
    <w:rsid w:val="00A74413"/>
    <w:rsid w:val="00A77B08"/>
    <w:rsid w:val="00A81BF5"/>
    <w:rsid w:val="00A96A9D"/>
    <w:rsid w:val="00AA1BDB"/>
    <w:rsid w:val="00AC0576"/>
    <w:rsid w:val="00AC3558"/>
    <w:rsid w:val="00AC4D22"/>
    <w:rsid w:val="00AC7F99"/>
    <w:rsid w:val="00AD4DAF"/>
    <w:rsid w:val="00AD5462"/>
    <w:rsid w:val="00AE3260"/>
    <w:rsid w:val="00AE34AA"/>
    <w:rsid w:val="00AE3EE1"/>
    <w:rsid w:val="00AF1759"/>
    <w:rsid w:val="00AF2447"/>
    <w:rsid w:val="00AF4E9C"/>
    <w:rsid w:val="00AF5991"/>
    <w:rsid w:val="00AF5E4E"/>
    <w:rsid w:val="00AF7B1F"/>
    <w:rsid w:val="00B00D4D"/>
    <w:rsid w:val="00B02326"/>
    <w:rsid w:val="00B07AE4"/>
    <w:rsid w:val="00B123C6"/>
    <w:rsid w:val="00B17B41"/>
    <w:rsid w:val="00B23E12"/>
    <w:rsid w:val="00B256CE"/>
    <w:rsid w:val="00B36BE4"/>
    <w:rsid w:val="00B46B11"/>
    <w:rsid w:val="00B50D8B"/>
    <w:rsid w:val="00B52812"/>
    <w:rsid w:val="00B57F12"/>
    <w:rsid w:val="00B6034E"/>
    <w:rsid w:val="00B71109"/>
    <w:rsid w:val="00B73ABA"/>
    <w:rsid w:val="00B76753"/>
    <w:rsid w:val="00B80FE3"/>
    <w:rsid w:val="00B84D6D"/>
    <w:rsid w:val="00B919A1"/>
    <w:rsid w:val="00B927DF"/>
    <w:rsid w:val="00B940C7"/>
    <w:rsid w:val="00BA38FF"/>
    <w:rsid w:val="00BA3D87"/>
    <w:rsid w:val="00BB0F11"/>
    <w:rsid w:val="00BB3DC8"/>
    <w:rsid w:val="00BB3EE2"/>
    <w:rsid w:val="00BB440C"/>
    <w:rsid w:val="00BC1A95"/>
    <w:rsid w:val="00BD1FC1"/>
    <w:rsid w:val="00BD4033"/>
    <w:rsid w:val="00BD7A4D"/>
    <w:rsid w:val="00BE1AC5"/>
    <w:rsid w:val="00BE3505"/>
    <w:rsid w:val="00BE5769"/>
    <w:rsid w:val="00BE6888"/>
    <w:rsid w:val="00BF0BC1"/>
    <w:rsid w:val="00BF2926"/>
    <w:rsid w:val="00BF5F2D"/>
    <w:rsid w:val="00C01DC9"/>
    <w:rsid w:val="00C02700"/>
    <w:rsid w:val="00C05CFE"/>
    <w:rsid w:val="00C06015"/>
    <w:rsid w:val="00C16407"/>
    <w:rsid w:val="00C16E3E"/>
    <w:rsid w:val="00C27894"/>
    <w:rsid w:val="00C307FB"/>
    <w:rsid w:val="00C335AE"/>
    <w:rsid w:val="00C36FA8"/>
    <w:rsid w:val="00C50F80"/>
    <w:rsid w:val="00C545EC"/>
    <w:rsid w:val="00C72FB7"/>
    <w:rsid w:val="00C75372"/>
    <w:rsid w:val="00C77BCA"/>
    <w:rsid w:val="00C80C77"/>
    <w:rsid w:val="00C810BC"/>
    <w:rsid w:val="00C81A70"/>
    <w:rsid w:val="00C86353"/>
    <w:rsid w:val="00C97299"/>
    <w:rsid w:val="00CA013E"/>
    <w:rsid w:val="00CA055F"/>
    <w:rsid w:val="00CA1CEC"/>
    <w:rsid w:val="00CA7C90"/>
    <w:rsid w:val="00CB10CC"/>
    <w:rsid w:val="00CB1ABB"/>
    <w:rsid w:val="00CB6953"/>
    <w:rsid w:val="00CC35E1"/>
    <w:rsid w:val="00CE341B"/>
    <w:rsid w:val="00CF5348"/>
    <w:rsid w:val="00D0058C"/>
    <w:rsid w:val="00D064C0"/>
    <w:rsid w:val="00D21AF4"/>
    <w:rsid w:val="00D21F7B"/>
    <w:rsid w:val="00D23415"/>
    <w:rsid w:val="00D2745B"/>
    <w:rsid w:val="00D37171"/>
    <w:rsid w:val="00D37B66"/>
    <w:rsid w:val="00D4050F"/>
    <w:rsid w:val="00D44286"/>
    <w:rsid w:val="00D47211"/>
    <w:rsid w:val="00D54401"/>
    <w:rsid w:val="00D56024"/>
    <w:rsid w:val="00D62A5C"/>
    <w:rsid w:val="00D62E6A"/>
    <w:rsid w:val="00D632BC"/>
    <w:rsid w:val="00D65868"/>
    <w:rsid w:val="00D6618E"/>
    <w:rsid w:val="00D747C1"/>
    <w:rsid w:val="00D7600D"/>
    <w:rsid w:val="00D81602"/>
    <w:rsid w:val="00D84736"/>
    <w:rsid w:val="00D86AE7"/>
    <w:rsid w:val="00D87146"/>
    <w:rsid w:val="00D92735"/>
    <w:rsid w:val="00DA4404"/>
    <w:rsid w:val="00DB6552"/>
    <w:rsid w:val="00DC1AAA"/>
    <w:rsid w:val="00DD4F5B"/>
    <w:rsid w:val="00DE1B42"/>
    <w:rsid w:val="00DE2CFB"/>
    <w:rsid w:val="00DF40D0"/>
    <w:rsid w:val="00E22996"/>
    <w:rsid w:val="00E23E24"/>
    <w:rsid w:val="00E244BF"/>
    <w:rsid w:val="00E27744"/>
    <w:rsid w:val="00E27B91"/>
    <w:rsid w:val="00E30400"/>
    <w:rsid w:val="00E310B9"/>
    <w:rsid w:val="00E3130E"/>
    <w:rsid w:val="00E32D6A"/>
    <w:rsid w:val="00E41CB5"/>
    <w:rsid w:val="00E517C7"/>
    <w:rsid w:val="00E56A6D"/>
    <w:rsid w:val="00E62973"/>
    <w:rsid w:val="00E6373A"/>
    <w:rsid w:val="00E6745D"/>
    <w:rsid w:val="00E73B25"/>
    <w:rsid w:val="00E90799"/>
    <w:rsid w:val="00EA3182"/>
    <w:rsid w:val="00EA43D4"/>
    <w:rsid w:val="00EA5F99"/>
    <w:rsid w:val="00EA6698"/>
    <w:rsid w:val="00EB1690"/>
    <w:rsid w:val="00EB5EE2"/>
    <w:rsid w:val="00EC42C4"/>
    <w:rsid w:val="00ED048F"/>
    <w:rsid w:val="00ED08CC"/>
    <w:rsid w:val="00ED5C37"/>
    <w:rsid w:val="00ED7669"/>
    <w:rsid w:val="00EE1375"/>
    <w:rsid w:val="00EE16DA"/>
    <w:rsid w:val="00EE374D"/>
    <w:rsid w:val="00EE6CF4"/>
    <w:rsid w:val="00EF28AB"/>
    <w:rsid w:val="00EF2FAD"/>
    <w:rsid w:val="00EF6C43"/>
    <w:rsid w:val="00EF7578"/>
    <w:rsid w:val="00F11497"/>
    <w:rsid w:val="00F136A0"/>
    <w:rsid w:val="00F13767"/>
    <w:rsid w:val="00F13F9D"/>
    <w:rsid w:val="00F21153"/>
    <w:rsid w:val="00F22F29"/>
    <w:rsid w:val="00F23682"/>
    <w:rsid w:val="00F31934"/>
    <w:rsid w:val="00F33E21"/>
    <w:rsid w:val="00F4579A"/>
    <w:rsid w:val="00F45837"/>
    <w:rsid w:val="00F53353"/>
    <w:rsid w:val="00F60771"/>
    <w:rsid w:val="00F665A2"/>
    <w:rsid w:val="00F67209"/>
    <w:rsid w:val="00F71F0C"/>
    <w:rsid w:val="00F7315D"/>
    <w:rsid w:val="00F77670"/>
    <w:rsid w:val="00F7787E"/>
    <w:rsid w:val="00F809FB"/>
    <w:rsid w:val="00F87B18"/>
    <w:rsid w:val="00F90535"/>
    <w:rsid w:val="00F9072D"/>
    <w:rsid w:val="00F917DF"/>
    <w:rsid w:val="00F97762"/>
    <w:rsid w:val="00FB02B6"/>
    <w:rsid w:val="00FC4B25"/>
    <w:rsid w:val="00FC58D8"/>
    <w:rsid w:val="00FD1E6A"/>
    <w:rsid w:val="00FD21F8"/>
    <w:rsid w:val="00FE1525"/>
    <w:rsid w:val="00FF3EC4"/>
    <w:rsid w:val="00FF4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3"/>
    <o:shapelayout v:ext="edit">
      <o:idmap v:ext="edit" data="1"/>
    </o:shapelayout>
  </w:shapeDefaults>
  <w:decimalSymbol w:val="."/>
  <w:listSeparator w:val=","/>
  <w14:docId w14:val="0A7E1417"/>
  <w15:docId w15:val="{E5297644-C405-43EB-B7F6-ACA5F7A8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09B1"/>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5A09B1"/>
    <w:pPr>
      <w:keepNext/>
      <w:keepLines/>
      <w:spacing w:before="200"/>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2F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F55"/>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0F2F55"/>
    <w:rPr>
      <w:sz w:val="16"/>
      <w:szCs w:val="16"/>
    </w:rPr>
  </w:style>
  <w:style w:type="paragraph" w:styleId="CommentText">
    <w:name w:val="annotation text"/>
    <w:basedOn w:val="Normal"/>
    <w:link w:val="CommentTextChar"/>
    <w:uiPriority w:val="99"/>
    <w:semiHidden/>
    <w:unhideWhenUsed/>
    <w:rsid w:val="000F2F55"/>
    <w:pPr>
      <w:spacing w:line="240" w:lineRule="auto"/>
    </w:pPr>
    <w:rPr>
      <w:sz w:val="20"/>
      <w:szCs w:val="20"/>
    </w:rPr>
  </w:style>
  <w:style w:type="character" w:customStyle="1" w:styleId="CommentTextChar">
    <w:name w:val="Comment Text Char"/>
    <w:basedOn w:val="DefaultParagraphFont"/>
    <w:link w:val="CommentText"/>
    <w:uiPriority w:val="99"/>
    <w:semiHidden/>
    <w:rsid w:val="000F2F55"/>
    <w:rPr>
      <w:sz w:val="20"/>
      <w:szCs w:val="20"/>
    </w:rPr>
  </w:style>
  <w:style w:type="paragraph" w:styleId="CommentSubject">
    <w:name w:val="annotation subject"/>
    <w:basedOn w:val="CommentText"/>
    <w:next w:val="CommentText"/>
    <w:link w:val="CommentSubjectChar"/>
    <w:uiPriority w:val="99"/>
    <w:semiHidden/>
    <w:unhideWhenUsed/>
    <w:rsid w:val="000F2F55"/>
    <w:rPr>
      <w:b/>
      <w:bCs/>
    </w:rPr>
  </w:style>
  <w:style w:type="character" w:customStyle="1" w:styleId="CommentSubjectChar">
    <w:name w:val="Comment Subject Char"/>
    <w:basedOn w:val="CommentTextChar"/>
    <w:link w:val="CommentSubject"/>
    <w:uiPriority w:val="99"/>
    <w:semiHidden/>
    <w:rsid w:val="000F2F55"/>
    <w:rPr>
      <w:b/>
      <w:bCs/>
      <w:sz w:val="20"/>
      <w:szCs w:val="20"/>
    </w:rPr>
  </w:style>
  <w:style w:type="paragraph" w:styleId="BalloonText">
    <w:name w:val="Balloon Text"/>
    <w:basedOn w:val="Normal"/>
    <w:link w:val="BalloonTextChar"/>
    <w:uiPriority w:val="99"/>
    <w:semiHidden/>
    <w:unhideWhenUsed/>
    <w:rsid w:val="000F2F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F55"/>
    <w:rPr>
      <w:rFonts w:ascii="Tahoma" w:hAnsi="Tahoma" w:cs="Tahoma"/>
      <w:sz w:val="16"/>
      <w:szCs w:val="16"/>
    </w:rPr>
  </w:style>
  <w:style w:type="character" w:customStyle="1" w:styleId="Heading1Char">
    <w:name w:val="Heading 1 Char"/>
    <w:basedOn w:val="DefaultParagraphFont"/>
    <w:link w:val="Heading1"/>
    <w:uiPriority w:val="9"/>
    <w:rsid w:val="005A09B1"/>
    <w:rPr>
      <w:rFonts w:eastAsiaTheme="majorEastAsia" w:cstheme="majorBidi"/>
      <w:b/>
      <w:bCs/>
      <w:sz w:val="28"/>
      <w:szCs w:val="28"/>
    </w:rPr>
  </w:style>
  <w:style w:type="character" w:customStyle="1" w:styleId="Heading2Char">
    <w:name w:val="Heading 2 Char"/>
    <w:basedOn w:val="DefaultParagraphFont"/>
    <w:link w:val="Heading2"/>
    <w:uiPriority w:val="9"/>
    <w:rsid w:val="005A09B1"/>
    <w:rPr>
      <w:rFonts w:eastAsiaTheme="majorEastAsia" w:cstheme="majorBidi"/>
      <w:b/>
      <w:bCs/>
      <w:sz w:val="24"/>
      <w:szCs w:val="26"/>
    </w:rPr>
  </w:style>
  <w:style w:type="paragraph" w:customStyle="1" w:styleId="Default">
    <w:name w:val="Default"/>
    <w:rsid w:val="000F2F55"/>
    <w:pPr>
      <w:autoSpaceDE w:val="0"/>
      <w:autoSpaceDN w:val="0"/>
      <w:adjustRightInd w:val="0"/>
      <w:spacing w:line="240" w:lineRule="auto"/>
    </w:pPr>
    <w:rPr>
      <w:rFonts w:ascii="Arial" w:hAnsi="Arial" w:cs="Arial"/>
      <w:color w:val="000000"/>
      <w:sz w:val="24"/>
      <w:szCs w:val="24"/>
    </w:rPr>
  </w:style>
  <w:style w:type="paragraph" w:styleId="Caption">
    <w:name w:val="caption"/>
    <w:basedOn w:val="Normal"/>
    <w:next w:val="Normal"/>
    <w:uiPriority w:val="35"/>
    <w:unhideWhenUsed/>
    <w:qFormat/>
    <w:rsid w:val="00FC4B25"/>
    <w:pPr>
      <w:spacing w:line="240" w:lineRule="auto"/>
    </w:pPr>
    <w:rPr>
      <w:b/>
      <w:bCs/>
      <w:color w:val="4F81BD" w:themeColor="accent1"/>
      <w:sz w:val="18"/>
      <w:szCs w:val="18"/>
    </w:rPr>
  </w:style>
  <w:style w:type="paragraph" w:styleId="Bibliography">
    <w:name w:val="Bibliography"/>
    <w:basedOn w:val="Normal"/>
    <w:next w:val="Normal"/>
    <w:uiPriority w:val="37"/>
    <w:unhideWhenUsed/>
    <w:rsid w:val="001E0832"/>
    <w:pPr>
      <w:ind w:left="720" w:hanging="720"/>
    </w:pPr>
  </w:style>
  <w:style w:type="character" w:styleId="Hyperlink">
    <w:name w:val="Hyperlink"/>
    <w:basedOn w:val="DefaultParagraphFont"/>
    <w:uiPriority w:val="99"/>
    <w:unhideWhenUsed/>
    <w:rsid w:val="00B57F12"/>
    <w:rPr>
      <w:color w:val="0000FF" w:themeColor="hyperlink"/>
      <w:u w:val="single"/>
    </w:rPr>
  </w:style>
  <w:style w:type="character" w:styleId="FollowedHyperlink">
    <w:name w:val="FollowedHyperlink"/>
    <w:basedOn w:val="DefaultParagraphFont"/>
    <w:uiPriority w:val="99"/>
    <w:semiHidden/>
    <w:unhideWhenUsed/>
    <w:rsid w:val="000D52F7"/>
    <w:rPr>
      <w:color w:val="800080" w:themeColor="followedHyperlink"/>
      <w:u w:val="single"/>
    </w:rPr>
  </w:style>
  <w:style w:type="paragraph" w:styleId="Revision">
    <w:name w:val="Revision"/>
    <w:hidden/>
    <w:uiPriority w:val="99"/>
    <w:semiHidden/>
    <w:rsid w:val="00691367"/>
    <w:pPr>
      <w:spacing w:line="240" w:lineRule="auto"/>
    </w:pPr>
  </w:style>
  <w:style w:type="table" w:styleId="TableGrid">
    <w:name w:val="Table Grid"/>
    <w:basedOn w:val="TableNormal"/>
    <w:uiPriority w:val="59"/>
    <w:rsid w:val="003C14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407"/>
    <w:pPr>
      <w:tabs>
        <w:tab w:val="center" w:pos="4680"/>
        <w:tab w:val="right" w:pos="9360"/>
      </w:tabs>
      <w:spacing w:line="240" w:lineRule="auto"/>
    </w:pPr>
  </w:style>
  <w:style w:type="character" w:customStyle="1" w:styleId="HeaderChar">
    <w:name w:val="Header Char"/>
    <w:basedOn w:val="DefaultParagraphFont"/>
    <w:link w:val="Header"/>
    <w:uiPriority w:val="99"/>
    <w:rsid w:val="00C16407"/>
  </w:style>
  <w:style w:type="paragraph" w:styleId="Footer">
    <w:name w:val="footer"/>
    <w:basedOn w:val="Normal"/>
    <w:link w:val="FooterChar"/>
    <w:uiPriority w:val="99"/>
    <w:unhideWhenUsed/>
    <w:rsid w:val="00C16407"/>
    <w:pPr>
      <w:tabs>
        <w:tab w:val="center" w:pos="4680"/>
        <w:tab w:val="right" w:pos="9360"/>
      </w:tabs>
      <w:spacing w:line="240" w:lineRule="auto"/>
    </w:pPr>
  </w:style>
  <w:style w:type="character" w:customStyle="1" w:styleId="FooterChar">
    <w:name w:val="Footer Char"/>
    <w:basedOn w:val="DefaultParagraphFont"/>
    <w:link w:val="Footer"/>
    <w:uiPriority w:val="99"/>
    <w:rsid w:val="00C16407"/>
  </w:style>
  <w:style w:type="paragraph" w:styleId="NoSpacing">
    <w:name w:val="No Spacing"/>
    <w:uiPriority w:val="1"/>
    <w:qFormat/>
    <w:rsid w:val="00DE1B4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401">
      <w:bodyDiv w:val="1"/>
      <w:marLeft w:val="0"/>
      <w:marRight w:val="0"/>
      <w:marTop w:val="0"/>
      <w:marBottom w:val="0"/>
      <w:divBdr>
        <w:top w:val="none" w:sz="0" w:space="0" w:color="auto"/>
        <w:left w:val="none" w:sz="0" w:space="0" w:color="auto"/>
        <w:bottom w:val="none" w:sz="0" w:space="0" w:color="auto"/>
        <w:right w:val="none" w:sz="0" w:space="0" w:color="auto"/>
      </w:divBdr>
    </w:div>
    <w:div w:id="72166037">
      <w:bodyDiv w:val="1"/>
      <w:marLeft w:val="0"/>
      <w:marRight w:val="0"/>
      <w:marTop w:val="0"/>
      <w:marBottom w:val="0"/>
      <w:divBdr>
        <w:top w:val="none" w:sz="0" w:space="0" w:color="auto"/>
        <w:left w:val="none" w:sz="0" w:space="0" w:color="auto"/>
        <w:bottom w:val="none" w:sz="0" w:space="0" w:color="auto"/>
        <w:right w:val="none" w:sz="0" w:space="0" w:color="auto"/>
      </w:divBdr>
      <w:divsChild>
        <w:div w:id="1055012595">
          <w:marLeft w:val="0"/>
          <w:marRight w:val="0"/>
          <w:marTop w:val="0"/>
          <w:marBottom w:val="0"/>
          <w:divBdr>
            <w:top w:val="none" w:sz="0" w:space="0" w:color="auto"/>
            <w:left w:val="none" w:sz="0" w:space="0" w:color="auto"/>
            <w:bottom w:val="none" w:sz="0" w:space="0" w:color="auto"/>
            <w:right w:val="none" w:sz="0" w:space="0" w:color="auto"/>
          </w:divBdr>
        </w:div>
        <w:div w:id="656960962">
          <w:marLeft w:val="0"/>
          <w:marRight w:val="0"/>
          <w:marTop w:val="0"/>
          <w:marBottom w:val="0"/>
          <w:divBdr>
            <w:top w:val="none" w:sz="0" w:space="0" w:color="auto"/>
            <w:left w:val="none" w:sz="0" w:space="0" w:color="auto"/>
            <w:bottom w:val="none" w:sz="0" w:space="0" w:color="auto"/>
            <w:right w:val="none" w:sz="0" w:space="0" w:color="auto"/>
          </w:divBdr>
        </w:div>
        <w:div w:id="1607884808">
          <w:marLeft w:val="0"/>
          <w:marRight w:val="0"/>
          <w:marTop w:val="0"/>
          <w:marBottom w:val="0"/>
          <w:divBdr>
            <w:top w:val="none" w:sz="0" w:space="0" w:color="auto"/>
            <w:left w:val="none" w:sz="0" w:space="0" w:color="auto"/>
            <w:bottom w:val="none" w:sz="0" w:space="0" w:color="auto"/>
            <w:right w:val="none" w:sz="0" w:space="0" w:color="auto"/>
          </w:divBdr>
        </w:div>
        <w:div w:id="670568307">
          <w:marLeft w:val="0"/>
          <w:marRight w:val="0"/>
          <w:marTop w:val="0"/>
          <w:marBottom w:val="0"/>
          <w:divBdr>
            <w:top w:val="none" w:sz="0" w:space="0" w:color="auto"/>
            <w:left w:val="none" w:sz="0" w:space="0" w:color="auto"/>
            <w:bottom w:val="none" w:sz="0" w:space="0" w:color="auto"/>
            <w:right w:val="none" w:sz="0" w:space="0" w:color="auto"/>
          </w:divBdr>
        </w:div>
        <w:div w:id="1258059677">
          <w:marLeft w:val="0"/>
          <w:marRight w:val="0"/>
          <w:marTop w:val="0"/>
          <w:marBottom w:val="0"/>
          <w:divBdr>
            <w:top w:val="none" w:sz="0" w:space="0" w:color="auto"/>
            <w:left w:val="none" w:sz="0" w:space="0" w:color="auto"/>
            <w:bottom w:val="none" w:sz="0" w:space="0" w:color="auto"/>
            <w:right w:val="none" w:sz="0" w:space="0" w:color="auto"/>
          </w:divBdr>
        </w:div>
        <w:div w:id="2120224413">
          <w:marLeft w:val="0"/>
          <w:marRight w:val="0"/>
          <w:marTop w:val="0"/>
          <w:marBottom w:val="0"/>
          <w:divBdr>
            <w:top w:val="none" w:sz="0" w:space="0" w:color="auto"/>
            <w:left w:val="none" w:sz="0" w:space="0" w:color="auto"/>
            <w:bottom w:val="none" w:sz="0" w:space="0" w:color="auto"/>
            <w:right w:val="none" w:sz="0" w:space="0" w:color="auto"/>
          </w:divBdr>
        </w:div>
        <w:div w:id="745030697">
          <w:marLeft w:val="0"/>
          <w:marRight w:val="0"/>
          <w:marTop w:val="0"/>
          <w:marBottom w:val="0"/>
          <w:divBdr>
            <w:top w:val="none" w:sz="0" w:space="0" w:color="auto"/>
            <w:left w:val="none" w:sz="0" w:space="0" w:color="auto"/>
            <w:bottom w:val="none" w:sz="0" w:space="0" w:color="auto"/>
            <w:right w:val="none" w:sz="0" w:space="0" w:color="auto"/>
          </w:divBdr>
        </w:div>
        <w:div w:id="2131388332">
          <w:marLeft w:val="0"/>
          <w:marRight w:val="0"/>
          <w:marTop w:val="0"/>
          <w:marBottom w:val="0"/>
          <w:divBdr>
            <w:top w:val="none" w:sz="0" w:space="0" w:color="auto"/>
            <w:left w:val="none" w:sz="0" w:space="0" w:color="auto"/>
            <w:bottom w:val="none" w:sz="0" w:space="0" w:color="auto"/>
            <w:right w:val="none" w:sz="0" w:space="0" w:color="auto"/>
          </w:divBdr>
        </w:div>
        <w:div w:id="1700426948">
          <w:marLeft w:val="0"/>
          <w:marRight w:val="0"/>
          <w:marTop w:val="0"/>
          <w:marBottom w:val="0"/>
          <w:divBdr>
            <w:top w:val="none" w:sz="0" w:space="0" w:color="auto"/>
            <w:left w:val="none" w:sz="0" w:space="0" w:color="auto"/>
            <w:bottom w:val="none" w:sz="0" w:space="0" w:color="auto"/>
            <w:right w:val="none" w:sz="0" w:space="0" w:color="auto"/>
          </w:divBdr>
        </w:div>
        <w:div w:id="1076513678">
          <w:marLeft w:val="0"/>
          <w:marRight w:val="0"/>
          <w:marTop w:val="0"/>
          <w:marBottom w:val="0"/>
          <w:divBdr>
            <w:top w:val="none" w:sz="0" w:space="0" w:color="auto"/>
            <w:left w:val="none" w:sz="0" w:space="0" w:color="auto"/>
            <w:bottom w:val="none" w:sz="0" w:space="0" w:color="auto"/>
            <w:right w:val="none" w:sz="0" w:space="0" w:color="auto"/>
          </w:divBdr>
        </w:div>
        <w:div w:id="449856588">
          <w:marLeft w:val="0"/>
          <w:marRight w:val="0"/>
          <w:marTop w:val="0"/>
          <w:marBottom w:val="0"/>
          <w:divBdr>
            <w:top w:val="none" w:sz="0" w:space="0" w:color="auto"/>
            <w:left w:val="none" w:sz="0" w:space="0" w:color="auto"/>
            <w:bottom w:val="none" w:sz="0" w:space="0" w:color="auto"/>
            <w:right w:val="none" w:sz="0" w:space="0" w:color="auto"/>
          </w:divBdr>
        </w:div>
        <w:div w:id="705761640">
          <w:marLeft w:val="0"/>
          <w:marRight w:val="0"/>
          <w:marTop w:val="0"/>
          <w:marBottom w:val="0"/>
          <w:divBdr>
            <w:top w:val="none" w:sz="0" w:space="0" w:color="auto"/>
            <w:left w:val="none" w:sz="0" w:space="0" w:color="auto"/>
            <w:bottom w:val="none" w:sz="0" w:space="0" w:color="auto"/>
            <w:right w:val="none" w:sz="0" w:space="0" w:color="auto"/>
          </w:divBdr>
        </w:div>
        <w:div w:id="1651323809">
          <w:marLeft w:val="0"/>
          <w:marRight w:val="0"/>
          <w:marTop w:val="0"/>
          <w:marBottom w:val="0"/>
          <w:divBdr>
            <w:top w:val="none" w:sz="0" w:space="0" w:color="auto"/>
            <w:left w:val="none" w:sz="0" w:space="0" w:color="auto"/>
            <w:bottom w:val="none" w:sz="0" w:space="0" w:color="auto"/>
            <w:right w:val="none" w:sz="0" w:space="0" w:color="auto"/>
          </w:divBdr>
        </w:div>
        <w:div w:id="1034967612">
          <w:marLeft w:val="0"/>
          <w:marRight w:val="0"/>
          <w:marTop w:val="0"/>
          <w:marBottom w:val="0"/>
          <w:divBdr>
            <w:top w:val="none" w:sz="0" w:space="0" w:color="auto"/>
            <w:left w:val="none" w:sz="0" w:space="0" w:color="auto"/>
            <w:bottom w:val="none" w:sz="0" w:space="0" w:color="auto"/>
            <w:right w:val="none" w:sz="0" w:space="0" w:color="auto"/>
          </w:divBdr>
        </w:div>
        <w:div w:id="1566800027">
          <w:marLeft w:val="0"/>
          <w:marRight w:val="0"/>
          <w:marTop w:val="0"/>
          <w:marBottom w:val="0"/>
          <w:divBdr>
            <w:top w:val="none" w:sz="0" w:space="0" w:color="auto"/>
            <w:left w:val="none" w:sz="0" w:space="0" w:color="auto"/>
            <w:bottom w:val="none" w:sz="0" w:space="0" w:color="auto"/>
            <w:right w:val="none" w:sz="0" w:space="0" w:color="auto"/>
          </w:divBdr>
        </w:div>
      </w:divsChild>
    </w:div>
    <w:div w:id="486702116">
      <w:bodyDiv w:val="1"/>
      <w:marLeft w:val="0"/>
      <w:marRight w:val="0"/>
      <w:marTop w:val="0"/>
      <w:marBottom w:val="0"/>
      <w:divBdr>
        <w:top w:val="none" w:sz="0" w:space="0" w:color="auto"/>
        <w:left w:val="none" w:sz="0" w:space="0" w:color="auto"/>
        <w:bottom w:val="none" w:sz="0" w:space="0" w:color="auto"/>
        <w:right w:val="none" w:sz="0" w:space="0" w:color="auto"/>
      </w:divBdr>
      <w:divsChild>
        <w:div w:id="546836902">
          <w:marLeft w:val="0"/>
          <w:marRight w:val="0"/>
          <w:marTop w:val="0"/>
          <w:marBottom w:val="0"/>
          <w:divBdr>
            <w:top w:val="none" w:sz="0" w:space="0" w:color="auto"/>
            <w:left w:val="none" w:sz="0" w:space="0" w:color="auto"/>
            <w:bottom w:val="none" w:sz="0" w:space="0" w:color="auto"/>
            <w:right w:val="none" w:sz="0" w:space="0" w:color="auto"/>
          </w:divBdr>
        </w:div>
        <w:div w:id="248660483">
          <w:marLeft w:val="0"/>
          <w:marRight w:val="0"/>
          <w:marTop w:val="0"/>
          <w:marBottom w:val="0"/>
          <w:divBdr>
            <w:top w:val="none" w:sz="0" w:space="0" w:color="auto"/>
            <w:left w:val="none" w:sz="0" w:space="0" w:color="auto"/>
            <w:bottom w:val="none" w:sz="0" w:space="0" w:color="auto"/>
            <w:right w:val="none" w:sz="0" w:space="0" w:color="auto"/>
          </w:divBdr>
        </w:div>
        <w:div w:id="2016422469">
          <w:marLeft w:val="0"/>
          <w:marRight w:val="0"/>
          <w:marTop w:val="0"/>
          <w:marBottom w:val="0"/>
          <w:divBdr>
            <w:top w:val="none" w:sz="0" w:space="0" w:color="auto"/>
            <w:left w:val="none" w:sz="0" w:space="0" w:color="auto"/>
            <w:bottom w:val="none" w:sz="0" w:space="0" w:color="auto"/>
            <w:right w:val="none" w:sz="0" w:space="0" w:color="auto"/>
          </w:divBdr>
        </w:div>
        <w:div w:id="512844576">
          <w:marLeft w:val="0"/>
          <w:marRight w:val="0"/>
          <w:marTop w:val="0"/>
          <w:marBottom w:val="0"/>
          <w:divBdr>
            <w:top w:val="none" w:sz="0" w:space="0" w:color="auto"/>
            <w:left w:val="none" w:sz="0" w:space="0" w:color="auto"/>
            <w:bottom w:val="none" w:sz="0" w:space="0" w:color="auto"/>
            <w:right w:val="none" w:sz="0" w:space="0" w:color="auto"/>
          </w:divBdr>
        </w:div>
        <w:div w:id="1511405112">
          <w:marLeft w:val="0"/>
          <w:marRight w:val="0"/>
          <w:marTop w:val="0"/>
          <w:marBottom w:val="0"/>
          <w:divBdr>
            <w:top w:val="none" w:sz="0" w:space="0" w:color="auto"/>
            <w:left w:val="none" w:sz="0" w:space="0" w:color="auto"/>
            <w:bottom w:val="none" w:sz="0" w:space="0" w:color="auto"/>
            <w:right w:val="none" w:sz="0" w:space="0" w:color="auto"/>
          </w:divBdr>
        </w:div>
      </w:divsChild>
    </w:div>
    <w:div w:id="571504682">
      <w:bodyDiv w:val="1"/>
      <w:marLeft w:val="0"/>
      <w:marRight w:val="0"/>
      <w:marTop w:val="0"/>
      <w:marBottom w:val="0"/>
      <w:divBdr>
        <w:top w:val="none" w:sz="0" w:space="0" w:color="auto"/>
        <w:left w:val="none" w:sz="0" w:space="0" w:color="auto"/>
        <w:bottom w:val="none" w:sz="0" w:space="0" w:color="auto"/>
        <w:right w:val="none" w:sz="0" w:space="0" w:color="auto"/>
      </w:divBdr>
    </w:div>
    <w:div w:id="766268152">
      <w:bodyDiv w:val="1"/>
      <w:marLeft w:val="0"/>
      <w:marRight w:val="0"/>
      <w:marTop w:val="0"/>
      <w:marBottom w:val="0"/>
      <w:divBdr>
        <w:top w:val="none" w:sz="0" w:space="0" w:color="auto"/>
        <w:left w:val="none" w:sz="0" w:space="0" w:color="auto"/>
        <w:bottom w:val="none" w:sz="0" w:space="0" w:color="auto"/>
        <w:right w:val="none" w:sz="0" w:space="0" w:color="auto"/>
      </w:divBdr>
    </w:div>
    <w:div w:id="982660051">
      <w:bodyDiv w:val="1"/>
      <w:marLeft w:val="0"/>
      <w:marRight w:val="0"/>
      <w:marTop w:val="0"/>
      <w:marBottom w:val="0"/>
      <w:divBdr>
        <w:top w:val="none" w:sz="0" w:space="0" w:color="auto"/>
        <w:left w:val="none" w:sz="0" w:space="0" w:color="auto"/>
        <w:bottom w:val="none" w:sz="0" w:space="0" w:color="auto"/>
        <w:right w:val="none" w:sz="0" w:space="0" w:color="auto"/>
      </w:divBdr>
    </w:div>
    <w:div w:id="1094126643">
      <w:bodyDiv w:val="1"/>
      <w:marLeft w:val="0"/>
      <w:marRight w:val="0"/>
      <w:marTop w:val="0"/>
      <w:marBottom w:val="0"/>
      <w:divBdr>
        <w:top w:val="none" w:sz="0" w:space="0" w:color="auto"/>
        <w:left w:val="none" w:sz="0" w:space="0" w:color="auto"/>
        <w:bottom w:val="none" w:sz="0" w:space="0" w:color="auto"/>
        <w:right w:val="none" w:sz="0" w:space="0" w:color="auto"/>
      </w:divBdr>
    </w:div>
    <w:div w:id="1395540392">
      <w:bodyDiv w:val="1"/>
      <w:marLeft w:val="0"/>
      <w:marRight w:val="0"/>
      <w:marTop w:val="0"/>
      <w:marBottom w:val="0"/>
      <w:divBdr>
        <w:top w:val="none" w:sz="0" w:space="0" w:color="auto"/>
        <w:left w:val="none" w:sz="0" w:space="0" w:color="auto"/>
        <w:bottom w:val="none" w:sz="0" w:space="0" w:color="auto"/>
        <w:right w:val="none" w:sz="0" w:space="0" w:color="auto"/>
      </w:divBdr>
    </w:div>
    <w:div w:id="1513759596">
      <w:bodyDiv w:val="1"/>
      <w:marLeft w:val="0"/>
      <w:marRight w:val="0"/>
      <w:marTop w:val="0"/>
      <w:marBottom w:val="0"/>
      <w:divBdr>
        <w:top w:val="none" w:sz="0" w:space="0" w:color="auto"/>
        <w:left w:val="none" w:sz="0" w:space="0" w:color="auto"/>
        <w:bottom w:val="none" w:sz="0" w:space="0" w:color="auto"/>
        <w:right w:val="none" w:sz="0" w:space="0" w:color="auto"/>
      </w:divBdr>
    </w:div>
    <w:div w:id="1635526787">
      <w:bodyDiv w:val="1"/>
      <w:marLeft w:val="0"/>
      <w:marRight w:val="0"/>
      <w:marTop w:val="0"/>
      <w:marBottom w:val="0"/>
      <w:divBdr>
        <w:top w:val="none" w:sz="0" w:space="0" w:color="auto"/>
        <w:left w:val="none" w:sz="0" w:space="0" w:color="auto"/>
        <w:bottom w:val="none" w:sz="0" w:space="0" w:color="auto"/>
        <w:right w:val="none" w:sz="0" w:space="0" w:color="auto"/>
      </w:divBdr>
    </w:div>
    <w:div w:id="1666130729">
      <w:bodyDiv w:val="1"/>
      <w:marLeft w:val="0"/>
      <w:marRight w:val="0"/>
      <w:marTop w:val="0"/>
      <w:marBottom w:val="0"/>
      <w:divBdr>
        <w:top w:val="none" w:sz="0" w:space="0" w:color="auto"/>
        <w:left w:val="none" w:sz="0" w:space="0" w:color="auto"/>
        <w:bottom w:val="none" w:sz="0" w:space="0" w:color="auto"/>
        <w:right w:val="none" w:sz="0" w:space="0" w:color="auto"/>
      </w:divBdr>
    </w:div>
    <w:div w:id="1954708172">
      <w:bodyDiv w:val="1"/>
      <w:marLeft w:val="0"/>
      <w:marRight w:val="0"/>
      <w:marTop w:val="0"/>
      <w:marBottom w:val="0"/>
      <w:divBdr>
        <w:top w:val="none" w:sz="0" w:space="0" w:color="auto"/>
        <w:left w:val="none" w:sz="0" w:space="0" w:color="auto"/>
        <w:bottom w:val="none" w:sz="0" w:space="0" w:color="auto"/>
        <w:right w:val="none" w:sz="0" w:space="0" w:color="auto"/>
      </w:divBdr>
      <w:divsChild>
        <w:div w:id="767384153">
          <w:marLeft w:val="0"/>
          <w:marRight w:val="0"/>
          <w:marTop w:val="0"/>
          <w:marBottom w:val="0"/>
          <w:divBdr>
            <w:top w:val="none" w:sz="0" w:space="0" w:color="auto"/>
            <w:left w:val="none" w:sz="0" w:space="0" w:color="auto"/>
            <w:bottom w:val="none" w:sz="0" w:space="0" w:color="auto"/>
            <w:right w:val="none" w:sz="0" w:space="0" w:color="auto"/>
          </w:divBdr>
        </w:div>
        <w:div w:id="535892287">
          <w:marLeft w:val="0"/>
          <w:marRight w:val="0"/>
          <w:marTop w:val="0"/>
          <w:marBottom w:val="0"/>
          <w:divBdr>
            <w:top w:val="none" w:sz="0" w:space="0" w:color="auto"/>
            <w:left w:val="none" w:sz="0" w:space="0" w:color="auto"/>
            <w:bottom w:val="none" w:sz="0" w:space="0" w:color="auto"/>
            <w:right w:val="none" w:sz="0" w:space="0" w:color="auto"/>
          </w:divBdr>
        </w:div>
        <w:div w:id="788545310">
          <w:marLeft w:val="0"/>
          <w:marRight w:val="0"/>
          <w:marTop w:val="0"/>
          <w:marBottom w:val="0"/>
          <w:divBdr>
            <w:top w:val="none" w:sz="0" w:space="0" w:color="auto"/>
            <w:left w:val="none" w:sz="0" w:space="0" w:color="auto"/>
            <w:bottom w:val="none" w:sz="0" w:space="0" w:color="auto"/>
            <w:right w:val="none" w:sz="0" w:space="0" w:color="auto"/>
          </w:divBdr>
        </w:div>
        <w:div w:id="2113668028">
          <w:marLeft w:val="0"/>
          <w:marRight w:val="0"/>
          <w:marTop w:val="0"/>
          <w:marBottom w:val="0"/>
          <w:divBdr>
            <w:top w:val="none" w:sz="0" w:space="0" w:color="auto"/>
            <w:left w:val="none" w:sz="0" w:space="0" w:color="auto"/>
            <w:bottom w:val="none" w:sz="0" w:space="0" w:color="auto"/>
            <w:right w:val="none" w:sz="0" w:space="0" w:color="auto"/>
          </w:divBdr>
        </w:div>
        <w:div w:id="1272979460">
          <w:marLeft w:val="0"/>
          <w:marRight w:val="0"/>
          <w:marTop w:val="0"/>
          <w:marBottom w:val="0"/>
          <w:divBdr>
            <w:top w:val="none" w:sz="0" w:space="0" w:color="auto"/>
            <w:left w:val="none" w:sz="0" w:space="0" w:color="auto"/>
            <w:bottom w:val="none" w:sz="0" w:space="0" w:color="auto"/>
            <w:right w:val="none" w:sz="0" w:space="0" w:color="auto"/>
          </w:divBdr>
        </w:div>
        <w:div w:id="1564833117">
          <w:marLeft w:val="0"/>
          <w:marRight w:val="0"/>
          <w:marTop w:val="0"/>
          <w:marBottom w:val="0"/>
          <w:divBdr>
            <w:top w:val="none" w:sz="0" w:space="0" w:color="auto"/>
            <w:left w:val="none" w:sz="0" w:space="0" w:color="auto"/>
            <w:bottom w:val="none" w:sz="0" w:space="0" w:color="auto"/>
            <w:right w:val="none" w:sz="0" w:space="0" w:color="auto"/>
          </w:divBdr>
        </w:div>
        <w:div w:id="429472875">
          <w:marLeft w:val="0"/>
          <w:marRight w:val="0"/>
          <w:marTop w:val="0"/>
          <w:marBottom w:val="0"/>
          <w:divBdr>
            <w:top w:val="none" w:sz="0" w:space="0" w:color="auto"/>
            <w:left w:val="none" w:sz="0" w:space="0" w:color="auto"/>
            <w:bottom w:val="none" w:sz="0" w:space="0" w:color="auto"/>
            <w:right w:val="none" w:sz="0" w:space="0" w:color="auto"/>
          </w:divBdr>
        </w:div>
        <w:div w:id="1746800094">
          <w:marLeft w:val="0"/>
          <w:marRight w:val="0"/>
          <w:marTop w:val="0"/>
          <w:marBottom w:val="0"/>
          <w:divBdr>
            <w:top w:val="none" w:sz="0" w:space="0" w:color="auto"/>
            <w:left w:val="none" w:sz="0" w:space="0" w:color="auto"/>
            <w:bottom w:val="none" w:sz="0" w:space="0" w:color="auto"/>
            <w:right w:val="none" w:sz="0" w:space="0" w:color="auto"/>
          </w:divBdr>
        </w:div>
        <w:div w:id="125200635">
          <w:marLeft w:val="0"/>
          <w:marRight w:val="0"/>
          <w:marTop w:val="0"/>
          <w:marBottom w:val="0"/>
          <w:divBdr>
            <w:top w:val="none" w:sz="0" w:space="0" w:color="auto"/>
            <w:left w:val="none" w:sz="0" w:space="0" w:color="auto"/>
            <w:bottom w:val="none" w:sz="0" w:space="0" w:color="auto"/>
            <w:right w:val="none" w:sz="0" w:space="0" w:color="auto"/>
          </w:divBdr>
        </w:div>
        <w:div w:id="423846324">
          <w:marLeft w:val="0"/>
          <w:marRight w:val="0"/>
          <w:marTop w:val="0"/>
          <w:marBottom w:val="0"/>
          <w:divBdr>
            <w:top w:val="none" w:sz="0" w:space="0" w:color="auto"/>
            <w:left w:val="none" w:sz="0" w:space="0" w:color="auto"/>
            <w:bottom w:val="none" w:sz="0" w:space="0" w:color="auto"/>
            <w:right w:val="none" w:sz="0" w:space="0" w:color="auto"/>
          </w:divBdr>
        </w:div>
        <w:div w:id="1538270767">
          <w:marLeft w:val="0"/>
          <w:marRight w:val="0"/>
          <w:marTop w:val="0"/>
          <w:marBottom w:val="0"/>
          <w:divBdr>
            <w:top w:val="none" w:sz="0" w:space="0" w:color="auto"/>
            <w:left w:val="none" w:sz="0" w:space="0" w:color="auto"/>
            <w:bottom w:val="none" w:sz="0" w:space="0" w:color="auto"/>
            <w:right w:val="none" w:sz="0" w:space="0" w:color="auto"/>
          </w:divBdr>
        </w:div>
        <w:div w:id="1744570840">
          <w:marLeft w:val="0"/>
          <w:marRight w:val="0"/>
          <w:marTop w:val="0"/>
          <w:marBottom w:val="0"/>
          <w:divBdr>
            <w:top w:val="none" w:sz="0" w:space="0" w:color="auto"/>
            <w:left w:val="none" w:sz="0" w:space="0" w:color="auto"/>
            <w:bottom w:val="none" w:sz="0" w:space="0" w:color="auto"/>
            <w:right w:val="none" w:sz="0" w:space="0" w:color="auto"/>
          </w:divBdr>
        </w:div>
        <w:div w:id="721247214">
          <w:marLeft w:val="0"/>
          <w:marRight w:val="0"/>
          <w:marTop w:val="0"/>
          <w:marBottom w:val="0"/>
          <w:divBdr>
            <w:top w:val="none" w:sz="0" w:space="0" w:color="auto"/>
            <w:left w:val="none" w:sz="0" w:space="0" w:color="auto"/>
            <w:bottom w:val="none" w:sz="0" w:space="0" w:color="auto"/>
            <w:right w:val="none" w:sz="0" w:space="0" w:color="auto"/>
          </w:divBdr>
        </w:div>
        <w:div w:id="1270506598">
          <w:marLeft w:val="0"/>
          <w:marRight w:val="0"/>
          <w:marTop w:val="0"/>
          <w:marBottom w:val="0"/>
          <w:divBdr>
            <w:top w:val="none" w:sz="0" w:space="0" w:color="auto"/>
            <w:left w:val="none" w:sz="0" w:space="0" w:color="auto"/>
            <w:bottom w:val="none" w:sz="0" w:space="0" w:color="auto"/>
            <w:right w:val="none" w:sz="0" w:space="0" w:color="auto"/>
          </w:divBdr>
        </w:div>
        <w:div w:id="1151555106">
          <w:marLeft w:val="0"/>
          <w:marRight w:val="0"/>
          <w:marTop w:val="0"/>
          <w:marBottom w:val="0"/>
          <w:divBdr>
            <w:top w:val="none" w:sz="0" w:space="0" w:color="auto"/>
            <w:left w:val="none" w:sz="0" w:space="0" w:color="auto"/>
            <w:bottom w:val="none" w:sz="0" w:space="0" w:color="auto"/>
            <w:right w:val="none" w:sz="0" w:space="0" w:color="auto"/>
          </w:divBdr>
        </w:div>
      </w:divsChild>
    </w:div>
    <w:div w:id="2075814698">
      <w:bodyDiv w:val="1"/>
      <w:marLeft w:val="0"/>
      <w:marRight w:val="0"/>
      <w:marTop w:val="0"/>
      <w:marBottom w:val="0"/>
      <w:divBdr>
        <w:top w:val="none" w:sz="0" w:space="0" w:color="auto"/>
        <w:left w:val="none" w:sz="0" w:space="0" w:color="auto"/>
        <w:bottom w:val="none" w:sz="0" w:space="0" w:color="auto"/>
        <w:right w:val="none" w:sz="0" w:space="0" w:color="auto"/>
      </w:divBdr>
      <w:divsChild>
        <w:div w:id="1059983797">
          <w:marLeft w:val="0"/>
          <w:marRight w:val="0"/>
          <w:marTop w:val="0"/>
          <w:marBottom w:val="0"/>
          <w:divBdr>
            <w:top w:val="none" w:sz="0" w:space="0" w:color="auto"/>
            <w:left w:val="none" w:sz="0" w:space="0" w:color="auto"/>
            <w:bottom w:val="none" w:sz="0" w:space="0" w:color="auto"/>
            <w:right w:val="none" w:sz="0" w:space="0" w:color="auto"/>
          </w:divBdr>
        </w:div>
        <w:div w:id="1584412713">
          <w:marLeft w:val="0"/>
          <w:marRight w:val="0"/>
          <w:marTop w:val="0"/>
          <w:marBottom w:val="0"/>
          <w:divBdr>
            <w:top w:val="none" w:sz="0" w:space="0" w:color="auto"/>
            <w:left w:val="none" w:sz="0" w:space="0" w:color="auto"/>
            <w:bottom w:val="none" w:sz="0" w:space="0" w:color="auto"/>
            <w:right w:val="none" w:sz="0" w:space="0" w:color="auto"/>
          </w:divBdr>
        </w:div>
        <w:div w:id="376667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png"/><Relationship Id="rId40" Type="http://schemas.openxmlformats.org/officeDocument/2006/relationships/oleObject" Target="embeddings/oleObject16.bin"/><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5EB76-72DD-4C85-875E-76B89CF1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14188</Words>
  <Characters>80877</Characters>
  <Application>Microsoft Office Word</Application>
  <DocSecurity>4</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WEBER Daniela</dc:creator>
  <cp:lastModifiedBy>Bordone V.</cp:lastModifiedBy>
  <cp:revision>2</cp:revision>
  <cp:lastPrinted>2015-10-08T12:57:00Z</cp:lastPrinted>
  <dcterms:created xsi:type="dcterms:W3CDTF">2016-07-01T15:15:00Z</dcterms:created>
  <dcterms:modified xsi:type="dcterms:W3CDTF">2016-07-01T15:15:00Z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zotero-version="4.0.29.6"&gt;&lt;session id="cAJZkN2R"/&gt;&lt;style id="http://www.zotero.org/styles/apa" locale="en-US" hasBibliography="1" bibliographyStyleHasBeenSet="1"/&gt;&lt;prefs&gt;&lt;pref name="fieldType" value="Field"/&gt;&lt;pref name="storeReferen</vt:lpwstr>
  </property>
  <property fmtid="{D5CDD505-2E9C-101B-9397-08002B2CF9AE}" pid="3" name="ZOTERO_PREF_2">
    <vt:lpwstr>ces" value="true"/&gt;&lt;pref name="automaticJournalAbbreviations" value="true"/&gt;&lt;pref name="noteType" value=""/&gt;&lt;/prefs&gt;&lt;/data&gt;</vt:lpwstr>
  </property>
</Properties>
</file>