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6831A" w14:textId="77777777" w:rsidR="008132A4" w:rsidRPr="00083A30" w:rsidRDefault="008132A4" w:rsidP="008132A4">
      <w:pPr>
        <w:spacing w:line="360" w:lineRule="auto"/>
        <w:jc w:val="both"/>
        <w:rPr>
          <w:rFonts w:ascii="Times New Roman" w:hAnsi="Times New Roman" w:cs="Times New Roman"/>
          <w:sz w:val="24"/>
          <w:szCs w:val="24"/>
        </w:rPr>
      </w:pPr>
      <w:bookmarkStart w:id="0" w:name="_GoBack"/>
      <w:bookmarkEnd w:id="0"/>
      <w:r w:rsidRPr="00083A30">
        <w:rPr>
          <w:rFonts w:ascii="Times New Roman" w:hAnsi="Times New Roman" w:cs="Times New Roman"/>
          <w:b/>
          <w:sz w:val="24"/>
          <w:szCs w:val="24"/>
        </w:rPr>
        <w:t>Title:</w:t>
      </w:r>
      <w:r w:rsidRPr="00083A30">
        <w:rPr>
          <w:rFonts w:ascii="Times New Roman" w:hAnsi="Times New Roman" w:cs="Times New Roman"/>
          <w:sz w:val="24"/>
          <w:szCs w:val="24"/>
        </w:rPr>
        <w:t xml:space="preserve"> Taste preference, food neophobia and nutritional intake in children consuming a cows’ milk exclusion diet: a prospective study</w:t>
      </w:r>
    </w:p>
    <w:p w14:paraId="34B02668" w14:textId="77777777" w:rsidR="008132A4" w:rsidRPr="00083A30" w:rsidRDefault="008132A4" w:rsidP="008132A4">
      <w:pPr>
        <w:autoSpaceDE w:val="0"/>
        <w:autoSpaceDN w:val="0"/>
        <w:adjustRightInd w:val="0"/>
        <w:spacing w:after="0" w:line="360" w:lineRule="auto"/>
        <w:jc w:val="both"/>
        <w:rPr>
          <w:rFonts w:ascii="Times New Roman" w:hAnsi="Times New Roman" w:cs="Times New Roman"/>
          <w:color w:val="FF0000"/>
          <w:sz w:val="24"/>
          <w:szCs w:val="24"/>
        </w:rPr>
      </w:pPr>
      <w:r w:rsidRPr="00083A30">
        <w:rPr>
          <w:rFonts w:ascii="Times New Roman" w:hAnsi="Times New Roman" w:cs="Times New Roman"/>
          <w:b/>
          <w:sz w:val="24"/>
          <w:szCs w:val="24"/>
        </w:rPr>
        <w:t>Authors:</w:t>
      </w:r>
      <w:r w:rsidRPr="00083A30">
        <w:rPr>
          <w:rFonts w:ascii="Times New Roman" w:hAnsi="Times New Roman" w:cs="Times New Roman"/>
          <w:sz w:val="24"/>
          <w:szCs w:val="24"/>
        </w:rPr>
        <w:t xml:space="preserve"> Kate Maslin, Kate Grimshaw, Erin Oliver, Graham Roberts, Syed Hasan Arshad, Taraneh Dean, Jane Grundy, Gillian Glasbey, &amp; Carina Venter. </w:t>
      </w:r>
    </w:p>
    <w:p w14:paraId="64BE32D5" w14:textId="77777777" w:rsidR="008132A4" w:rsidRPr="00083A30" w:rsidRDefault="008132A4" w:rsidP="008132A4">
      <w:pPr>
        <w:autoSpaceDE w:val="0"/>
        <w:autoSpaceDN w:val="0"/>
        <w:adjustRightInd w:val="0"/>
        <w:spacing w:after="0" w:line="360" w:lineRule="auto"/>
        <w:jc w:val="both"/>
        <w:rPr>
          <w:rFonts w:ascii="Times New Roman" w:hAnsi="Times New Roman" w:cs="Times New Roman"/>
          <w:sz w:val="24"/>
          <w:szCs w:val="24"/>
        </w:rPr>
      </w:pPr>
    </w:p>
    <w:p w14:paraId="6FB0F80F" w14:textId="77777777" w:rsidR="008132A4" w:rsidRPr="00083A30" w:rsidRDefault="008132A4" w:rsidP="008132A4">
      <w:pPr>
        <w:spacing w:line="360" w:lineRule="auto"/>
        <w:jc w:val="both"/>
        <w:rPr>
          <w:rFonts w:ascii="Times New Roman" w:hAnsi="Times New Roman" w:cs="Times New Roman"/>
          <w:sz w:val="24"/>
          <w:szCs w:val="24"/>
        </w:rPr>
      </w:pPr>
      <w:r w:rsidRPr="00083A30">
        <w:rPr>
          <w:rFonts w:ascii="Times New Roman" w:hAnsi="Times New Roman" w:cs="Times New Roman"/>
          <w:b/>
          <w:sz w:val="24"/>
          <w:szCs w:val="24"/>
        </w:rPr>
        <w:t>Key words:</w:t>
      </w:r>
      <w:r w:rsidRPr="00083A30">
        <w:rPr>
          <w:rFonts w:ascii="Times New Roman" w:hAnsi="Times New Roman" w:cs="Times New Roman"/>
          <w:sz w:val="24"/>
          <w:szCs w:val="24"/>
        </w:rPr>
        <w:t xml:space="preserve"> taste preference, cows’ milk allergy, dietary intake, food neophobia</w:t>
      </w:r>
    </w:p>
    <w:p w14:paraId="732939C1" w14:textId="77777777" w:rsidR="008132A4" w:rsidRPr="00083A30" w:rsidRDefault="008132A4" w:rsidP="008132A4">
      <w:pPr>
        <w:spacing w:line="360" w:lineRule="auto"/>
        <w:jc w:val="both"/>
        <w:rPr>
          <w:rFonts w:ascii="Times New Roman" w:hAnsi="Times New Roman" w:cs="Times New Roman"/>
          <w:b/>
          <w:sz w:val="24"/>
          <w:szCs w:val="24"/>
        </w:rPr>
      </w:pPr>
      <w:r w:rsidRPr="00083A30">
        <w:rPr>
          <w:rFonts w:ascii="Times New Roman" w:hAnsi="Times New Roman" w:cs="Times New Roman"/>
          <w:b/>
          <w:sz w:val="24"/>
          <w:szCs w:val="24"/>
        </w:rPr>
        <w:t>Author details:</w:t>
      </w:r>
    </w:p>
    <w:p w14:paraId="0F9986F2" w14:textId="77777777" w:rsidR="008132A4" w:rsidRPr="00083A30" w:rsidRDefault="008132A4" w:rsidP="008132A4">
      <w:pPr>
        <w:spacing w:line="360" w:lineRule="auto"/>
        <w:jc w:val="both"/>
        <w:rPr>
          <w:rFonts w:ascii="Times New Roman" w:hAnsi="Times New Roman" w:cs="Times New Roman"/>
          <w:sz w:val="24"/>
          <w:szCs w:val="24"/>
        </w:rPr>
      </w:pPr>
      <w:r w:rsidRPr="00083A30">
        <w:rPr>
          <w:rFonts w:ascii="Times New Roman" w:hAnsi="Times New Roman" w:cs="Times New Roman"/>
          <w:b/>
          <w:sz w:val="24"/>
          <w:szCs w:val="24"/>
        </w:rPr>
        <w:t>Kate Maslin</w:t>
      </w:r>
      <w:r>
        <w:rPr>
          <w:rFonts w:ascii="Times New Roman" w:hAnsi="Times New Roman" w:cs="Times New Roman"/>
          <w:sz w:val="24"/>
          <w:szCs w:val="24"/>
          <w:vertAlign w:val="superscript"/>
        </w:rPr>
        <w:t xml:space="preserve"> </w:t>
      </w:r>
      <w:r w:rsidRPr="00083A30">
        <w:rPr>
          <w:rFonts w:ascii="Times New Roman" w:hAnsi="Times New Roman" w:cs="Times New Roman"/>
          <w:sz w:val="24"/>
          <w:szCs w:val="24"/>
        </w:rPr>
        <w:t>1. School of Health Sciences and Social Work, University of Portsmouth, James Watson West, 2 King Richard 1</w:t>
      </w:r>
      <w:r w:rsidRPr="00083A30">
        <w:rPr>
          <w:rFonts w:ascii="Times New Roman" w:hAnsi="Times New Roman" w:cs="Times New Roman"/>
          <w:sz w:val="24"/>
          <w:szCs w:val="24"/>
          <w:vertAlign w:val="superscript"/>
        </w:rPr>
        <w:t>st</w:t>
      </w:r>
      <w:r w:rsidRPr="00083A30">
        <w:rPr>
          <w:rFonts w:ascii="Times New Roman" w:hAnsi="Times New Roman" w:cs="Times New Roman"/>
          <w:sz w:val="24"/>
          <w:szCs w:val="24"/>
        </w:rPr>
        <w:t xml:space="preserve"> Road, Portsmouth, PO1 2FR. </w:t>
      </w:r>
    </w:p>
    <w:p w14:paraId="0FDA9FB3" w14:textId="77777777" w:rsidR="008132A4" w:rsidRPr="00083A30" w:rsidRDefault="008132A4" w:rsidP="008132A4">
      <w:pPr>
        <w:spacing w:line="360" w:lineRule="auto"/>
        <w:jc w:val="both"/>
        <w:rPr>
          <w:rFonts w:ascii="Times New Roman" w:hAnsi="Times New Roman" w:cs="Times New Roman"/>
          <w:sz w:val="24"/>
          <w:szCs w:val="24"/>
        </w:rPr>
      </w:pPr>
      <w:r w:rsidRPr="00083A30">
        <w:rPr>
          <w:rFonts w:ascii="Times New Roman" w:hAnsi="Times New Roman" w:cs="Times New Roman"/>
          <w:sz w:val="24"/>
          <w:szCs w:val="24"/>
        </w:rPr>
        <w:t>2. David Hide Asthma and Allergy Research Centre, St. Mary’s Hospital, Isle of Wight, PO30 5TG. kate.maslin@port.ac.uk</w:t>
      </w:r>
    </w:p>
    <w:p w14:paraId="512D48D4" w14:textId="77777777" w:rsidR="008132A4" w:rsidRPr="00083A30" w:rsidRDefault="008132A4" w:rsidP="008132A4">
      <w:pPr>
        <w:spacing w:after="0" w:line="360" w:lineRule="auto"/>
        <w:jc w:val="both"/>
        <w:rPr>
          <w:rFonts w:ascii="Times New Roman" w:hAnsi="Times New Roman" w:cs="Times New Roman"/>
          <w:sz w:val="24"/>
          <w:szCs w:val="24"/>
        </w:rPr>
      </w:pPr>
      <w:r w:rsidRPr="00083A30">
        <w:rPr>
          <w:rFonts w:ascii="Times New Roman" w:hAnsi="Times New Roman" w:cs="Times New Roman"/>
          <w:b/>
          <w:sz w:val="24"/>
          <w:szCs w:val="24"/>
        </w:rPr>
        <w:t xml:space="preserve">Kate Grimshaw </w:t>
      </w:r>
      <w:r w:rsidRPr="00083A30">
        <w:rPr>
          <w:rFonts w:ascii="Times New Roman" w:hAnsi="Times New Roman" w:cs="Times New Roman"/>
          <w:sz w:val="24"/>
          <w:szCs w:val="24"/>
        </w:rPr>
        <w:t>1</w:t>
      </w:r>
      <w:r w:rsidRPr="00083A30">
        <w:rPr>
          <w:rFonts w:ascii="Times New Roman" w:hAnsi="Times New Roman" w:cs="Times New Roman"/>
          <w:b/>
          <w:sz w:val="24"/>
          <w:szCs w:val="24"/>
        </w:rPr>
        <w:t xml:space="preserve"> </w:t>
      </w:r>
      <w:r w:rsidRPr="00083A30">
        <w:rPr>
          <w:rFonts w:ascii="Times New Roman" w:hAnsi="Times New Roman" w:cs="Times New Roman"/>
          <w:sz w:val="24"/>
          <w:szCs w:val="24"/>
        </w:rPr>
        <w:t>Clinical and Experimental Sciences and Human Development in Health Academic Unit, University of Southampton, Faculty of Medicine, Southampton SO16 6YD.</w:t>
      </w:r>
    </w:p>
    <w:p w14:paraId="514FCCB3" w14:textId="77777777" w:rsidR="008132A4" w:rsidRDefault="008132A4" w:rsidP="008132A4">
      <w:pPr>
        <w:spacing w:after="0" w:line="360" w:lineRule="auto"/>
        <w:jc w:val="both"/>
        <w:rPr>
          <w:rFonts w:ascii="Times New Roman" w:hAnsi="Times New Roman" w:cs="Times New Roman"/>
          <w:sz w:val="24"/>
          <w:szCs w:val="24"/>
        </w:rPr>
      </w:pPr>
      <w:r w:rsidRPr="00083A30">
        <w:rPr>
          <w:rFonts w:ascii="Times New Roman" w:hAnsi="Times New Roman" w:cs="Times New Roman"/>
          <w:sz w:val="24"/>
          <w:szCs w:val="24"/>
        </w:rPr>
        <w:t>2. Department of Nutrition and Dietetics, Southampton Children’s Hospital, Southampton SO16 6YD.</w:t>
      </w:r>
      <w:r>
        <w:rPr>
          <w:rFonts w:ascii="Times New Roman" w:hAnsi="Times New Roman" w:cs="Times New Roman"/>
          <w:sz w:val="24"/>
          <w:szCs w:val="24"/>
        </w:rPr>
        <w:t xml:space="preserve"> kecg@soton.ac.uk</w:t>
      </w:r>
    </w:p>
    <w:p w14:paraId="7D6CC724" w14:textId="77777777" w:rsidR="008132A4" w:rsidRPr="00083A30" w:rsidRDefault="008132A4" w:rsidP="008132A4">
      <w:pPr>
        <w:spacing w:after="0" w:line="360" w:lineRule="auto"/>
        <w:jc w:val="both"/>
        <w:rPr>
          <w:rFonts w:ascii="Times New Roman" w:hAnsi="Times New Roman" w:cs="Times New Roman"/>
          <w:sz w:val="24"/>
          <w:szCs w:val="24"/>
        </w:rPr>
      </w:pPr>
    </w:p>
    <w:p w14:paraId="5120A14B" w14:textId="77777777" w:rsidR="008132A4" w:rsidRPr="00915322" w:rsidRDefault="008132A4" w:rsidP="008132A4">
      <w:pPr>
        <w:spacing w:line="360" w:lineRule="auto"/>
        <w:rPr>
          <w:rFonts w:ascii="Times New Roman" w:hAnsi="Times New Roman" w:cs="Times New Roman"/>
          <w:sz w:val="24"/>
          <w:szCs w:val="24"/>
        </w:rPr>
      </w:pPr>
      <w:r w:rsidRPr="00083A30">
        <w:rPr>
          <w:rFonts w:ascii="Times New Roman" w:hAnsi="Times New Roman" w:cs="Times New Roman"/>
          <w:b/>
          <w:sz w:val="24"/>
          <w:szCs w:val="24"/>
        </w:rPr>
        <w:t xml:space="preserve">Erin Oliver </w:t>
      </w:r>
      <w:r w:rsidRPr="00083A30">
        <w:rPr>
          <w:rFonts w:ascii="Times New Roman" w:hAnsi="Times New Roman" w:cs="Times New Roman"/>
          <w:sz w:val="24"/>
          <w:szCs w:val="24"/>
        </w:rPr>
        <w:t>Clinical and Experimental Sciences and Human Development in Health Academic Unit, University of Southampton, Faculty of Medicine, Southampton SO16 6YD.</w:t>
      </w:r>
      <w:r w:rsidRPr="00915322">
        <w:rPr>
          <w:b/>
          <w:bCs/>
          <w:color w:val="555555"/>
        </w:rPr>
        <w:t xml:space="preserve"> </w:t>
      </w:r>
      <w:r w:rsidRPr="00915322">
        <w:rPr>
          <w:rFonts w:ascii="Times New Roman" w:hAnsi="Times New Roman" w:cs="Times New Roman"/>
          <w:bCs/>
          <w:color w:val="000000" w:themeColor="text1"/>
          <w:sz w:val="24"/>
          <w:szCs w:val="24"/>
        </w:rPr>
        <w:t>erinoliver686@hotmail.com</w:t>
      </w:r>
    </w:p>
    <w:p w14:paraId="6BD8A5C4" w14:textId="77777777" w:rsidR="008132A4" w:rsidRPr="00083A30" w:rsidRDefault="008132A4" w:rsidP="008132A4">
      <w:pPr>
        <w:spacing w:line="360" w:lineRule="auto"/>
        <w:jc w:val="both"/>
        <w:rPr>
          <w:rFonts w:ascii="Times New Roman" w:hAnsi="Times New Roman" w:cs="Times New Roman"/>
          <w:sz w:val="24"/>
          <w:szCs w:val="24"/>
        </w:rPr>
      </w:pPr>
      <w:r w:rsidRPr="00083A30">
        <w:rPr>
          <w:rFonts w:ascii="Times New Roman" w:hAnsi="Times New Roman" w:cs="Times New Roman"/>
          <w:b/>
          <w:sz w:val="24"/>
          <w:szCs w:val="24"/>
        </w:rPr>
        <w:t>Jane Grundy</w:t>
      </w:r>
      <w:r w:rsidRPr="00083A30">
        <w:rPr>
          <w:rFonts w:ascii="Times New Roman" w:hAnsi="Times New Roman" w:cs="Times New Roman"/>
          <w:sz w:val="24"/>
          <w:szCs w:val="24"/>
        </w:rPr>
        <w:t>, David Hide Asthma and Allergy Research Centre, St. Mary’s Hospital, Isle of Wight, PO30 5TG. jane.grundy@iow.nhs.uk</w:t>
      </w:r>
    </w:p>
    <w:p w14:paraId="715C4324" w14:textId="77777777" w:rsidR="008132A4" w:rsidRPr="00083A30" w:rsidRDefault="008132A4" w:rsidP="008132A4">
      <w:pPr>
        <w:spacing w:line="360" w:lineRule="auto"/>
        <w:jc w:val="both"/>
        <w:rPr>
          <w:rFonts w:ascii="Times New Roman" w:hAnsi="Times New Roman" w:cs="Times New Roman"/>
          <w:sz w:val="24"/>
          <w:szCs w:val="24"/>
        </w:rPr>
      </w:pPr>
      <w:r w:rsidRPr="00083A30">
        <w:rPr>
          <w:rFonts w:ascii="Times New Roman" w:hAnsi="Times New Roman" w:cs="Times New Roman"/>
          <w:b/>
          <w:sz w:val="24"/>
          <w:szCs w:val="24"/>
        </w:rPr>
        <w:t>Gillian Glasbey</w:t>
      </w:r>
      <w:r w:rsidRPr="00083A30">
        <w:rPr>
          <w:rFonts w:ascii="Times New Roman" w:hAnsi="Times New Roman" w:cs="Times New Roman"/>
          <w:sz w:val="24"/>
          <w:szCs w:val="24"/>
        </w:rPr>
        <w:t>, David Hide Asthma and Allergy Research Centre, St. Mary’s Hospital, Isle of Wight, PO30 5TG. gill.glasbey@iow.nhs.uk</w:t>
      </w:r>
    </w:p>
    <w:p w14:paraId="7B88AE7E" w14:textId="77777777" w:rsidR="008132A4" w:rsidRPr="00083A30" w:rsidRDefault="008132A4" w:rsidP="008132A4">
      <w:pPr>
        <w:spacing w:line="360" w:lineRule="auto"/>
        <w:jc w:val="both"/>
        <w:rPr>
          <w:rFonts w:ascii="Times New Roman" w:hAnsi="Times New Roman" w:cs="Times New Roman"/>
          <w:sz w:val="24"/>
          <w:szCs w:val="24"/>
        </w:rPr>
      </w:pPr>
      <w:r w:rsidRPr="00083A30">
        <w:rPr>
          <w:rFonts w:ascii="Times New Roman" w:hAnsi="Times New Roman" w:cs="Times New Roman"/>
          <w:b/>
          <w:sz w:val="24"/>
          <w:szCs w:val="24"/>
        </w:rPr>
        <w:t>Taraneh Dean</w:t>
      </w:r>
      <w:r w:rsidRPr="00083A30">
        <w:rPr>
          <w:rFonts w:ascii="Times New Roman" w:hAnsi="Times New Roman" w:cs="Times New Roman"/>
          <w:sz w:val="24"/>
          <w:szCs w:val="24"/>
        </w:rPr>
        <w:t>, Faculty of Science, University of Portsmouth, James Watson West, 2 King Richard 1</w:t>
      </w:r>
      <w:r w:rsidRPr="00083A30">
        <w:rPr>
          <w:rFonts w:ascii="Times New Roman" w:hAnsi="Times New Roman" w:cs="Times New Roman"/>
          <w:sz w:val="24"/>
          <w:szCs w:val="24"/>
          <w:vertAlign w:val="superscript"/>
        </w:rPr>
        <w:t>st</w:t>
      </w:r>
      <w:r w:rsidRPr="00083A30">
        <w:rPr>
          <w:rFonts w:ascii="Times New Roman" w:hAnsi="Times New Roman" w:cs="Times New Roman"/>
          <w:sz w:val="24"/>
          <w:szCs w:val="24"/>
        </w:rPr>
        <w:t xml:space="preserve"> Road, Portsmouth, PO1 2FR. tara.dean@port.ac.uk</w:t>
      </w:r>
    </w:p>
    <w:p w14:paraId="459AFFB3" w14:textId="77777777" w:rsidR="008132A4" w:rsidRPr="00083A30" w:rsidRDefault="008132A4" w:rsidP="008132A4">
      <w:pPr>
        <w:spacing w:line="360" w:lineRule="auto"/>
        <w:jc w:val="both"/>
        <w:rPr>
          <w:rFonts w:ascii="Times New Roman" w:hAnsi="Times New Roman" w:cs="Times New Roman"/>
          <w:sz w:val="24"/>
          <w:szCs w:val="24"/>
        </w:rPr>
      </w:pPr>
      <w:r w:rsidRPr="00083A30">
        <w:rPr>
          <w:rFonts w:ascii="Times New Roman" w:hAnsi="Times New Roman" w:cs="Times New Roman"/>
          <w:b/>
          <w:sz w:val="24"/>
          <w:szCs w:val="24"/>
        </w:rPr>
        <w:t>Syed Hasan Arshad</w:t>
      </w:r>
      <w:r w:rsidRPr="00083A30">
        <w:rPr>
          <w:rFonts w:ascii="Times New Roman" w:hAnsi="Times New Roman" w:cs="Times New Roman"/>
          <w:sz w:val="24"/>
          <w:szCs w:val="24"/>
        </w:rPr>
        <w:t>: 1.Clinical and Experimental Sciences, University of Southampton, UK.</w:t>
      </w:r>
    </w:p>
    <w:p w14:paraId="66504D77" w14:textId="77777777" w:rsidR="008132A4" w:rsidRPr="00083A30" w:rsidRDefault="008132A4" w:rsidP="008132A4">
      <w:pPr>
        <w:spacing w:line="360" w:lineRule="auto"/>
        <w:jc w:val="both"/>
        <w:rPr>
          <w:rFonts w:ascii="Times New Roman" w:hAnsi="Times New Roman" w:cs="Times New Roman"/>
          <w:sz w:val="24"/>
          <w:szCs w:val="24"/>
        </w:rPr>
      </w:pPr>
      <w:r w:rsidRPr="00083A30">
        <w:rPr>
          <w:rFonts w:ascii="Times New Roman" w:hAnsi="Times New Roman" w:cs="Times New Roman"/>
          <w:sz w:val="24"/>
          <w:szCs w:val="24"/>
        </w:rPr>
        <w:t>2. David Hide Asthma and Allergy Research Centre, St. Mary’s Hospital, Isle of Wight, PO30 5TG. sha@soton.ac.uk</w:t>
      </w:r>
    </w:p>
    <w:p w14:paraId="31B8CD76" w14:textId="77777777" w:rsidR="008132A4" w:rsidRPr="00083A30" w:rsidRDefault="008132A4" w:rsidP="008132A4">
      <w:pPr>
        <w:spacing w:line="360" w:lineRule="auto"/>
        <w:rPr>
          <w:rFonts w:ascii="Times New Roman" w:hAnsi="Times New Roman" w:cs="Times New Roman"/>
          <w:b/>
          <w:sz w:val="24"/>
          <w:szCs w:val="24"/>
        </w:rPr>
      </w:pPr>
      <w:r w:rsidRPr="00083A30">
        <w:rPr>
          <w:rFonts w:ascii="Times New Roman" w:hAnsi="Times New Roman" w:cs="Times New Roman"/>
          <w:b/>
          <w:sz w:val="24"/>
          <w:szCs w:val="24"/>
        </w:rPr>
        <w:lastRenderedPageBreak/>
        <w:t>Graham Roberts:</w:t>
      </w:r>
      <w:r w:rsidRPr="00083A30">
        <w:rPr>
          <w:rFonts w:ascii="Times New Roman" w:hAnsi="Times New Roman" w:cs="Times New Roman"/>
          <w:sz w:val="24"/>
          <w:szCs w:val="24"/>
        </w:rPr>
        <w:t xml:space="preserve"> 1. David Hide Asthma and Allergy Research Centre, St. Mary’s Hospital, Isle of Wight, PO30 5TG. 2. Clinical and Experimental Sciences and Human Development in Health Academic Unit, University of Southampton, Faculty of Medicine, Southampton SO16 6YD. g.c.roberts@soton.ac.uk</w:t>
      </w:r>
    </w:p>
    <w:p w14:paraId="19AEEBAE" w14:textId="77777777" w:rsidR="008132A4" w:rsidRPr="00083A30" w:rsidRDefault="008132A4" w:rsidP="008132A4">
      <w:pPr>
        <w:spacing w:line="360" w:lineRule="auto"/>
        <w:jc w:val="both"/>
        <w:rPr>
          <w:rFonts w:ascii="Times New Roman" w:hAnsi="Times New Roman" w:cs="Times New Roman"/>
          <w:sz w:val="24"/>
          <w:szCs w:val="24"/>
        </w:rPr>
      </w:pPr>
      <w:r w:rsidRPr="00083A30">
        <w:rPr>
          <w:rFonts w:ascii="Times New Roman" w:hAnsi="Times New Roman" w:cs="Times New Roman"/>
          <w:b/>
          <w:sz w:val="24"/>
          <w:szCs w:val="24"/>
        </w:rPr>
        <w:t>Carina Venter</w:t>
      </w:r>
      <w:r w:rsidRPr="00083A30">
        <w:rPr>
          <w:rFonts w:ascii="Times New Roman" w:hAnsi="Times New Roman" w:cs="Times New Roman"/>
          <w:sz w:val="24"/>
          <w:szCs w:val="24"/>
        </w:rPr>
        <w:t>1. School of Health Sciences and Social Work, University of Portsmouth, James Watson West, 2 King Richard 1</w:t>
      </w:r>
      <w:r w:rsidRPr="00083A30">
        <w:rPr>
          <w:rFonts w:ascii="Times New Roman" w:hAnsi="Times New Roman" w:cs="Times New Roman"/>
          <w:sz w:val="24"/>
          <w:szCs w:val="24"/>
          <w:vertAlign w:val="superscript"/>
        </w:rPr>
        <w:t>st</w:t>
      </w:r>
      <w:r w:rsidRPr="00083A30">
        <w:rPr>
          <w:rFonts w:ascii="Times New Roman" w:hAnsi="Times New Roman" w:cs="Times New Roman"/>
          <w:sz w:val="24"/>
          <w:szCs w:val="24"/>
        </w:rPr>
        <w:t xml:space="preserve"> Road, Portsmouth, PO1 2FR. </w:t>
      </w:r>
    </w:p>
    <w:p w14:paraId="66943472" w14:textId="77777777" w:rsidR="008132A4" w:rsidRPr="00083A30" w:rsidRDefault="008132A4" w:rsidP="008132A4">
      <w:pPr>
        <w:spacing w:line="360" w:lineRule="auto"/>
        <w:jc w:val="both"/>
        <w:rPr>
          <w:rFonts w:ascii="Times New Roman" w:hAnsi="Times New Roman" w:cs="Times New Roman"/>
          <w:sz w:val="24"/>
          <w:szCs w:val="24"/>
        </w:rPr>
      </w:pPr>
      <w:r w:rsidRPr="00083A30">
        <w:rPr>
          <w:rFonts w:ascii="Times New Roman" w:hAnsi="Times New Roman" w:cs="Times New Roman"/>
          <w:sz w:val="24"/>
          <w:szCs w:val="24"/>
        </w:rPr>
        <w:t>2. David Hide Asthma and Allergy Research Centre, St. Mary’s Hospital, Isle of Wight, PO30 5TG. carina.venter@port.ac.uk</w:t>
      </w:r>
    </w:p>
    <w:p w14:paraId="5EACE921" w14:textId="77777777" w:rsidR="008132A4" w:rsidRPr="00083A30" w:rsidRDefault="008132A4" w:rsidP="008132A4">
      <w:pPr>
        <w:autoSpaceDE w:val="0"/>
        <w:autoSpaceDN w:val="0"/>
        <w:adjustRightInd w:val="0"/>
        <w:spacing w:after="0" w:line="360" w:lineRule="auto"/>
        <w:rPr>
          <w:rFonts w:ascii="Times New Roman" w:hAnsi="Times New Roman" w:cs="Times New Roman"/>
          <w:b/>
          <w:sz w:val="24"/>
          <w:szCs w:val="24"/>
        </w:rPr>
      </w:pPr>
    </w:p>
    <w:p w14:paraId="2A789086" w14:textId="77777777" w:rsidR="008132A4" w:rsidRDefault="008132A4" w:rsidP="008132A4">
      <w:pPr>
        <w:spacing w:line="360" w:lineRule="auto"/>
        <w:jc w:val="both"/>
        <w:rPr>
          <w:rFonts w:ascii="Times New Roman" w:hAnsi="Times New Roman" w:cs="Times New Roman"/>
          <w:sz w:val="24"/>
          <w:szCs w:val="24"/>
        </w:rPr>
      </w:pPr>
      <w:r w:rsidRPr="00083A30">
        <w:rPr>
          <w:rFonts w:ascii="Times New Roman" w:hAnsi="Times New Roman" w:cs="Times New Roman"/>
          <w:b/>
          <w:sz w:val="24"/>
          <w:szCs w:val="24"/>
        </w:rPr>
        <w:t xml:space="preserve">Author contributions: </w:t>
      </w:r>
      <w:r w:rsidRPr="00083A30">
        <w:rPr>
          <w:rFonts w:ascii="Times New Roman" w:hAnsi="Times New Roman" w:cs="Times New Roman"/>
          <w:sz w:val="24"/>
          <w:szCs w:val="24"/>
        </w:rPr>
        <w:t xml:space="preserve">KM designed the study, collected and analysed the data and drafted the manuscript. KG was study co-ordinator of the PIFA study, Co-PI of the PIFA birth study and iFAAM follow-up study and assisted with recruitment and design of the follow up study. EO was the study coordinator for the follow up study. GR was the PI for the PIFA study and lead PI of the follow up study. TD was the PI for the FAIR birth cohort study and contributed to study design of the follow up study. SHA was involved in the design of the FAIR birth cohort study and supervised the design of the follow up study. JG and GG were involved in recruitment of participants and organisation of data collection for the FAIR birth cohort and follow up study. CV co designed this study, supervised the operation of the study and contributed to manuscript writing. All authors critically reviewed and approved the final paper. </w:t>
      </w:r>
    </w:p>
    <w:p w14:paraId="6E4D2FFB" w14:textId="77777777" w:rsidR="008132A4" w:rsidRPr="00083A30" w:rsidRDefault="008132A4" w:rsidP="008132A4">
      <w:pPr>
        <w:spacing w:line="360" w:lineRule="auto"/>
        <w:jc w:val="both"/>
        <w:rPr>
          <w:rFonts w:ascii="Times New Roman" w:hAnsi="Times New Roman" w:cs="Times New Roman"/>
          <w:sz w:val="24"/>
          <w:szCs w:val="24"/>
        </w:rPr>
      </w:pPr>
    </w:p>
    <w:p w14:paraId="22369F14" w14:textId="77777777" w:rsidR="008132A4" w:rsidRPr="00083A30" w:rsidRDefault="008132A4" w:rsidP="008132A4">
      <w:pPr>
        <w:spacing w:line="360" w:lineRule="auto"/>
        <w:rPr>
          <w:rFonts w:ascii="Times New Roman" w:hAnsi="Times New Roman" w:cs="Times New Roman"/>
          <w:b/>
          <w:sz w:val="24"/>
          <w:szCs w:val="24"/>
        </w:rPr>
      </w:pPr>
      <w:r w:rsidRPr="00083A30">
        <w:rPr>
          <w:rFonts w:ascii="Times New Roman" w:hAnsi="Times New Roman" w:cs="Times New Roman"/>
          <w:b/>
          <w:sz w:val="24"/>
          <w:szCs w:val="24"/>
        </w:rPr>
        <w:t>Acknowledgements</w:t>
      </w:r>
    </w:p>
    <w:p w14:paraId="24819583" w14:textId="77777777" w:rsidR="008132A4" w:rsidRPr="00083A30" w:rsidRDefault="008132A4" w:rsidP="008132A4">
      <w:pPr>
        <w:spacing w:line="360" w:lineRule="auto"/>
        <w:rPr>
          <w:rFonts w:ascii="Times New Roman" w:hAnsi="Times New Roman" w:cs="Times New Roman"/>
          <w:sz w:val="24"/>
          <w:szCs w:val="24"/>
        </w:rPr>
      </w:pPr>
      <w:r w:rsidRPr="00083A30">
        <w:rPr>
          <w:rFonts w:ascii="Times New Roman" w:hAnsi="Times New Roman" w:cs="Times New Roman"/>
          <w:sz w:val="24"/>
          <w:szCs w:val="24"/>
        </w:rPr>
        <w:t>The authors would like to thank the families involved in the FAIR and PIFA studies.</w:t>
      </w:r>
    </w:p>
    <w:p w14:paraId="1A5194DD" w14:textId="77777777" w:rsidR="008132A4" w:rsidRPr="00083A30" w:rsidRDefault="008132A4" w:rsidP="008132A4">
      <w:pPr>
        <w:spacing w:line="360" w:lineRule="auto"/>
        <w:rPr>
          <w:rFonts w:ascii="Times New Roman" w:hAnsi="Times New Roman" w:cs="Times New Roman"/>
          <w:b/>
          <w:sz w:val="24"/>
          <w:szCs w:val="24"/>
        </w:rPr>
      </w:pPr>
      <w:r w:rsidRPr="00083A30">
        <w:rPr>
          <w:rFonts w:ascii="Times New Roman" w:hAnsi="Times New Roman" w:cs="Times New Roman"/>
          <w:b/>
          <w:sz w:val="24"/>
          <w:szCs w:val="24"/>
        </w:rPr>
        <w:t>Funding</w:t>
      </w:r>
    </w:p>
    <w:p w14:paraId="46C8A6B2" w14:textId="77777777" w:rsidR="008132A4" w:rsidRDefault="008132A4" w:rsidP="008132A4">
      <w:pPr>
        <w:spacing w:line="360" w:lineRule="auto"/>
        <w:rPr>
          <w:rFonts w:ascii="Times New Roman" w:hAnsi="Times New Roman" w:cs="Times New Roman"/>
          <w:sz w:val="24"/>
          <w:szCs w:val="24"/>
        </w:rPr>
      </w:pPr>
      <w:r w:rsidRPr="00083A30">
        <w:rPr>
          <w:rFonts w:ascii="Times New Roman" w:hAnsi="Times New Roman" w:cs="Times New Roman"/>
          <w:sz w:val="24"/>
          <w:szCs w:val="24"/>
        </w:rPr>
        <w:t>Supported by the UK Food Standards Agency (Project TO7046) as part of the EU EuroPrevall Project (contract no. FOOD-CT-2005-514000).</w:t>
      </w:r>
    </w:p>
    <w:p w14:paraId="1AAFCE49" w14:textId="77777777" w:rsidR="008132A4" w:rsidRPr="00083A30" w:rsidRDefault="008132A4" w:rsidP="008132A4">
      <w:pPr>
        <w:spacing w:line="360" w:lineRule="auto"/>
        <w:rPr>
          <w:rFonts w:ascii="Times New Roman" w:hAnsi="Times New Roman" w:cs="Times New Roman"/>
          <w:sz w:val="24"/>
          <w:szCs w:val="24"/>
        </w:rPr>
      </w:pPr>
      <w:r>
        <w:rPr>
          <w:rFonts w:ascii="Times New Roman" w:hAnsi="Times New Roman" w:cs="Times New Roman"/>
          <w:sz w:val="24"/>
          <w:szCs w:val="24"/>
        </w:rPr>
        <w:t>The authors declare there are no conflicts of interest.</w:t>
      </w:r>
    </w:p>
    <w:p w14:paraId="65899544" w14:textId="77777777" w:rsidR="008132A4" w:rsidRDefault="008132A4" w:rsidP="008132A4"/>
    <w:p w14:paraId="33A1E5BD" w14:textId="77777777" w:rsidR="008132A4" w:rsidRDefault="008132A4" w:rsidP="00083A30">
      <w:pPr>
        <w:spacing w:line="360" w:lineRule="auto"/>
        <w:rPr>
          <w:rFonts w:ascii="Times New Roman" w:hAnsi="Times New Roman" w:cs="Times New Roman"/>
          <w:b/>
          <w:sz w:val="24"/>
          <w:szCs w:val="24"/>
        </w:rPr>
      </w:pPr>
    </w:p>
    <w:p w14:paraId="3E770952" w14:textId="77777777" w:rsidR="008132A4" w:rsidRDefault="008132A4" w:rsidP="00083A30">
      <w:pPr>
        <w:spacing w:line="360" w:lineRule="auto"/>
        <w:rPr>
          <w:rFonts w:ascii="Times New Roman" w:hAnsi="Times New Roman" w:cs="Times New Roman"/>
          <w:b/>
          <w:sz w:val="24"/>
          <w:szCs w:val="24"/>
        </w:rPr>
      </w:pPr>
    </w:p>
    <w:p w14:paraId="684AB5FA" w14:textId="044D2BC0" w:rsidR="00582C2E" w:rsidRPr="00083A30" w:rsidRDefault="00582C2E" w:rsidP="00083A30">
      <w:pPr>
        <w:spacing w:line="360" w:lineRule="auto"/>
        <w:rPr>
          <w:rFonts w:ascii="Times New Roman" w:hAnsi="Times New Roman" w:cs="Times New Roman"/>
          <w:sz w:val="24"/>
          <w:szCs w:val="24"/>
        </w:rPr>
      </w:pPr>
      <w:r w:rsidRPr="00083A30">
        <w:rPr>
          <w:rFonts w:ascii="Times New Roman" w:hAnsi="Times New Roman" w:cs="Times New Roman"/>
          <w:b/>
          <w:sz w:val="24"/>
          <w:szCs w:val="24"/>
        </w:rPr>
        <w:t>Abstract</w:t>
      </w:r>
    </w:p>
    <w:p w14:paraId="1534158F" w14:textId="7788916E" w:rsidR="00582C2E" w:rsidRPr="00A43421" w:rsidRDefault="00582C2E" w:rsidP="00083A30">
      <w:pPr>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b/>
          <w:color w:val="000000" w:themeColor="text1"/>
          <w:sz w:val="24"/>
          <w:szCs w:val="24"/>
        </w:rPr>
        <w:t>Background:</w:t>
      </w:r>
      <w:r w:rsidR="00DD04EC" w:rsidRPr="00A43421">
        <w:rPr>
          <w:rFonts w:ascii="Times New Roman" w:hAnsi="Times New Roman" w:cs="Times New Roman"/>
          <w:b/>
          <w:color w:val="000000" w:themeColor="text1"/>
          <w:sz w:val="24"/>
          <w:szCs w:val="24"/>
        </w:rPr>
        <w:t xml:space="preserve"> </w:t>
      </w:r>
      <w:r w:rsidR="00195E60" w:rsidRPr="00A43421">
        <w:rPr>
          <w:rFonts w:ascii="Times New Roman" w:hAnsi="Times New Roman" w:cs="Times New Roman"/>
          <w:color w:val="000000" w:themeColor="text1"/>
          <w:sz w:val="24"/>
          <w:szCs w:val="24"/>
        </w:rPr>
        <w:t>Taste exposure</w:t>
      </w:r>
      <w:r w:rsidR="0000381B" w:rsidRPr="00A43421">
        <w:rPr>
          <w:rFonts w:ascii="Times New Roman" w:hAnsi="Times New Roman" w:cs="Times New Roman"/>
          <w:color w:val="000000" w:themeColor="text1"/>
          <w:sz w:val="24"/>
          <w:szCs w:val="24"/>
        </w:rPr>
        <w:t xml:space="preserve"> in infancy is known to predict food preferences </w:t>
      </w:r>
      <w:r w:rsidR="00C67574" w:rsidRPr="00A43421">
        <w:rPr>
          <w:rFonts w:ascii="Times New Roman" w:hAnsi="Times New Roman" w:cs="Times New Roman"/>
          <w:color w:val="000000" w:themeColor="text1"/>
          <w:sz w:val="24"/>
          <w:szCs w:val="24"/>
        </w:rPr>
        <w:t xml:space="preserve">later </w:t>
      </w:r>
      <w:r w:rsidR="0000381B" w:rsidRPr="00A43421">
        <w:rPr>
          <w:rFonts w:ascii="Times New Roman" w:hAnsi="Times New Roman" w:cs="Times New Roman"/>
          <w:color w:val="000000" w:themeColor="text1"/>
          <w:sz w:val="24"/>
          <w:szCs w:val="24"/>
        </w:rPr>
        <w:t xml:space="preserve">in </w:t>
      </w:r>
      <w:r w:rsidR="00195E60" w:rsidRPr="00A43421">
        <w:rPr>
          <w:rFonts w:ascii="Times New Roman" w:hAnsi="Times New Roman" w:cs="Times New Roman"/>
          <w:color w:val="000000" w:themeColor="text1"/>
          <w:sz w:val="24"/>
          <w:szCs w:val="24"/>
        </w:rPr>
        <w:t>childhood</w:t>
      </w:r>
      <w:r w:rsidR="0000381B" w:rsidRPr="00A43421">
        <w:rPr>
          <w:rFonts w:ascii="Times New Roman" w:hAnsi="Times New Roman" w:cs="Times New Roman"/>
          <w:color w:val="000000" w:themeColor="text1"/>
          <w:sz w:val="24"/>
          <w:szCs w:val="24"/>
        </w:rPr>
        <w:t xml:space="preserve">. </w:t>
      </w:r>
      <w:r w:rsidR="00DD04EC" w:rsidRPr="00A43421">
        <w:rPr>
          <w:rFonts w:ascii="Times New Roman" w:hAnsi="Times New Roman" w:cs="Times New Roman"/>
          <w:color w:val="000000" w:themeColor="text1"/>
          <w:sz w:val="24"/>
          <w:szCs w:val="24"/>
        </w:rPr>
        <w:t>This is particularly relevant in children</w:t>
      </w:r>
      <w:r w:rsidR="00195E60" w:rsidRPr="00A43421">
        <w:rPr>
          <w:rFonts w:ascii="Times New Roman" w:hAnsi="Times New Roman" w:cs="Times New Roman"/>
          <w:color w:val="000000" w:themeColor="text1"/>
          <w:sz w:val="24"/>
          <w:szCs w:val="24"/>
        </w:rPr>
        <w:t xml:space="preserve"> with cows’ milk allergy</w:t>
      </w:r>
      <w:r w:rsidR="0000381B" w:rsidRPr="00A43421">
        <w:rPr>
          <w:rFonts w:ascii="Times New Roman" w:hAnsi="Times New Roman" w:cs="Times New Roman"/>
          <w:color w:val="000000" w:themeColor="text1"/>
          <w:sz w:val="24"/>
          <w:szCs w:val="24"/>
        </w:rPr>
        <w:t>,</w:t>
      </w:r>
      <w:r w:rsidR="00DD04EC" w:rsidRPr="00A43421">
        <w:rPr>
          <w:rFonts w:ascii="Times New Roman" w:hAnsi="Times New Roman" w:cs="Times New Roman"/>
          <w:color w:val="000000" w:themeColor="text1"/>
          <w:sz w:val="24"/>
          <w:szCs w:val="24"/>
        </w:rPr>
        <w:t xml:space="preserve"> who consume a substitute formula and/or </w:t>
      </w:r>
      <w:r w:rsidR="00195E60" w:rsidRPr="00A43421">
        <w:rPr>
          <w:rFonts w:ascii="Times New Roman" w:hAnsi="Times New Roman" w:cs="Times New Roman"/>
          <w:color w:val="000000" w:themeColor="text1"/>
          <w:sz w:val="24"/>
          <w:szCs w:val="24"/>
        </w:rPr>
        <w:t xml:space="preserve">cows’ milk </w:t>
      </w:r>
      <w:r w:rsidR="00DD04EC" w:rsidRPr="00A43421">
        <w:rPr>
          <w:rFonts w:ascii="Times New Roman" w:hAnsi="Times New Roman" w:cs="Times New Roman"/>
          <w:color w:val="000000" w:themeColor="text1"/>
          <w:sz w:val="24"/>
          <w:szCs w:val="24"/>
        </w:rPr>
        <w:t xml:space="preserve">exclusion </w:t>
      </w:r>
      <w:r w:rsidR="00195E60" w:rsidRPr="00A43421">
        <w:rPr>
          <w:rFonts w:ascii="Times New Roman" w:hAnsi="Times New Roman" w:cs="Times New Roman"/>
          <w:color w:val="000000" w:themeColor="text1"/>
          <w:sz w:val="24"/>
          <w:szCs w:val="24"/>
        </w:rPr>
        <w:t xml:space="preserve">(CME) </w:t>
      </w:r>
      <w:r w:rsidR="00DD04EC" w:rsidRPr="00A43421">
        <w:rPr>
          <w:rFonts w:ascii="Times New Roman" w:hAnsi="Times New Roman" w:cs="Times New Roman"/>
          <w:color w:val="000000" w:themeColor="text1"/>
          <w:sz w:val="24"/>
          <w:szCs w:val="24"/>
        </w:rPr>
        <w:t>diet early in life. This prospective study aimed to show whether there is a long term effect of consuming a substitute formula and</w:t>
      </w:r>
      <w:r w:rsidR="00195E60" w:rsidRPr="00A43421">
        <w:rPr>
          <w:rFonts w:ascii="Times New Roman" w:hAnsi="Times New Roman" w:cs="Times New Roman"/>
          <w:color w:val="000000" w:themeColor="text1"/>
          <w:sz w:val="24"/>
          <w:szCs w:val="24"/>
        </w:rPr>
        <w:t xml:space="preserve"> CME </w:t>
      </w:r>
      <w:r w:rsidR="00DD04EC" w:rsidRPr="00A43421">
        <w:rPr>
          <w:rFonts w:ascii="Times New Roman" w:hAnsi="Times New Roman" w:cs="Times New Roman"/>
          <w:color w:val="000000" w:themeColor="text1"/>
          <w:sz w:val="24"/>
          <w:szCs w:val="24"/>
        </w:rPr>
        <w:t>diet</w:t>
      </w:r>
      <w:r w:rsidR="00713186" w:rsidRPr="00A43421">
        <w:rPr>
          <w:rFonts w:ascii="Times New Roman" w:hAnsi="Times New Roman" w:cs="Times New Roman"/>
          <w:color w:val="000000" w:themeColor="text1"/>
          <w:sz w:val="24"/>
          <w:szCs w:val="24"/>
        </w:rPr>
        <w:t xml:space="preserve"> </w:t>
      </w:r>
      <w:r w:rsidR="00DD04EC" w:rsidRPr="00A43421">
        <w:rPr>
          <w:rFonts w:ascii="Times New Roman" w:hAnsi="Times New Roman" w:cs="Times New Roman"/>
          <w:color w:val="000000" w:themeColor="text1"/>
          <w:sz w:val="24"/>
          <w:szCs w:val="24"/>
        </w:rPr>
        <w:t>on taste preference</w:t>
      </w:r>
      <w:r w:rsidR="00195E60" w:rsidRPr="00A43421">
        <w:rPr>
          <w:rFonts w:ascii="Times New Roman" w:hAnsi="Times New Roman" w:cs="Times New Roman"/>
          <w:color w:val="000000" w:themeColor="text1"/>
          <w:sz w:val="24"/>
          <w:szCs w:val="24"/>
        </w:rPr>
        <w:t>s</w:t>
      </w:r>
      <w:r w:rsidR="00DD04EC" w:rsidRPr="00A43421">
        <w:rPr>
          <w:rFonts w:ascii="Times New Roman" w:hAnsi="Times New Roman" w:cs="Times New Roman"/>
          <w:color w:val="000000" w:themeColor="text1"/>
          <w:sz w:val="24"/>
          <w:szCs w:val="24"/>
        </w:rPr>
        <w:t xml:space="preserve"> and dietary intake.</w:t>
      </w:r>
    </w:p>
    <w:p w14:paraId="0A2BCB58" w14:textId="391AEC60" w:rsidR="00195E60" w:rsidRPr="00A43421" w:rsidRDefault="00582C2E" w:rsidP="00083A30">
      <w:pPr>
        <w:autoSpaceDE w:val="0"/>
        <w:autoSpaceDN w:val="0"/>
        <w:adjustRightInd w:val="0"/>
        <w:spacing w:after="0" w:line="360" w:lineRule="auto"/>
        <w:jc w:val="both"/>
        <w:rPr>
          <w:rFonts w:ascii="Times New Roman" w:hAnsi="Times New Roman" w:cs="Times New Roman"/>
          <w:color w:val="000000" w:themeColor="text1"/>
          <w:sz w:val="24"/>
          <w:szCs w:val="24"/>
        </w:rPr>
      </w:pPr>
      <w:r w:rsidRPr="00A43421">
        <w:rPr>
          <w:rFonts w:ascii="Times New Roman" w:hAnsi="Times New Roman" w:cs="Times New Roman"/>
          <w:b/>
          <w:color w:val="000000" w:themeColor="text1"/>
          <w:sz w:val="24"/>
          <w:szCs w:val="24"/>
        </w:rPr>
        <w:t>Methodology</w:t>
      </w:r>
      <w:r w:rsidR="00E92670" w:rsidRPr="00A43421">
        <w:rPr>
          <w:rFonts w:ascii="Times New Roman" w:hAnsi="Times New Roman" w:cs="Times New Roman"/>
          <w:b/>
          <w:color w:val="000000" w:themeColor="text1"/>
          <w:sz w:val="24"/>
          <w:szCs w:val="24"/>
        </w:rPr>
        <w:t>:</w:t>
      </w:r>
      <w:r w:rsidR="00E92670" w:rsidRPr="00A43421">
        <w:rPr>
          <w:rFonts w:ascii="Times New Roman" w:hAnsi="Times New Roman" w:cs="Times New Roman"/>
          <w:color w:val="000000" w:themeColor="text1"/>
          <w:sz w:val="24"/>
          <w:szCs w:val="24"/>
        </w:rPr>
        <w:t xml:space="preserve"> Children were </w:t>
      </w:r>
      <w:r w:rsidR="0000381B" w:rsidRPr="00A43421">
        <w:rPr>
          <w:rFonts w:ascii="Times New Roman" w:hAnsi="Times New Roman" w:cs="Times New Roman"/>
          <w:color w:val="000000" w:themeColor="text1"/>
          <w:sz w:val="24"/>
          <w:szCs w:val="24"/>
        </w:rPr>
        <w:t xml:space="preserve">predominantly </w:t>
      </w:r>
      <w:r w:rsidR="00E92670" w:rsidRPr="00A43421">
        <w:rPr>
          <w:rFonts w:ascii="Times New Roman" w:hAnsi="Times New Roman" w:cs="Times New Roman"/>
          <w:color w:val="000000" w:themeColor="text1"/>
          <w:sz w:val="24"/>
          <w:szCs w:val="24"/>
        </w:rPr>
        <w:t>recruited from two large birth cohort studies in the UK. Two groups were recruited: an experimental group of children who had consumed a CME diet during infancy and a control group, who had consumed an unrestricted diet during infancy. Parents completed a food neoph</w:t>
      </w:r>
      <w:r w:rsidR="0000381B" w:rsidRPr="00A43421">
        <w:rPr>
          <w:rFonts w:ascii="Times New Roman" w:hAnsi="Times New Roman" w:cs="Times New Roman"/>
          <w:color w:val="000000" w:themeColor="text1"/>
          <w:sz w:val="24"/>
          <w:szCs w:val="24"/>
        </w:rPr>
        <w:t>obia questionnaire and an estimated</w:t>
      </w:r>
      <w:r w:rsidR="00B612D0" w:rsidRPr="00A43421">
        <w:rPr>
          <w:rFonts w:ascii="Times New Roman" w:hAnsi="Times New Roman" w:cs="Times New Roman"/>
          <w:color w:val="000000" w:themeColor="text1"/>
          <w:sz w:val="24"/>
          <w:szCs w:val="24"/>
        </w:rPr>
        <w:t xml:space="preserve"> prospective</w:t>
      </w:r>
      <w:r w:rsidR="0000381B" w:rsidRPr="00A43421">
        <w:rPr>
          <w:rFonts w:ascii="Times New Roman" w:hAnsi="Times New Roman" w:cs="Times New Roman"/>
          <w:color w:val="000000" w:themeColor="text1"/>
          <w:sz w:val="24"/>
          <w:szCs w:val="24"/>
        </w:rPr>
        <w:t xml:space="preserve"> </w:t>
      </w:r>
      <w:r w:rsidR="00E92670" w:rsidRPr="00A43421">
        <w:rPr>
          <w:rFonts w:ascii="Times New Roman" w:hAnsi="Times New Roman" w:cs="Times New Roman"/>
          <w:color w:val="000000" w:themeColor="text1"/>
          <w:sz w:val="24"/>
          <w:szCs w:val="24"/>
        </w:rPr>
        <w:t xml:space="preserve">food diary. Children </w:t>
      </w:r>
      <w:r w:rsidR="00DD04EC" w:rsidRPr="00A43421">
        <w:rPr>
          <w:rFonts w:ascii="Times New Roman" w:hAnsi="Times New Roman" w:cs="Times New Roman"/>
          <w:color w:val="000000" w:themeColor="text1"/>
          <w:sz w:val="24"/>
          <w:szCs w:val="24"/>
        </w:rPr>
        <w:t>completed a taste preference test</w:t>
      </w:r>
      <w:r w:rsidR="00B612D0" w:rsidRPr="00A43421">
        <w:rPr>
          <w:rFonts w:ascii="Times New Roman" w:hAnsi="Times New Roman" w:cs="Times New Roman"/>
          <w:color w:val="000000" w:themeColor="text1"/>
          <w:sz w:val="24"/>
          <w:szCs w:val="24"/>
        </w:rPr>
        <w:t xml:space="preserve"> and their g</w:t>
      </w:r>
      <w:r w:rsidR="00195E60" w:rsidRPr="00A43421">
        <w:rPr>
          <w:rFonts w:ascii="Times New Roman" w:hAnsi="Times New Roman" w:cs="Times New Roman"/>
          <w:color w:val="000000" w:themeColor="text1"/>
          <w:sz w:val="24"/>
          <w:szCs w:val="24"/>
        </w:rPr>
        <w:t>rowth wa</w:t>
      </w:r>
      <w:r w:rsidR="00B612D0" w:rsidRPr="00A43421">
        <w:rPr>
          <w:rFonts w:ascii="Times New Roman" w:hAnsi="Times New Roman" w:cs="Times New Roman"/>
          <w:color w:val="000000" w:themeColor="text1"/>
          <w:sz w:val="24"/>
          <w:szCs w:val="24"/>
        </w:rPr>
        <w:t>s assessed</w:t>
      </w:r>
      <w:r w:rsidR="00E92670" w:rsidRPr="00A43421">
        <w:rPr>
          <w:rFonts w:ascii="Times New Roman" w:hAnsi="Times New Roman" w:cs="Times New Roman"/>
          <w:color w:val="000000" w:themeColor="text1"/>
          <w:sz w:val="24"/>
          <w:szCs w:val="24"/>
        </w:rPr>
        <w:t>.</w:t>
      </w:r>
    </w:p>
    <w:p w14:paraId="4D24B1E1" w14:textId="77777777" w:rsidR="00195E60" w:rsidRPr="00A43421" w:rsidRDefault="00195E60" w:rsidP="00083A30">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3C8E673" w14:textId="3A432FEE" w:rsidR="00582C2E" w:rsidRPr="00A43421" w:rsidRDefault="00E92670" w:rsidP="00083A30">
      <w:pPr>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b/>
          <w:bCs/>
          <w:color w:val="000000" w:themeColor="text1"/>
          <w:sz w:val="24"/>
          <w:szCs w:val="24"/>
        </w:rPr>
        <w:t xml:space="preserve">Results: </w:t>
      </w:r>
      <w:r w:rsidR="0000381B" w:rsidRPr="00A43421">
        <w:rPr>
          <w:rFonts w:ascii="Times New Roman" w:hAnsi="Times New Roman" w:cs="Times New Roman"/>
          <w:color w:val="000000" w:themeColor="text1"/>
          <w:sz w:val="24"/>
          <w:szCs w:val="24"/>
        </w:rPr>
        <w:t xml:space="preserve">101 children of </w:t>
      </w:r>
      <w:r w:rsidRPr="00A43421">
        <w:rPr>
          <w:rFonts w:ascii="Times New Roman" w:hAnsi="Times New Roman" w:cs="Times New Roman"/>
          <w:color w:val="000000" w:themeColor="text1"/>
          <w:sz w:val="24"/>
          <w:szCs w:val="24"/>
        </w:rPr>
        <w:t>mean age 11.5 years were recruited (28 CME and 73 control</w:t>
      </w:r>
      <w:r w:rsidR="00B612D0" w:rsidRPr="00A43421">
        <w:rPr>
          <w:rFonts w:ascii="Times New Roman" w:hAnsi="Times New Roman" w:cs="Times New Roman"/>
          <w:color w:val="000000" w:themeColor="text1"/>
          <w:sz w:val="24"/>
          <w:szCs w:val="24"/>
        </w:rPr>
        <w:t>s</w:t>
      </w:r>
      <w:r w:rsidRPr="00A43421">
        <w:rPr>
          <w:rFonts w:ascii="Times New Roman" w:hAnsi="Times New Roman" w:cs="Times New Roman"/>
          <w:color w:val="000000" w:themeColor="text1"/>
          <w:sz w:val="24"/>
          <w:szCs w:val="24"/>
        </w:rPr>
        <w:t xml:space="preserve">). </w:t>
      </w:r>
      <w:r w:rsidR="00DD04EC" w:rsidRPr="00A43421">
        <w:rPr>
          <w:rFonts w:ascii="Times New Roman" w:hAnsi="Times New Roman" w:cs="Times New Roman"/>
          <w:color w:val="000000" w:themeColor="text1"/>
          <w:sz w:val="24"/>
          <w:szCs w:val="24"/>
        </w:rPr>
        <w:t xml:space="preserve">Children in the CME group had a significantly higher preference for bitter taste than those in the control group (p &lt; 0.05). </w:t>
      </w:r>
      <w:r w:rsidRPr="00A43421">
        <w:rPr>
          <w:rFonts w:ascii="Times New Roman" w:hAnsi="Times New Roman" w:cs="Times New Roman"/>
          <w:color w:val="000000" w:themeColor="text1"/>
          <w:sz w:val="24"/>
          <w:szCs w:val="24"/>
        </w:rPr>
        <w:t xml:space="preserve">There were significant differences between groups for </w:t>
      </w:r>
      <w:r w:rsidR="00195E60" w:rsidRPr="00A43421">
        <w:rPr>
          <w:rFonts w:ascii="Times New Roman" w:hAnsi="Times New Roman" w:cs="Times New Roman"/>
          <w:color w:val="000000" w:themeColor="text1"/>
          <w:sz w:val="24"/>
          <w:szCs w:val="24"/>
        </w:rPr>
        <w:t xml:space="preserve">intake of </w:t>
      </w:r>
      <w:r w:rsidRPr="00A43421">
        <w:rPr>
          <w:rFonts w:ascii="Times New Roman" w:hAnsi="Times New Roman" w:cs="Times New Roman"/>
          <w:color w:val="000000" w:themeColor="text1"/>
          <w:sz w:val="24"/>
          <w:szCs w:val="24"/>
        </w:rPr>
        <w:t>some micronutrients</w:t>
      </w:r>
      <w:r w:rsidR="00713186" w:rsidRPr="00A43421">
        <w:rPr>
          <w:rFonts w:ascii="Times New Roman" w:hAnsi="Times New Roman" w:cs="Times New Roman"/>
          <w:color w:val="000000" w:themeColor="text1"/>
          <w:sz w:val="24"/>
          <w:szCs w:val="24"/>
        </w:rPr>
        <w:t xml:space="preserve"> </w:t>
      </w:r>
      <w:r w:rsidR="00AD0ED9" w:rsidRPr="00A43421">
        <w:rPr>
          <w:rFonts w:ascii="Times New Roman" w:hAnsi="Times New Roman" w:cs="Times New Roman"/>
          <w:color w:val="000000" w:themeColor="text1"/>
          <w:sz w:val="24"/>
          <w:szCs w:val="24"/>
        </w:rPr>
        <w:t>including riboflavin, iodine, sodium and selenium</w:t>
      </w:r>
      <w:r w:rsidRPr="00A43421">
        <w:rPr>
          <w:rFonts w:ascii="Times New Roman" w:hAnsi="Times New Roman" w:cs="Times New Roman"/>
          <w:color w:val="000000" w:themeColor="text1"/>
          <w:sz w:val="24"/>
          <w:szCs w:val="24"/>
        </w:rPr>
        <w:t xml:space="preserve">. </w:t>
      </w:r>
      <w:r w:rsidR="00195E60" w:rsidRPr="00A43421">
        <w:rPr>
          <w:rFonts w:ascii="Times New Roman" w:hAnsi="Times New Roman" w:cs="Times New Roman"/>
          <w:color w:val="000000" w:themeColor="text1"/>
          <w:sz w:val="24"/>
          <w:szCs w:val="24"/>
        </w:rPr>
        <w:t>Food neophobia did not differ between groups</w:t>
      </w:r>
      <w:r w:rsidR="00DD04EC" w:rsidRPr="00A43421">
        <w:rPr>
          <w:rFonts w:ascii="Times New Roman" w:hAnsi="Times New Roman" w:cs="Times New Roman"/>
          <w:color w:val="000000" w:themeColor="text1"/>
          <w:sz w:val="24"/>
          <w:szCs w:val="24"/>
        </w:rPr>
        <w:t xml:space="preserve">. </w:t>
      </w:r>
      <w:r w:rsidR="0000381B" w:rsidRPr="00A43421">
        <w:rPr>
          <w:rFonts w:ascii="Times New Roman" w:hAnsi="Times New Roman" w:cs="Times New Roman"/>
          <w:color w:val="000000" w:themeColor="text1"/>
          <w:sz w:val="24"/>
          <w:szCs w:val="24"/>
        </w:rPr>
        <w:t xml:space="preserve">28% of </w:t>
      </w:r>
      <w:r w:rsidR="00DD04EC" w:rsidRPr="00A43421">
        <w:rPr>
          <w:rFonts w:ascii="Times New Roman" w:hAnsi="Times New Roman" w:cs="Times New Roman"/>
          <w:color w:val="000000" w:themeColor="text1"/>
          <w:sz w:val="24"/>
          <w:szCs w:val="24"/>
        </w:rPr>
        <w:t>the CME group</w:t>
      </w:r>
      <w:r w:rsidR="0000381B" w:rsidRPr="00A43421">
        <w:rPr>
          <w:rFonts w:ascii="Times New Roman" w:hAnsi="Times New Roman" w:cs="Times New Roman"/>
          <w:color w:val="000000" w:themeColor="text1"/>
          <w:sz w:val="24"/>
          <w:szCs w:val="24"/>
        </w:rPr>
        <w:t xml:space="preserve"> </w:t>
      </w:r>
      <w:r w:rsidR="00DD04EC" w:rsidRPr="00A43421">
        <w:rPr>
          <w:rFonts w:ascii="Times New Roman" w:hAnsi="Times New Roman" w:cs="Times New Roman"/>
          <w:color w:val="000000" w:themeColor="text1"/>
          <w:sz w:val="24"/>
          <w:szCs w:val="24"/>
        </w:rPr>
        <w:t xml:space="preserve">were </w:t>
      </w:r>
      <w:r w:rsidR="0000381B" w:rsidRPr="00A43421">
        <w:rPr>
          <w:rFonts w:ascii="Times New Roman" w:hAnsi="Times New Roman" w:cs="Times New Roman"/>
          <w:color w:val="000000" w:themeColor="text1"/>
          <w:sz w:val="24"/>
          <w:szCs w:val="24"/>
        </w:rPr>
        <w:t>overweight/obese compared to 15% of the</w:t>
      </w:r>
      <w:r w:rsidR="00DD04EC" w:rsidRPr="00A43421">
        <w:rPr>
          <w:rFonts w:ascii="Times New Roman" w:hAnsi="Times New Roman" w:cs="Times New Roman"/>
          <w:color w:val="000000" w:themeColor="text1"/>
          <w:sz w:val="24"/>
          <w:szCs w:val="24"/>
        </w:rPr>
        <w:t xml:space="preserve"> control group</w:t>
      </w:r>
      <w:r w:rsidR="00ED12AB" w:rsidRPr="00A43421">
        <w:rPr>
          <w:rFonts w:ascii="Times New Roman" w:hAnsi="Times New Roman" w:cs="Times New Roman"/>
          <w:color w:val="000000" w:themeColor="text1"/>
          <w:sz w:val="24"/>
          <w:szCs w:val="24"/>
        </w:rPr>
        <w:t>, however this difference was not statistically different.</w:t>
      </w:r>
    </w:p>
    <w:p w14:paraId="1D3D77DC" w14:textId="5CE29D17" w:rsidR="00582C2E" w:rsidRPr="00A43421" w:rsidRDefault="00582C2E" w:rsidP="00083A30">
      <w:pPr>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b/>
          <w:color w:val="000000" w:themeColor="text1"/>
          <w:sz w:val="24"/>
          <w:szCs w:val="24"/>
        </w:rPr>
        <w:t>Conclusion</w:t>
      </w:r>
      <w:r w:rsidR="00872639" w:rsidRPr="00A43421">
        <w:rPr>
          <w:rFonts w:ascii="Times New Roman" w:hAnsi="Times New Roman" w:cs="Times New Roman"/>
          <w:b/>
          <w:color w:val="000000" w:themeColor="text1"/>
          <w:sz w:val="24"/>
          <w:szCs w:val="24"/>
        </w:rPr>
        <w:t>:</w:t>
      </w:r>
      <w:r w:rsidR="00DD04EC" w:rsidRPr="00A43421">
        <w:rPr>
          <w:rFonts w:ascii="Times New Roman" w:hAnsi="Times New Roman" w:cs="Times New Roman"/>
          <w:b/>
          <w:color w:val="000000" w:themeColor="text1"/>
          <w:sz w:val="24"/>
          <w:szCs w:val="24"/>
        </w:rPr>
        <w:t xml:space="preserve"> </w:t>
      </w:r>
      <w:r w:rsidR="00DD04EC" w:rsidRPr="00A43421">
        <w:rPr>
          <w:rFonts w:ascii="Times New Roman" w:hAnsi="Times New Roman" w:cs="Times New Roman"/>
          <w:color w:val="000000" w:themeColor="text1"/>
          <w:sz w:val="24"/>
          <w:szCs w:val="24"/>
        </w:rPr>
        <w:t xml:space="preserve">Consuming a substitute formula and/or </w:t>
      </w:r>
      <w:r w:rsidR="00195E60" w:rsidRPr="00A43421">
        <w:rPr>
          <w:rFonts w:ascii="Times New Roman" w:hAnsi="Times New Roman" w:cs="Times New Roman"/>
          <w:color w:val="000000" w:themeColor="text1"/>
          <w:sz w:val="24"/>
          <w:szCs w:val="24"/>
        </w:rPr>
        <w:t>CME diet in infancy</w:t>
      </w:r>
      <w:r w:rsidR="00DD04EC" w:rsidRPr="00A43421">
        <w:rPr>
          <w:rFonts w:ascii="Times New Roman" w:hAnsi="Times New Roman" w:cs="Times New Roman"/>
          <w:color w:val="000000" w:themeColor="text1"/>
          <w:sz w:val="24"/>
          <w:szCs w:val="24"/>
        </w:rPr>
        <w:t xml:space="preserve"> has a long term effect on preference for</w:t>
      </w:r>
      <w:r w:rsidR="00195E60" w:rsidRPr="00A43421">
        <w:rPr>
          <w:rFonts w:ascii="Times New Roman" w:hAnsi="Times New Roman" w:cs="Times New Roman"/>
          <w:color w:val="000000" w:themeColor="text1"/>
          <w:sz w:val="24"/>
          <w:szCs w:val="24"/>
        </w:rPr>
        <w:t xml:space="preserve"> bitter taste</w:t>
      </w:r>
      <w:r w:rsidR="00DD04EC" w:rsidRPr="00A43421">
        <w:rPr>
          <w:rFonts w:ascii="Times New Roman" w:hAnsi="Times New Roman" w:cs="Times New Roman"/>
          <w:color w:val="000000" w:themeColor="text1"/>
          <w:sz w:val="24"/>
          <w:szCs w:val="24"/>
        </w:rPr>
        <w:t>. Diff</w:t>
      </w:r>
      <w:r w:rsidR="0000381B" w:rsidRPr="00A43421">
        <w:rPr>
          <w:rFonts w:ascii="Times New Roman" w:hAnsi="Times New Roman" w:cs="Times New Roman"/>
          <w:color w:val="000000" w:themeColor="text1"/>
          <w:sz w:val="24"/>
          <w:szCs w:val="24"/>
        </w:rPr>
        <w:t xml:space="preserve">erences exist for </w:t>
      </w:r>
      <w:r w:rsidR="00195E60" w:rsidRPr="00A43421">
        <w:rPr>
          <w:rFonts w:ascii="Times New Roman" w:hAnsi="Times New Roman" w:cs="Times New Roman"/>
          <w:color w:val="000000" w:themeColor="text1"/>
          <w:sz w:val="24"/>
          <w:szCs w:val="24"/>
        </w:rPr>
        <w:t>intake of some micronutrients</w:t>
      </w:r>
      <w:r w:rsidR="00DD04EC" w:rsidRPr="00A43421">
        <w:rPr>
          <w:rFonts w:ascii="Times New Roman" w:hAnsi="Times New Roman" w:cs="Times New Roman"/>
          <w:color w:val="000000" w:themeColor="text1"/>
          <w:sz w:val="24"/>
          <w:szCs w:val="24"/>
        </w:rPr>
        <w:t xml:space="preserve"> but not </w:t>
      </w:r>
      <w:r w:rsidR="00195E60" w:rsidRPr="00A43421">
        <w:rPr>
          <w:rFonts w:ascii="Times New Roman" w:hAnsi="Times New Roman" w:cs="Times New Roman"/>
          <w:color w:val="000000" w:themeColor="text1"/>
          <w:sz w:val="24"/>
          <w:szCs w:val="24"/>
        </w:rPr>
        <w:t xml:space="preserve">for </w:t>
      </w:r>
      <w:r w:rsidR="00DD04EC" w:rsidRPr="00A43421">
        <w:rPr>
          <w:rFonts w:ascii="Times New Roman" w:hAnsi="Times New Roman" w:cs="Times New Roman"/>
          <w:color w:val="000000" w:themeColor="text1"/>
          <w:sz w:val="24"/>
          <w:szCs w:val="24"/>
        </w:rPr>
        <w:t>macronutrient</w:t>
      </w:r>
      <w:r w:rsidR="00195E60" w:rsidRPr="00A43421">
        <w:rPr>
          <w:rFonts w:ascii="Times New Roman" w:hAnsi="Times New Roman" w:cs="Times New Roman"/>
          <w:color w:val="000000" w:themeColor="text1"/>
          <w:sz w:val="24"/>
          <w:szCs w:val="24"/>
        </w:rPr>
        <w:t>s</w:t>
      </w:r>
      <w:r w:rsidR="00DD04EC" w:rsidRPr="00A43421">
        <w:rPr>
          <w:rFonts w:ascii="Times New Roman" w:hAnsi="Times New Roman" w:cs="Times New Roman"/>
          <w:color w:val="000000" w:themeColor="text1"/>
          <w:sz w:val="24"/>
          <w:szCs w:val="24"/>
        </w:rPr>
        <w:t xml:space="preserve">. </w:t>
      </w:r>
      <w:r w:rsidR="001B2983" w:rsidRPr="00A43421">
        <w:rPr>
          <w:rFonts w:ascii="Times New Roman" w:hAnsi="Times New Roman" w:cs="Times New Roman"/>
          <w:color w:val="000000" w:themeColor="text1"/>
          <w:sz w:val="24"/>
          <w:szCs w:val="24"/>
        </w:rPr>
        <w:t xml:space="preserve">There was a </w:t>
      </w:r>
      <w:r w:rsidR="00ED12AB" w:rsidRPr="00A43421">
        <w:rPr>
          <w:rFonts w:ascii="Times New Roman" w:hAnsi="Times New Roman" w:cs="Times New Roman"/>
          <w:color w:val="000000" w:themeColor="text1"/>
          <w:sz w:val="24"/>
          <w:szCs w:val="24"/>
        </w:rPr>
        <w:t xml:space="preserve">non-significant </w:t>
      </w:r>
      <w:r w:rsidR="001B2983" w:rsidRPr="00A43421">
        <w:rPr>
          <w:rFonts w:ascii="Times New Roman" w:hAnsi="Times New Roman" w:cs="Times New Roman"/>
          <w:color w:val="000000" w:themeColor="text1"/>
          <w:sz w:val="24"/>
          <w:szCs w:val="24"/>
        </w:rPr>
        <w:t>t</w:t>
      </w:r>
      <w:r w:rsidR="00ED12AB" w:rsidRPr="00A43421">
        <w:rPr>
          <w:rFonts w:ascii="Times New Roman" w:hAnsi="Times New Roman" w:cs="Times New Roman"/>
          <w:color w:val="000000" w:themeColor="text1"/>
          <w:sz w:val="24"/>
          <w:szCs w:val="24"/>
        </w:rPr>
        <w:t>rend</w:t>
      </w:r>
      <w:r w:rsidR="001B2983" w:rsidRPr="00A43421">
        <w:rPr>
          <w:rFonts w:ascii="Times New Roman" w:hAnsi="Times New Roman" w:cs="Times New Roman"/>
          <w:color w:val="000000" w:themeColor="text1"/>
          <w:sz w:val="24"/>
          <w:szCs w:val="24"/>
        </w:rPr>
        <w:t xml:space="preserve"> towards overweight and obesi</w:t>
      </w:r>
      <w:r w:rsidR="00ED12AB" w:rsidRPr="00A43421">
        <w:rPr>
          <w:rFonts w:ascii="Times New Roman" w:hAnsi="Times New Roman" w:cs="Times New Roman"/>
          <w:color w:val="000000" w:themeColor="text1"/>
          <w:sz w:val="24"/>
          <w:szCs w:val="24"/>
        </w:rPr>
        <w:t>ty in children in the CME group.</w:t>
      </w:r>
    </w:p>
    <w:p w14:paraId="5A2C0198" w14:textId="77777777" w:rsidR="00B45C79" w:rsidRPr="00A43421" w:rsidRDefault="00B45C79" w:rsidP="00083A30">
      <w:pPr>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br w:type="page"/>
      </w:r>
    </w:p>
    <w:p w14:paraId="654619C7" w14:textId="77777777" w:rsidR="007A022F" w:rsidRPr="00A43421" w:rsidRDefault="007A022F" w:rsidP="00083A30">
      <w:pPr>
        <w:tabs>
          <w:tab w:val="left" w:pos="1134"/>
        </w:tabs>
        <w:spacing w:line="360" w:lineRule="auto"/>
        <w:jc w:val="both"/>
        <w:rPr>
          <w:rFonts w:ascii="Times New Roman" w:hAnsi="Times New Roman" w:cs="Times New Roman"/>
          <w:b/>
          <w:color w:val="000000" w:themeColor="text1"/>
          <w:sz w:val="24"/>
          <w:szCs w:val="24"/>
        </w:rPr>
      </w:pPr>
      <w:r w:rsidRPr="00A43421">
        <w:rPr>
          <w:rFonts w:ascii="Times New Roman" w:hAnsi="Times New Roman" w:cs="Times New Roman"/>
          <w:b/>
          <w:color w:val="000000" w:themeColor="text1"/>
          <w:sz w:val="24"/>
          <w:szCs w:val="24"/>
        </w:rPr>
        <w:t>Introduction</w:t>
      </w:r>
    </w:p>
    <w:p w14:paraId="4D57E745" w14:textId="2D9F54B0" w:rsidR="00872639" w:rsidRPr="00A43421" w:rsidRDefault="00872639" w:rsidP="00083A30">
      <w:pPr>
        <w:tabs>
          <w:tab w:val="left" w:pos="1134"/>
        </w:tabs>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Cows’ milk allergy (CMA) affects nearly 3% of young children in the UK</w:t>
      </w:r>
      <w:r w:rsidR="0082405F" w:rsidRPr="00A43421">
        <w:rPr>
          <w:rFonts w:ascii="Times New Roman" w:hAnsi="Times New Roman" w:cs="Times New Roman"/>
          <w:color w:val="000000" w:themeColor="text1"/>
          <w:sz w:val="24"/>
          <w:szCs w:val="24"/>
        </w:rPr>
        <w:t xml:space="preserve"> </w:t>
      </w:r>
      <w:r w:rsidR="0082405F"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"10.1111/j.1398-9995.2007.01570.x", "ISBN" : "1398-9995 (Electronic)\\n0105-4538 (Linking)", "ISSN" : "1398-9995", "PMID" : "18053008", "abstract" : "BACKGROUND: Prevalence and incidence of food hypersensitivity (FHS) and its trends in early childhood are unclear. METHODS: A birth cohort born on the Isle of Wight (UK) between 2001 and 2002 was followed-up prospectively. Children were clinically examined and skin prick tested at set times and invited for food challenges when indicated. RESULTS: Nine hundred and sixty-nine children were recruited and 92.9%, 88.5% and 91.9% of them respectively were assessed at 1, 2 and 3 years of age. Prevalence of sensitization to foods was 2.2%, 3.8% and 4.5% respectively at these ages. Cumulatively, 5.3% [95% confidence interval (CI): 3.9-7.1] children were sensitized to a food. Using open food challenge and a good clinical history, the cumulative incidence of FHS was 6.0% (58/969, 95% CI: 4.6-7.7). Based on double-blinded, placebo-controlled, food challenge (DBPCFC) and a good clinical history, the cumulative incidence was 5.0% (48/969, 95% CI: 3.7-6.5). There is no evidence to suggest that the incidence of FHS has increased, comparing these results with previous studies. Overall, 33.7% of parents reported a food-related problem and of these, 16.1% were diagnosed with FHS by open challenge and history and 12.9% by DBPCFC and history. Main foods implicated were milk, egg and peanut. CONCLUSIONS: By the age of 3 years, 5-6% of children suffer from FHS based on food challenges and a good clinical history. There were large discrepancies between reported and diagnosed FHS. Comparing our data with a study performed in the USA more than 20 years ago, there were no significant differences in the cumulative incidence of FHS.", "author" : [ { "dropping-particle" : "", "family" : "Venter", "given" : "C", "non-dropping-particle" : "", "parse-names" : false, "suffix" : "" }, { "dropping-particle" : "", "family" : "Pereira", "given" : "B", "non-dropping-particle" : "", "parse-names" : false, "suffix" : "" }, { "dropping-particle" : "", "family" : "Voigt", "given" : "K", "non-dropping-particle" : "", "parse-names" : false, "suffix" : "" }, { "dropping-particle" : "", "family" : "Grundy", "given" : "J", "non-dropping-particle" : "", "parse-names" : false, "suffix" : "" }, { "dropping-particle" : "", "family" : "Clayton", "given" : "C B", "non-dropping-particle" : "", "parse-names" : false, "suffix" : "" }, { "dropping-particle" : "", "family" : "Higgins", "given" : "B", "non-dropping-particle" : "", "parse-names" : false, "suffix" : "" }, { "dropping-particle" : "", "family" : "Arshad", "given" : "S H", "non-dropping-particle" : "", "parse-names" : false, "suffix" : "" }, { "dropping-particle" : "", "family" : "Dean", "given" : "T", "non-dropping-particle" : "", "parse-names" : false, "suffix" : "" } ], "container-title" : "Allergy", "id" : "ITEM-1", "issue" : "7", "issued" : { "date-parts" : [ [ "2008" ] ] }, "page" : "354-359", "title" : "Prevalence and cumulative incidence of food hypersensitivity in the first 3 years of life.", "type" : "article-journal", "volume" : "63" }, "uris" : [ "http://www.mendeley.com/documents/?uuid=c240e512-73bd-4e8f-a3f2-54f464d56249" ] }, { "id" : "ITEM-2", "itemData" : { "DOI" : "10.1186/s13601-016-0089-8", "ISSN" : "2045-7022", "author" : [ { "dropping-particle" : "", "family" : "Grimshaw", "given" : "Kate E C", "non-dropping-particle" : "", "parse-names" : false, "suffix" : "" }, { "dropping-particle" : "", "family" : "Bryant", "given" : "Trevor", "non-dropping-particle" : "", "parse-names" : false, "suffix" : "" }, { "dropping-particle" : "", "family" : "Oliver", "given" : "Erin M", "non-dropping-particle" : "", "parse-names" : false, "suffix" : "" }, { "dropping-particle" : "", "family" : "Martin", "given" : "Jane", "non-dropping-particle" : "", "parse-names" : false, "suffix" : "" }, { "dropping-particle" : "", "family" : "Maskell", "given" : "Joe", "non-dropping-particle" : "", "parse-names" : false, "suffix" : "" }, { "dropping-particle" : "", "family" : "Kemp", "given" : "Terri", "non-dropping-particle" : "", "parse-names" : false, "suffix" : "" }, { "dropping-particle" : "", "family" : "Mills", "given" : "E N Clare", "non-dropping-particle" : "", "parse-names" : false, "suffix" : "" }, { "dropping-particle" : "", "family" : "Foote", "given" : "Keith D", "non-dropping-particle" : "", "parse-names" : false, "suffix" : "" }, { "dropping-particle" : "", "family" : "Margetts", "given" : "Barrie M", "non-dropping-particle" : "", "parse-names" : false, "suffix" : "" }, { "dropping-particle" : "", "family" : "Beyer", "given" : "Kirsten", "non-dropping-particle" : "", "parse-names" : false, "suffix" : "" }, { "dropping-particle" : "", "family" : "Roberts", "given" : "Graham", "non-dropping-particle" : "", "parse-names" : false, "suffix" : "" } ], "container-title" : "Clinical and Translational Allergy", "id" : "ITEM-2", "issued" : { "date-parts" : [ [ "2016" ] ] }, "page" : "1-13", "publisher" : "BioMed Central", "title" : "Incidence and risk factors for food hypersensitivity in UK infants : results from a birth cohort study", "type" : "article-journal" }, "uris" : [ "http://www.mendeley.com/documents/?uuid=9103d3f4-61d6-42b5-b4e9-a35ac84a376c" ] }, { "id" : "ITEM-3", "itemData" : { "DOI" : "10.1111/all.12630", "ISSN" : "01054538", "author" : [ { "dropping-particle" : "", "family" : "Schoemaker", "given" : "a. a.", "non-dropping-particle" : "", "parse-names" : false, "suffix" : "" }, { "dropping-particle" : "", "family" : "Sprikkelman", "given" : "a. B.", "non-dropping-particle" : "", "parse-names" : false, "suffix" : "" }, { "dropping-particle" : "", "family" : "Grimshaw", "given" : "K. E.", "non-dropping-particle" : "", "parse-names" : false, "suffix" : "" }, { "dropping-particle" : "", "family" : "Roberts", "given" : "G.", "non-dropping-particle" : "", "parse-names" : false, "suffix" : "" }, { "dropping-particle" : "", "family" : "Grabenhenrich", "given" : "L.", "non-dropping-particle" : "", "parse-names" : false, "suffix" : "" }, { "dropping-particle" : "", "family" : "Rosenfeld", "given" : "L.", "non-dropping-particle" : "", "parse-names" : false, "suffix" : "" }, { "dropping-particle" : "", "family" : "Siegert", "given" : "S.", "non-dropping-particle" : "", "parse-names" : false, "suffix" : "" }, { "dropping-particle" : "", "family" : "Dubakiene", "given" : "R.", "non-dropping-particle" : "", "parse-names" : false, "suffix" : "" }, { "dropping-particle" : "", "family" : "Rudzeviciene", "given" : "O.", "non-dropping-particle" : "", "parse-names" : false, "suffix" : "" }, { "dropping-particle" : "", "family" : "Reche", "given" : "M.", "non-dropping-particle" : "", "parse-names" : false, "suffix" : "" }, { "dropping-particle" : "", "family" : "Fiandor", "given" : "a.", "non-dropping-particle" : "", "parse-names" : false, "suffix" : "" }, { "dropping-particle" : "", "family" : "Papadopoulos", "given" : "N. G.", "non-dropping-particle" : "", "parse-names" : false, "suffix" : "" }, { "dropping-particle" : "", "family" : "Malamitsi-Puchner", "given" : "a.", "non-dropping-particle" : "", "parse-names" : false, "suffix" : "" }, { "dropping-particle" : "", "family" : "Fiocchi", "given" : "a.", "non-dropping-particle" : "", "parse-names" : false, "suffix" : "" }, { "dropping-particle" : "", "family" : "Dahdah", "given" : "L.", "non-dropping-particle" : "", "parse-names" : false, "suffix" : "" }, { "dropping-particle" : "", "family" : "Sigurdardottir", "given" : "S. Th.", "non-dropping-particle" : "", "parse-names" : false, "suffix" : "" }, { "dropping-particle" : "", "family" : "Clausen", "given" : "M.", "non-dropping-particle" : "", "parse-names" : false, "suffix" : "" }, { "dropping-particle" : "", "family" : "Sta\u0144czyk-Przy\u0142uska", "given" : "a.", "non-dropping-particle" : "", "parse-names" : false, "suffix" : "" }, { "dropping-particle" : "", "family" : "Zeman", "given" : "K.", "non-dropping-particle" : "", "parse-names" : false, "suffix" : "" }, { "dropping-particle" : "", "family" : "Mills", "given" : "E. N. C.", "non-dropping-particle" : "", "parse-names" : false, "suffix" : "" }, { "dropping-particle" : "", "family" : "McBride", "given" : "D.", "non-dropping-particle" : "", "parse-names" : false, "suffix" : "" }, { "dropping-particle" : "", "family" : "Keil", "given" : "T.", "non-dropping-particle" : "", "parse-names" : false, "suffix" : "" }, { "dropping-particle" : "", "family" : "Beyer", "given" : "K.", "non-dropping-particle" : "", "parse-names" : false, "suffix" : "" } ], "container-title" : "Allergy", "id" : "ITEM-3", "issued" : { "date-parts" : [ [ "2015" ] ] }, "page" : "n/a-n/a", "title" : "Incidence and natural history of challenge-proven cow's milk allergy in European children - EuroPrevall birth cohort", "type" : "article-journal" }, "uris" : [ "http://www.mendeley.com/documents/?uuid=e5636056-a8be-4eed-a103-7f071d9bcf2d" ] } ], "mendeley" : { "formattedCitation" : "(1\u20133)", "plainTextFormattedCitation" : "(1\u20133)", "previouslyFormattedCitation" : "(1\u20133)" }, "properties" : { "noteIndex" : 0 }, "schema" : "https://github.com/citation-style-language/schema/raw/master/csl-citation.json" }</w:instrText>
      </w:r>
      <w:r w:rsidR="0082405F"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(1–3)</w:t>
      </w:r>
      <w:r w:rsidR="0082405F" w:rsidRPr="00A43421">
        <w:rPr>
          <w:rFonts w:ascii="Times New Roman" w:hAnsi="Times New Roman" w:cs="Times New Roman"/>
          <w:color w:val="000000" w:themeColor="text1"/>
          <w:sz w:val="24"/>
          <w:szCs w:val="24"/>
          <w:vertAlign w:val="superscript"/>
        </w:rPr>
        <w:fldChar w:fldCharType="end"/>
      </w:r>
      <w:r w:rsidRPr="00A43421">
        <w:rPr>
          <w:rFonts w:ascii="Times New Roman" w:hAnsi="Times New Roman" w:cs="Times New Roman"/>
          <w:color w:val="000000" w:themeColor="text1"/>
          <w:sz w:val="24"/>
          <w:szCs w:val="24"/>
        </w:rPr>
        <w:t>. Its management requires a strict cows’ milk exclusion (CME)</w:t>
      </w:r>
      <w:r w:rsidR="005329FD" w:rsidRPr="00A43421">
        <w:rPr>
          <w:rFonts w:ascii="Times New Roman" w:hAnsi="Times New Roman" w:cs="Times New Roman"/>
          <w:color w:val="000000" w:themeColor="text1"/>
          <w:sz w:val="24"/>
          <w:szCs w:val="24"/>
        </w:rPr>
        <w:t xml:space="preserve"> diet</w:t>
      </w:r>
      <w:r w:rsidRPr="00A43421">
        <w:rPr>
          <w:rFonts w:ascii="Times New Roman" w:hAnsi="Times New Roman" w:cs="Times New Roman"/>
          <w:color w:val="000000" w:themeColor="text1"/>
          <w:sz w:val="24"/>
          <w:szCs w:val="24"/>
        </w:rPr>
        <w:t>, usually in combination with a substitute infant formula</w:t>
      </w:r>
      <w:r w:rsidR="00530EA7" w:rsidRPr="00A43421">
        <w:rPr>
          <w:rFonts w:ascii="Times New Roman" w:hAnsi="Times New Roman" w:cs="Times New Roman"/>
          <w:color w:val="000000" w:themeColor="text1"/>
          <w:sz w:val="24"/>
          <w:szCs w:val="24"/>
        </w:rPr>
        <w:t xml:space="preserve">, </w:t>
      </w:r>
      <w:r w:rsidR="007A022F" w:rsidRPr="00A43421">
        <w:rPr>
          <w:rFonts w:ascii="Times New Roman" w:hAnsi="Times New Roman" w:cs="Times New Roman"/>
          <w:color w:val="000000" w:themeColor="text1"/>
          <w:sz w:val="24"/>
          <w:szCs w:val="24"/>
        </w:rPr>
        <w:t xml:space="preserve">with or without breastfeeding </w:t>
      </w:r>
      <w:r w:rsidR="007A022F" w:rsidRPr="00A43421">
        <w:rPr>
          <w:rFonts w:ascii="Times New Roman" w:hAnsi="Times New Roman" w:cs="Times New Roman"/>
          <w:color w:val="000000" w:themeColor="text1"/>
          <w:sz w:val="24"/>
          <w:szCs w:val="24"/>
        </w:rPr>
        <w:fldChar w:fldCharType="begin" w:fldLock="1"/>
      </w:r>
      <w:r w:rsidR="001B2983" w:rsidRPr="00A43421">
        <w:rPr>
          <w:rFonts w:ascii="Times New Roman" w:hAnsi="Times New Roman" w:cs="Times New Roman"/>
          <w:color w:val="000000" w:themeColor="text1"/>
          <w:sz w:val="24"/>
          <w:szCs w:val="24"/>
        </w:rPr>
        <w:instrText>ADDIN CSL_CITATION { "citationItems" : [ { "id" : "ITEM-1", "itemData" : { "DOI" : "10.1111/cea.12302", "ISSN" : "1365-2222", "PMID" : "24588904", "abstract" : "This guideline advises on the management of patients with cow's milk allergy. Cow's milk allergy presents in the first year of life with estimated population prevalence between 2% and 3%. The clinical manifestations of cow's milk allergy are very variable in type and severity making it the most difficult food allergy to diagnose. A careful age- and disease-specific history with relevant allergy tests including detection of milk-specific IgE (by skin prick test or serum assay), diagnostic elimination diet, and oral challenge will aid in diagnosis in most cases. Treatment is advice on cow's milk avoidance and suitable substitute milks. Cow's milk allergy often resolves. Reintroduction can be achieved by the graded exposure, either at home or supervised in hospital depending on severity, using a milk ladder. Where cow's milk allergy persists, novel treatment options may include oral tolerance induction, although most authors do not currently recommend it for routine clinical practice. Cow's milk allergy must be distinguished from primary lactose intolerance. This guideline was prepared by the Standards of Care Committee (SOCC) of the British Society for Allergy and Clinical Immunology (BSACI) and is intended for clinicians in secondary and tertiary care. The recommendations are evidence based, but where evidence is lacking the panel of experts in the committee reached consensus. Grades of recommendation are shown throughout. The document encompasses epidemiology, natural history, clinical presentations, diagnosis, and treatment.", "author" : [ { "dropping-particle" : "", "family" : "Luyt", "given" : "D", "non-dropping-particle" : "", "parse-names" : false, "suffix" : "" }, { "dropping-particle" : "", "family" : "Ball", "given" : "H", "non-dropping-particle" : "", "parse-names" : false, "suffix" : "" }, { "dropping-particle" : "", "family" : "Makwana", "given" : "N", "non-dropping-particle" : "", "parse-names" : false, "suffix" : "" }, { "dropping-particle" : "", "family" : "Green", "given" : "M R", "non-dropping-particle" : "", "parse-names" : false, "suffix" : "" }, { "dropping-particle" : "", "family" : "Bravin", "given" : "K", "non-dropping-particle" : "", "parse-names" : false, "suffix" : "" }, { "dropping-particle" : "", "family" : "Nasser", "given" : "S M", "non-dropping-particle" : "", "parse-names" : false, "suffix" : "" }, { "dropping-particle" : "", "family" : "Clark", "given" : "a T", "non-dropping-particle" : "", "parse-names" : false, "suffix" : "" } ], "container-title" : "Clinical and experimental allergy : journal of the British Society for Allergy and Clinical Immunology", "id" : "ITEM-1", "issue" : "5", "issued" : { "date-parts" : [ [ "2014" ] ] }, "page" : "642-72", "title" : "BSACI guideline for the diagnosis and management of cow's milk allergy.", "type" : "article-journal", "volume" : "44" }, "uris" : [ "http://www.mendeley.com/documents/?uuid=06a86542-5950-416f-ab5b-a50f469213f6" ] }, { "id" : "ITEM-2", "itemData" : { "DOI" : "10.1186/2045-7022-3-23", "ISSN" : "2045-7022", "PMID" : "23835522", "abstract" : "The UK NICE guideline on the Diagnosis and Assessment of Food Allergy in Children and Young People was published in 2011, highlighting the important role of primary care physicians, dietitians, nurses and other community based health care professionals in the diagnosis and assessment of IgE and non-IgE-mediated food allergies in children. The guideline suggests that those with suspected IgE-mediated disease and those suspected to suffer from severe non-IgE-mediated disease are referred on to secondary or tertiary level care. What is evident from this guideline is that the responsibility for the diagnostic food challenge, ongoing management and determining of tolerance to cow's milk in children with less severe non-IgE-mediated food allergies is ultimately that of the primary care/community based health care staff, but this discussion fell outside of the current NICE guideline. Some clinical members of the guideline development group (CV, JW, ATF, TB) therefore felt that there was a particular need to extend this into a more practical guideline for cow's milk allergy. This subset of the guideline development group with the additional expertise of a paediatric gastroenterologist (NS) therefore aimed to produce a UK Primary Care Guideline for the initial clinical recognition of all forms of cow's milk allergy and the ongoing management of those with non-severe non-IgE-mediated cow's milk allergy in the form of algorithms. These algorithms will be discussed in this review paper, drawing on guidance primarily from the UK NICE guideline, but also from the DRACMA guidelines, ESPGHAN guidelines, Australian guidelines and the US NIAID guidelines.", "author" : [ { "dropping-particle" : "", "family" : "Venter", "given" : "C", "non-dropping-particle" : "", "parse-names" : false, "suffix" : "" }, { "dropping-particle" : "", "family" : "Brown", "given" : "Trevor", "non-dropping-particle" : "", "parse-names" : false, "suffix" : "" }, { "dropping-particle" : "", "family" : "Shah", "given" : "Neil", "non-dropping-particle" : "", "parse-names" : false, "suffix" : "" }, { "dropping-particle" : "", "family" : "Walsh", "given" : "Joanne", "non-dropping-particle" : "", "parse-names" : false, "suffix" : "" }, { "dropping-particle" : "", "family" : "Fox", "given" : "Adam T", "non-dropping-particle" : "", "parse-names" : false, "suffix" : "" } ], "container-title" : "Clinical and translational allergy", "id" : "ITEM-2", "issue" : "1", "issued" : { "date-parts" : [ [ "2013" ] ] }, "page" : "23", "title" : "Diagnosis and management of non-IgE-mediated cow's milk allergy in infancy - a UK primary care practical guide.", "type" : "article-journal", "volume" : "3" }, "uris" : [ "http://www.mendeley.com/documents/?uuid=f232c8e8-d56b-46a8-b973-ca22f49654f4" ] } ], "mendeley" : { "formattedCitation" : "(4,5)", "plainTextFormattedCitation" : "(4,5)", "previouslyFormattedCitation" : "(4,5)" }, "properties" : { "noteIndex" : 0 }, "schema" : "https://github.com/citation-style-language/schema/raw/master/csl-citation.json" }</w:instrText>
      </w:r>
      <w:r w:rsidR="007A022F" w:rsidRPr="00A43421">
        <w:rPr>
          <w:rFonts w:ascii="Times New Roman" w:hAnsi="Times New Roman" w:cs="Times New Roman"/>
          <w:color w:val="000000" w:themeColor="text1"/>
          <w:sz w:val="24"/>
          <w:szCs w:val="24"/>
        </w:rPr>
        <w:fldChar w:fldCharType="separate"/>
      </w:r>
      <w:r w:rsidR="001B2983" w:rsidRPr="00A43421">
        <w:rPr>
          <w:rFonts w:ascii="Times New Roman" w:hAnsi="Times New Roman" w:cs="Times New Roman"/>
          <w:noProof/>
          <w:color w:val="000000" w:themeColor="text1"/>
          <w:sz w:val="24"/>
          <w:szCs w:val="24"/>
          <w:vertAlign w:val="superscript"/>
        </w:rPr>
        <w:t>(4,5)</w:t>
      </w:r>
      <w:r w:rsidR="007A022F" w:rsidRPr="00A43421">
        <w:rPr>
          <w:rFonts w:ascii="Times New Roman" w:hAnsi="Times New Roman" w:cs="Times New Roman"/>
          <w:color w:val="000000" w:themeColor="text1"/>
          <w:sz w:val="24"/>
          <w:szCs w:val="24"/>
        </w:rPr>
        <w:fldChar w:fldCharType="end"/>
      </w:r>
      <w:r w:rsidRPr="00A43421">
        <w:rPr>
          <w:rFonts w:ascii="Times New Roman" w:hAnsi="Times New Roman" w:cs="Times New Roman"/>
          <w:color w:val="000000" w:themeColor="text1"/>
          <w:sz w:val="24"/>
          <w:szCs w:val="24"/>
        </w:rPr>
        <w:t>. Sub</w:t>
      </w:r>
      <w:r w:rsidR="007A022F" w:rsidRPr="00A43421">
        <w:rPr>
          <w:rFonts w:ascii="Times New Roman" w:hAnsi="Times New Roman" w:cs="Times New Roman"/>
          <w:color w:val="000000" w:themeColor="text1"/>
          <w:sz w:val="24"/>
          <w:szCs w:val="24"/>
        </w:rPr>
        <w:t>s</w:t>
      </w:r>
      <w:r w:rsidRPr="00A43421">
        <w:rPr>
          <w:rFonts w:ascii="Times New Roman" w:hAnsi="Times New Roman" w:cs="Times New Roman"/>
          <w:color w:val="000000" w:themeColor="text1"/>
          <w:sz w:val="24"/>
          <w:szCs w:val="24"/>
        </w:rPr>
        <w:t>titute infant formula used in CMA are</w:t>
      </w:r>
      <w:r w:rsidR="00530EA7" w:rsidRPr="00A43421">
        <w:rPr>
          <w:rFonts w:ascii="Times New Roman" w:hAnsi="Times New Roman" w:cs="Times New Roman"/>
          <w:color w:val="000000" w:themeColor="text1"/>
          <w:sz w:val="24"/>
          <w:szCs w:val="24"/>
        </w:rPr>
        <w:t xml:space="preserve"> </w:t>
      </w:r>
      <w:r w:rsidR="007A022F" w:rsidRPr="00A43421">
        <w:rPr>
          <w:rFonts w:ascii="Times New Roman" w:hAnsi="Times New Roman" w:cs="Times New Roman"/>
          <w:color w:val="000000" w:themeColor="text1"/>
          <w:sz w:val="24"/>
          <w:szCs w:val="24"/>
        </w:rPr>
        <w:t xml:space="preserve">composed of extensively </w:t>
      </w:r>
      <w:r w:rsidRPr="00A43421">
        <w:rPr>
          <w:rFonts w:ascii="Times New Roman" w:hAnsi="Times New Roman" w:cs="Times New Roman"/>
          <w:color w:val="000000" w:themeColor="text1"/>
          <w:sz w:val="24"/>
          <w:szCs w:val="24"/>
        </w:rPr>
        <w:t xml:space="preserve">hydrolysed </w:t>
      </w:r>
      <w:r w:rsidR="007A022F" w:rsidRPr="00A43421">
        <w:rPr>
          <w:rFonts w:ascii="Times New Roman" w:hAnsi="Times New Roman" w:cs="Times New Roman"/>
          <w:color w:val="000000" w:themeColor="text1"/>
          <w:sz w:val="24"/>
          <w:szCs w:val="24"/>
        </w:rPr>
        <w:t>peptides</w:t>
      </w:r>
      <w:r w:rsidR="0044307F" w:rsidRPr="00A43421">
        <w:rPr>
          <w:rFonts w:ascii="Times New Roman" w:hAnsi="Times New Roman" w:cs="Times New Roman"/>
          <w:color w:val="000000" w:themeColor="text1"/>
          <w:sz w:val="24"/>
          <w:szCs w:val="24"/>
        </w:rPr>
        <w:t xml:space="preserve">, </w:t>
      </w:r>
      <w:r w:rsidRPr="00A43421">
        <w:rPr>
          <w:rFonts w:ascii="Times New Roman" w:hAnsi="Times New Roman" w:cs="Times New Roman"/>
          <w:color w:val="000000" w:themeColor="text1"/>
          <w:sz w:val="24"/>
          <w:szCs w:val="24"/>
        </w:rPr>
        <w:t>amino acids</w:t>
      </w:r>
      <w:r w:rsidR="0044307F" w:rsidRPr="00A43421">
        <w:rPr>
          <w:rFonts w:ascii="Times New Roman" w:hAnsi="Times New Roman" w:cs="Times New Roman"/>
          <w:color w:val="000000" w:themeColor="text1"/>
          <w:sz w:val="24"/>
          <w:szCs w:val="24"/>
        </w:rPr>
        <w:t xml:space="preserve"> or occasionally soya protein</w:t>
      </w:r>
      <w:r w:rsidRPr="00A43421">
        <w:rPr>
          <w:rFonts w:ascii="Times New Roman" w:hAnsi="Times New Roman" w:cs="Times New Roman"/>
          <w:color w:val="000000" w:themeColor="text1"/>
          <w:sz w:val="24"/>
          <w:szCs w:val="24"/>
        </w:rPr>
        <w:t xml:space="preserve"> and are known for their bitter taste</w:t>
      </w:r>
      <w:r w:rsidR="005329FD" w:rsidRPr="00A43421">
        <w:rPr>
          <w:rFonts w:ascii="Times New Roman" w:hAnsi="Times New Roman" w:cs="Times New Roman"/>
          <w:color w:val="000000" w:themeColor="text1"/>
          <w:sz w:val="24"/>
          <w:szCs w:val="24"/>
        </w:rPr>
        <w:t xml:space="preserve"> </w:t>
      </w:r>
      <w:r w:rsidR="007A022F"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"ISSN" : "10189068", "PMID" : "17153882", "abstract" : "BACKGROUND: Hydrolyzed formulas used to feed infants with cow's milk-allergy can be classified as soy based, extensively hydrolyzed (casein, whey and mixed), and amino-acid based. Their unsatisfactory taste is reported by parents and physicians. OBJECTIVE: The aim of this study was to ascertain the palatability of these formulas in a double-blind taste test. MATERIALS AND METHODS: Fifty healthy volunteers performed a randomized-order double-blind test with 12 different milks. The taste, smell, smell, and texture of each formula were evaluated o n scales ranging from 1 (worst) t o 5 (best). The Pearson correlation coefficient between the peptide weight of each formula and the score obtained for each evaluated attribute was calculated. RESULTS: The soy formulas and rice formula had the best taste scores, followed by the whey hydrolysates; the mixed hydrolysates and the casein hydrolysates had the lowest taste scores. Individually the most palatable formula was mixed hydrolysate 1, by total score. We found a statistically significant correlation between peptide weight, reflecting the degree of hydrolysis of each formula, and the scores obtained for taste, texture, and overall palatability. CONCLUSION: The palatability of formulas is determined by the amount of bitter peptides obtained through hydrolysis. Flavorings and sweeteners may also contribute to palatability. Further studies are needed in order to determine how to modify the organoleptic properties of these products with the purpose of improving their palatability.", "author" : [ { "dropping-particle" : "", "family" : "Pedrosa Delgado", "given" : "Mar\u00eda", "non-dropping-particle" : "", "parse-names" : false, "suffix" : "" }, { "dropping-particle" : "", "family" : "Pascual", "given" : "C. Y.", "non-dropping-particle" : "", "parse-names" : false, "suffix" : "" }, { "dropping-particle" : "", "family" : "Larco", "given" : "J. I.", "non-dropping-particle" : "", "parse-names" : false, "suffix" : "" }, { "dropping-particle" : "", "family" : "Mart\u00edn Esteban", "given" : "M.", "non-dropping-particle" : "", "parse-names" : false, "suffix" : "" } ], "container-title" : "Journal of Investigational Allergology and Clinical Immunology", "id" : "ITEM-1", "issue" : "6", "issued" : { "date-parts" : [ [ "2006" ] ] }, "page" : "351-356", "title" : "Palatability of hydrolysates and other substitution formulas for cow's milk-allergic children: A comparative study of taste, smell, and texture evaluated by healthy volunteers", "type" : "article-journal", "volume" : "16" }, "uris" : [ "http://www.mendeley.com/documents/?uuid=a044507a-d846-4594-a9c1-d4e774665146" ] }, { "id" : "ITEM-2", "itemData" : { "DOI" : "10.1186/s13052-015-0141-7", "ISBN" : "1305201501417", "ISSN" : "1824-7288", "author" : [ { "dropping-particle" : "", "family" : "Miraglia Del Giudice", "given" : "Michele", "non-dropping-particle" : "", "parse-names" : false, "suffix" : "" }, { "dropping-particle" : "", "family" : "D\u2019Auria", "given" : "Enza", "non-dropping-particle" : "", "parse-names" : false, "suffix" : "" }, { "dropping-particle" : "", "family" : "Peroni", "given" : "Diego", "non-dropping-particle" : "", "parse-names" : false, "suffix" : "" }, { "dropping-particle" : "", "family" : "Palazzo", "given" : "Samuele", "non-dropping-particle" : "", "parse-names" : false, "suffix" : "" }, { "dropping-particle" : "", "family" : "Radaelli", "given" : "Giovanni", "non-dropping-particle" : "", "parse-names" : false, "suffix" : "" }, { "dropping-particle" : "", "family" : "Comberiati", "given" : "Pasquale", "non-dropping-particle" : "", "parse-names" : false, "suffix" : "" }, { "dropping-particle" : "", "family" : "Galdo", "given" : "Francesca", "non-dropping-particle" : "", "parse-names" : false, "suffix" : "" }, { "dropping-particle" : "", "family" : "Maiello", "given" : "Nunzia", "non-dropping-particle" : "", "parse-names" : false, "suffix" : "" }, { "dropping-particle" : "", "family" : "Riva", "given" : "Enrica", "non-dropping-particle" : "", "parse-names" : false, "suffix" : "" } ], "container-title" : "Italian Journal of Pediatrics", "id" : "ITEM-2", "issue" : "1", "issued" : { "date-parts" : [ [ "2015" ] ] }, "page" : "42", "publisher" : "Italian Journal of Pediatrics", "title" : "Flavor, relative palatability and components of cow\u2019s milk hydrolysed formulas and amino acid-based formula", "type" : "article-journal", "volume" : "41" }, "uris" : [ "http://www.mendeley.com/documents/?uuid=e5b33772-068e-495c-8518-8ddab78d3cc8" ] }, { "id" : "ITEM-3", "itemData" : { "DOI" : "10.1016/j.clnu.2010.01.007", "ISBN" : "1532-1983 (Electronic)\\r0261-5614 (Linking)", "ISSN" : "02615614", "PMID" : "20110140", "abstract" : "Background &amp; aims: There is some evidence that the type of infant formula received in early infancy has an influence on later food preferences. How long potential effects of taste programming persist is however not clear. Therefore, the aim of present study was to investigate whether feeding with different kinds of infant formula is associated with the acceptance of infant formula at 10 years of age. Methods: Preference testing was conducted in 833 10-year old children being part of the interventional subgroup of the German Infant Nutritional Intervention Program Plus Study (GINIplus). If they were not exclusively breastfed, these children have been fed with either one of three hydrolysed formulas or a cow's milk formula during the first four months of life. Results: Feeding with any kind of hydrolysed formula in infancy was positively associated with a higher acceptance of extensively hydrolysed casein formula (aOR: 1.88; 95% CI 1.08, 3.29) after adjusting for sex and study centre. Conclusions: Although this study did not show consistent associations and thus leaves some questions unanswered, it might stimulate further research on the potential programming effect of early infant feeding. \u00a9 2010 Elsevier Ltd and European Society for Clinical Nutrition and Metabolism.", "author" : [ { "dropping-particle" : "", "family" : "Sausenthaler", "given" : "Stefanie", "non-dropping-particle" : "", "parse-names" : false, "suffix" : "" }, { "dropping-particle" : "", "family" : "Koletzko", "given" : "Sibylle", "non-dropping-particle" : "", "parse-names" : false, "suffix" : "" }, { "dropping-particle" : "", "family" : "Koletzko", "given" : "Berthold", "non-dropping-particle" : "", "parse-names" : false, "suffix" : "" }, { "dropping-particle" : "", "family" : "Reinhardt", "given" : "Dietrich", "non-dropping-particle" : "", "parse-names" : false, "suffix" : "" }, { "dropping-particle" : "", "family" : "Kr\u00e4mer", "given" : "Ursula", "non-dropping-particle" : "", "parse-names" : false, "suffix" : "" }, { "dropping-particle" : "", "family" : "Berg", "given" : "Andrea", "non-dropping-particle" : "von", "parse-names" : false, "suffix" : "" }, { "dropping-particle" : "", "family" : "Berdel", "given" : "Dietrich", "non-dropping-particle" : "", "parse-names" : false, "suffix" : "" }, { "dropping-particle" : "", "family" : "Bauer", "given" : "Carl Peter", "non-dropping-particle" : "", "parse-names" : false, "suffix" : "" }, { "dropping-particle" : "", "family" : "Gr\u00fcbl", "given" : "Armin", "non-dropping-particle" : "", "parse-names" : false, "suffix" : "" }, { "dropping-particle" : "", "family" : "Wichmann", "given" : "H. Erich", "non-dropping-particle" : "", "parse-names" : false, "suffix" : "" }, { "dropping-particle" : "", "family" : "Heinrich", "given" : "Joachim", "non-dropping-particle" : "", "parse-names" : false, "suffix" : "" } ], "container-title" : "Clinical Nutrition", "id" : "ITEM-3", "issue" : "3", "issued" : { "date-parts" : [ [ "2010" ] ] }, "page" : "304-306", "title" : "Effect of hydrolysed formula feeding on taste preferences at 10 years. Data from the German Infant Nutritional Intervention Program Plus Study", "type" : "article-journal", "volume" : "29" }, "uris" : [ "http://www.mendeley.com/documents/?uuid=a9304679-96f9-4412-87fb-659816715a3f" ] } ], "mendeley" : { "formattedCitation" : "(6\u20138)", "plainTextFormattedCitation" : "(6\u20138)", "previouslyFormattedCitation" : "(6\u20138)" }, "properties" : { "noteIndex" : 0 }, "schema" : "https://github.com/citation-style-language/schema/raw/master/csl-citation.json" }</w:instrText>
      </w:r>
      <w:r w:rsidR="007A022F"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(6–8)</w:t>
      </w:r>
      <w:r w:rsidR="007A022F" w:rsidRPr="00A43421">
        <w:rPr>
          <w:rFonts w:ascii="Times New Roman" w:hAnsi="Times New Roman" w:cs="Times New Roman"/>
          <w:color w:val="000000" w:themeColor="text1"/>
          <w:sz w:val="24"/>
          <w:szCs w:val="24"/>
          <w:vertAlign w:val="superscript"/>
        </w:rPr>
        <w:fldChar w:fldCharType="end"/>
      </w:r>
      <w:r w:rsidRPr="00A43421">
        <w:rPr>
          <w:rFonts w:ascii="Times New Roman" w:hAnsi="Times New Roman" w:cs="Times New Roman"/>
          <w:color w:val="000000" w:themeColor="text1"/>
          <w:sz w:val="24"/>
          <w:szCs w:val="24"/>
        </w:rPr>
        <w:t>.</w:t>
      </w:r>
      <w:r w:rsidR="005329FD" w:rsidRPr="00A43421">
        <w:rPr>
          <w:rFonts w:ascii="Times New Roman" w:hAnsi="Times New Roman" w:cs="Times New Roman"/>
          <w:color w:val="000000" w:themeColor="text1"/>
          <w:sz w:val="24"/>
          <w:szCs w:val="24"/>
        </w:rPr>
        <w:t xml:space="preserve"> </w:t>
      </w:r>
      <w:r w:rsidR="00185688" w:rsidRPr="00A43421">
        <w:rPr>
          <w:rFonts w:ascii="Times New Roman" w:eastAsia="Times New Roman" w:hAnsi="Times New Roman" w:cs="Times New Roman"/>
          <w:color w:val="000000" w:themeColor="text1"/>
          <w:sz w:val="24"/>
          <w:szCs w:val="24"/>
        </w:rPr>
        <w:t>Milk</w:t>
      </w:r>
      <w:r w:rsidR="000677FD" w:rsidRPr="00A43421">
        <w:rPr>
          <w:rFonts w:ascii="Times New Roman" w:eastAsia="Times New Roman" w:hAnsi="Times New Roman" w:cs="Times New Roman"/>
          <w:color w:val="000000" w:themeColor="text1"/>
          <w:sz w:val="24"/>
          <w:szCs w:val="24"/>
        </w:rPr>
        <w:t>, whether formula or breast milk,</w:t>
      </w:r>
      <w:r w:rsidR="00530EA7" w:rsidRPr="00A43421">
        <w:rPr>
          <w:rFonts w:ascii="Times New Roman" w:eastAsia="Times New Roman" w:hAnsi="Times New Roman" w:cs="Times New Roman"/>
          <w:color w:val="000000" w:themeColor="text1"/>
          <w:sz w:val="24"/>
          <w:szCs w:val="24"/>
        </w:rPr>
        <w:t xml:space="preserve"> </w:t>
      </w:r>
      <w:r w:rsidR="005329FD" w:rsidRPr="00A43421">
        <w:rPr>
          <w:rFonts w:ascii="Times New Roman" w:eastAsia="Times New Roman" w:hAnsi="Times New Roman" w:cs="Times New Roman"/>
          <w:color w:val="000000" w:themeColor="text1"/>
          <w:sz w:val="24"/>
          <w:szCs w:val="24"/>
        </w:rPr>
        <w:t xml:space="preserve">is the first infant food and becomes the standard against which all other new flavours are evaluated </w:t>
      </w:r>
      <w:r w:rsidR="005329FD" w:rsidRPr="00A43421">
        <w:rPr>
          <w:rFonts w:ascii="Times New Roman" w:eastAsia="Times New Roman" w:hAnsi="Times New Roman" w:cs="Times New Roman"/>
          <w:color w:val="000000" w:themeColor="text1"/>
          <w:sz w:val="24"/>
          <w:szCs w:val="24"/>
          <w:vertAlign w:val="superscript"/>
        </w:rPr>
        <w:fldChar w:fldCharType="begin" w:fldLock="1"/>
      </w:r>
      <w:r w:rsidR="001B2983" w:rsidRPr="00A43421">
        <w:rPr>
          <w:rFonts w:ascii="Times New Roman" w:eastAsia="Times New Roman" w:hAnsi="Times New Roman" w:cs="Times New Roman"/>
          <w:color w:val="000000" w:themeColor="text1"/>
          <w:sz w:val="24"/>
          <w:szCs w:val="24"/>
          <w:vertAlign w:val="superscript"/>
        </w:rPr>
        <w:instrText>ADDIN CSL_CITATION { "citationItems" : [ { "id" : "ITEM-1", "itemData" : { "DOI" : "10.3945/ajcn.113.069047.Am", "ISBN" : "0002-9165", "ISSN" : "1938-3207", "PMID" : "24452235", "abstract" : "guidance for caregivers who are feeding infants and toddlers; the current Dietary Guidelines are intended to apply to Americans over the age of 2 y. At present, the evidence base with regard to how and what children learn about food and eating behavior during these first years is limited. Before developing guidance for parents and care- givers, more scholarship and research is necessary to understand how infants and toddlers develop the food preferences and self-regulatory processes necessary to promote healthy growth, particularly in to- day\u2019s environment. By the time they reach 2 y of age, children have essentially completed the transition to \u201ctable foods\u201d and are consum- ing diets similar to those of other family members. This article discusses parenting and feeding approaches that may facilitate or impede the development of self-regulation of intake and the accep- tance of a variety of foods and flavors necessary for a healthy diet. We review the limited evidence on how traditional feeding practices, familiarization, associative learning, and observational learning affect the development of eating behavior in the context of the current food environment. Areas for future research that could in- form the development of anticipatory guidance for parents and care- givers responsible for the care and feeding of young children are identifie", "author" : [ { "dropping-particle" : "", "family" : "Birch", "given" : "Leann L", "non-dropping-particle" : "", "parse-names" : false, "suffix" : "" }, { "dropping-particle" : "", "family" : "Doub", "given" : "Allison E", "non-dropping-particle" : "", "parse-names" : false, "suffix" : "" } ], "container-title" : "The American journal of clinical nutrition", "id" : "ITEM-1", "issued" : { "date-parts" : [ [ "2014" ] ] }, "page" : "723-728", "title" : "Learning to eat : birth to age 2 y", "type" : "article-journal", "volume" : "99" }, "uris" : [ "http://www.mendeley.com/documents/?uuid=7483ac29-e006-4791-9ead-797fc1e42c8f" ] } ], "mendeley" : { "formattedCitation" : "(9)", "plainTextFormattedCitation" : "(9)", "previouslyFormattedCitation" : "(9)" }, "properties" : { "noteIndex" : 0 }, "schema" : "https://github.com/citation-style-language/schema/raw/master/csl-citation.json" }</w:instrText>
      </w:r>
      <w:r w:rsidR="005329FD" w:rsidRPr="00A43421">
        <w:rPr>
          <w:rFonts w:ascii="Times New Roman" w:eastAsia="Times New Roman" w:hAnsi="Times New Roman" w:cs="Times New Roman"/>
          <w:color w:val="000000" w:themeColor="text1"/>
          <w:sz w:val="24"/>
          <w:szCs w:val="24"/>
          <w:vertAlign w:val="superscript"/>
        </w:rPr>
        <w:fldChar w:fldCharType="separate"/>
      </w:r>
      <w:r w:rsidR="001B2983" w:rsidRPr="00A43421">
        <w:rPr>
          <w:rFonts w:ascii="Times New Roman" w:eastAsia="Times New Roman" w:hAnsi="Times New Roman" w:cs="Times New Roman"/>
          <w:noProof/>
          <w:color w:val="000000" w:themeColor="text1"/>
          <w:sz w:val="24"/>
          <w:szCs w:val="24"/>
          <w:vertAlign w:val="superscript"/>
        </w:rPr>
        <w:t>(9)</w:t>
      </w:r>
      <w:r w:rsidR="005329FD" w:rsidRPr="00A43421">
        <w:rPr>
          <w:rFonts w:ascii="Times New Roman" w:eastAsia="Times New Roman" w:hAnsi="Times New Roman" w:cs="Times New Roman"/>
          <w:color w:val="000000" w:themeColor="text1"/>
          <w:sz w:val="24"/>
          <w:szCs w:val="24"/>
          <w:vertAlign w:val="superscript"/>
        </w:rPr>
        <w:fldChar w:fldCharType="end"/>
      </w:r>
      <w:r w:rsidR="005329FD" w:rsidRPr="00A43421">
        <w:rPr>
          <w:rFonts w:ascii="Times New Roman" w:eastAsia="Times New Roman" w:hAnsi="Times New Roman" w:cs="Times New Roman"/>
          <w:color w:val="000000" w:themeColor="text1"/>
          <w:sz w:val="24"/>
          <w:szCs w:val="24"/>
        </w:rPr>
        <w:t>. This is particularly salient when the milk has an altered or unusual flavour</w:t>
      </w:r>
      <w:r w:rsidR="005329FD" w:rsidRPr="00A43421">
        <w:rPr>
          <w:rFonts w:ascii="Times New Roman" w:eastAsia="Times New Roman" w:hAnsi="Times New Roman" w:cs="Times New Roman"/>
          <w:i/>
          <w:color w:val="000000" w:themeColor="text1"/>
          <w:sz w:val="24"/>
          <w:szCs w:val="24"/>
        </w:rPr>
        <w:t xml:space="preserve">. </w:t>
      </w:r>
      <w:r w:rsidRPr="00A43421">
        <w:rPr>
          <w:rFonts w:ascii="Times New Roman" w:hAnsi="Times New Roman" w:cs="Times New Roman"/>
          <w:color w:val="000000" w:themeColor="text1"/>
          <w:sz w:val="24"/>
          <w:szCs w:val="24"/>
        </w:rPr>
        <w:t xml:space="preserve">In the majority of children, CMA will resolve by </w:t>
      </w:r>
      <w:r w:rsidR="006A6BD3" w:rsidRPr="00A43421">
        <w:rPr>
          <w:rFonts w:ascii="Times New Roman" w:hAnsi="Times New Roman" w:cs="Times New Roman"/>
          <w:color w:val="000000" w:themeColor="text1"/>
          <w:sz w:val="24"/>
          <w:szCs w:val="24"/>
        </w:rPr>
        <w:t xml:space="preserve">the </w:t>
      </w:r>
      <w:r w:rsidRPr="00A43421">
        <w:rPr>
          <w:rFonts w:ascii="Times New Roman" w:hAnsi="Times New Roman" w:cs="Times New Roman"/>
          <w:color w:val="000000" w:themeColor="text1"/>
          <w:sz w:val="24"/>
          <w:szCs w:val="24"/>
        </w:rPr>
        <w:t xml:space="preserve">age </w:t>
      </w:r>
      <w:r w:rsidR="006A6BD3" w:rsidRPr="00A43421">
        <w:rPr>
          <w:rFonts w:ascii="Times New Roman" w:hAnsi="Times New Roman" w:cs="Times New Roman"/>
          <w:color w:val="000000" w:themeColor="text1"/>
          <w:sz w:val="24"/>
          <w:szCs w:val="24"/>
        </w:rPr>
        <w:t xml:space="preserve">of </w:t>
      </w:r>
      <w:r w:rsidRPr="00A43421">
        <w:rPr>
          <w:rFonts w:ascii="Times New Roman" w:hAnsi="Times New Roman" w:cs="Times New Roman"/>
          <w:color w:val="000000" w:themeColor="text1"/>
          <w:sz w:val="24"/>
          <w:szCs w:val="24"/>
        </w:rPr>
        <w:t>two years, when cows’ milk products can successfully be tolerated</w:t>
      </w:r>
      <w:r w:rsidR="00023EEC" w:rsidRPr="00A43421">
        <w:rPr>
          <w:rFonts w:ascii="Times New Roman" w:hAnsi="Times New Roman" w:cs="Times New Roman"/>
          <w:color w:val="000000" w:themeColor="text1"/>
          <w:sz w:val="24"/>
          <w:szCs w:val="24"/>
        </w:rPr>
        <w:t xml:space="preserve"> </w:t>
      </w:r>
      <w:r w:rsidR="00023EEC"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"10.1111/all.12630", "ISSN" : "01054538", "author" : [ { "dropping-particle" : "", "family" : "Schoemaker", "given" : "a. a.", "non-dropping-particle" : "", "parse-names" : false, "suffix" : "" }, { "dropping-particle" : "", "family" : "Sprikkelman", "given" : "a. B.", "non-dropping-particle" : "", "parse-names" : false, "suffix" : "" }, { "dropping-particle" : "", "family" : "Grimshaw", "given" : "K. E.", "non-dropping-particle" : "", "parse-names" : false, "suffix" : "" }, { "dropping-particle" : "", "family" : "Roberts", "given" : "G.", "non-dropping-particle" : "", "parse-names" : false, "suffix" : "" }, { "dropping-particle" : "", "family" : "Grabenhenrich", "given" : "L.", "non-dropping-particle" : "", "parse-names" : false, "suffix" : "" }, { "dropping-particle" : "", "family" : "Rosenfeld", "given" : "L.", "non-dropping-particle" : "", "parse-names" : false, "suffix" : "" }, { "dropping-particle" : "", "family" : "Siegert", "given" : "S.", "non-dropping-particle" : "", "parse-names" : false, "suffix" : "" }, { "dropping-particle" : "", "family" : "Dubakiene", "given" : "R.", "non-dropping-particle" : "", "parse-names" : false, "suffix" : "" }, { "dropping-particle" : "", "family" : "Rudzeviciene", "given" : "O.", "non-dropping-particle" : "", "parse-names" : false, "suffix" : "" }, { "dropping-particle" : "", "family" : "Reche", "given" : "M.", "non-dropping-particle" : "", "parse-names" : false, "suffix" : "" }, { "dropping-particle" : "", "family" : "Fiandor", "given" : "a.", "non-dropping-particle" : "", "parse-names" : false, "suffix" : "" }, { "dropping-particle" : "", "family" : "Papadopoulos", "given" : "N. G.", "non-dropping-particle" : "", "parse-names" : false, "suffix" : "" }, { "dropping-particle" : "", "family" : "Malamitsi-Puchner", "given" : "a.", "non-dropping-particle" : "", "parse-names" : false, "suffix" : "" }, { "dropping-particle" : "", "family" : "Fiocchi", "given" : "a.", "non-dropping-particle" : "", "parse-names" : false, "suffix" : "" }, { "dropping-particle" : "", "family" : "Dahdah", "given" : "L.", "non-dropping-particle" : "", "parse-names" : false, "suffix" : "" }, { "dropping-particle" : "", "family" : "Sigurdardottir", "given" : "S. Th.", "non-dropping-particle" : "", "parse-names" : false, "suffix" : "" }, { "dropping-particle" : "", "family" : "Clausen", "given" : "M.", "non-dropping-particle" : "", "parse-names" : false, "suffix" : "" }, { "dropping-particle" : "", "family" : "Sta\u0144czyk-Przy\u0142uska", "given" : "a.", "non-dropping-particle" : "", "parse-names" : false, "suffix" : "" }, { "dropping-particle" : "", "family" : "Zeman", "given" : "K.", "non-dropping-particle" : "", "parse-names" : false, "suffix" : "" }, { "dropping-particle" : "", "family" : "Mills", "given" : "E. N. C.", "non-dropping-particle" : "", "parse-names" : false, "suffix" : "" }, { "dropping-particle" : "", "family" : "McBride", "given" : "D.", "non-dropping-particle" : "", "parse-names" : false, "suffix" : "" }, { "dropping-particle" : "", "family" : "Keil", "given" : "T.", "non-dropping-particle" : "", "parse-names" : false, "suffix" : "" }, { "dropping-particle" : "", "family" : "Beyer", "given" : "K.", "non-dropping-particle" : "", "parse-names" : false, "suffix" : "" } ], "container-title" : "Allergy", "id" : "ITEM-1", "issued" : { "date-parts" : [ [ "2015" ] ] }, "page" : "n/a-n/a", "title" : "Incidence and natural history of challenge-proven cow's milk allergy in European children - EuroPrevall birth cohort", "type" : "article-journal" }, "uris" : [ "http://www.mendeley.com/documents/?uuid=e5636056-a8be-4eed-a103-7f071d9bcf2d" ] }, { "id" : "ITEM-2", "itemData" : { "DOI" : "10.1111/j.1398-9995.2007.01570.x", "ISBN" : "1398-9995 (Electronic)\\n0105-4538 (Linking)", "ISSN" : "1398-9995", "PMID" : "18053008", "abstract" : "BACKGROUND: Prevalence and incidence of food hypersensitivity (FHS) and its trends in early childhood are unclear. METHODS: A birth cohort born on the Isle of Wight (UK) between 2001 and 2002 was followed-up prospectively. Children were clinically examined and skin prick tested at set times and invited for food challenges when indicated. RESULTS: Nine hundred and sixty-nine children were recruited and 92.9%, 88.5% and 91.9% of them respectively were assessed at 1, 2 and 3 years of age. Prevalence of sensitization to foods was 2.2%, 3.8% and 4.5% respectively at these ages. Cumulatively, 5.3% [95% confidence interval (CI): 3.9-7.1] children were sensitized to a food. Using open food challenge and a good clinical history, the cumulative incidence of FHS was 6.0% (58/969, 95% CI: 4.6-7.7). Based on double-blinded, placebo-controlled, food challenge (DBPCFC) and a good clinical history, the cumulative incidence was 5.0% (48/969, 95% CI: 3.7-6.5). There is no evidence to suggest that the incidence of FHS has increased, comparing these results with previous studies. Overall, 33.7% of parents reported a food-related problem and of these, 16.1% were diagnosed with FHS by open challenge and history and 12.9% by DBPCFC and history. Main foods implicated were milk, egg and peanut. CONCLUSIONS: By the age of 3 years, 5-6% of children suffer from FHS based on food challenges and a good clinical history. There were large discrepancies between reported and diagnosed FHS. Comparing our data with a study performed in the USA more than 20 years ago, there were no significant differences in the cumulative incidence of FHS.", "author" : [ { "dropping-particle" : "", "family" : "Venter", "given" : "C", "non-dropping-particle" : "", "parse-names" : false, "suffix" : "" }, { "dropping-particle" : "", "family" : "Pereira", "given" : "B", "non-dropping-particle" : "", "parse-names" : false, "suffix" : "" }, { "dropping-particle" : "", "family" : "Voigt", "given" : "K", "non-dropping-particle" : "", "parse-names" : false, "suffix" : "" }, { "dropping-particle" : "", "family" : "Grundy", "given" : "J", "non-dropping-particle" : "", "parse-names" : false, "suffix" : "" }, { "dropping-particle" : "", "family" : "Clayton", "given" : "C B", "non-dropping-particle" : "", "parse-names" : false, "suffix" : "" }, { "dropping-particle" : "", "family" : "Higgins", "given" : "B", "non-dropping-particle" : "", "parse-names" : false, "suffix" : "" }, { "dropping-particle" : "", "family" : "Arshad", "given" : "S H", "non-dropping-particle" : "", "parse-names" : false, "suffix" : "" }, { "dropping-particle" : "", "family" : "Dean", "given" : "T", "non-dropping-particle" : "", "parse-names" : false, "suffix" : "" } ], "container-title" : "Allergy", "id" : "ITEM-2", "issue" : "7", "issued" : { "date-parts" : [ [ "2008" ] ] }, "page" : "354-359", "title" : "Prevalence and cumulative incidence of food hypersensitivity in the first 3 years of life.", "type" : "article-journal", "volume" : "63" }, "uris" : [ "http://www.mendeley.com/documents/?uuid=c240e512-73bd-4e8f-a3f2-54f464d56249" ] } ], "mendeley" : { "formattedCitation" : "(1,3)", "plainTextFormattedCitation" : "(1,3)", "previouslyFormattedCitation" : "(1,3)" }, "properties" : { "noteIndex" : 0 }, "schema" : "https://github.com/citation-style-language/schema/raw/master/csl-citation.json" }</w:instrText>
      </w:r>
      <w:r w:rsidR="00023EEC"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(1,3)</w:t>
      </w:r>
      <w:r w:rsidR="00023EEC" w:rsidRPr="00A43421">
        <w:rPr>
          <w:rFonts w:ascii="Times New Roman" w:hAnsi="Times New Roman" w:cs="Times New Roman"/>
          <w:color w:val="000000" w:themeColor="text1"/>
          <w:sz w:val="24"/>
          <w:szCs w:val="24"/>
          <w:vertAlign w:val="superscript"/>
        </w:rPr>
        <w:fldChar w:fldCharType="end"/>
      </w:r>
      <w:r w:rsidRPr="00A43421">
        <w:rPr>
          <w:rFonts w:ascii="Times New Roman" w:hAnsi="Times New Roman" w:cs="Times New Roman"/>
          <w:color w:val="000000" w:themeColor="text1"/>
          <w:sz w:val="24"/>
          <w:szCs w:val="24"/>
        </w:rPr>
        <w:t>. The natural history of CMA t</w:t>
      </w:r>
      <w:r w:rsidR="000677FD" w:rsidRPr="00A43421">
        <w:rPr>
          <w:rFonts w:ascii="Times New Roman" w:hAnsi="Times New Roman" w:cs="Times New Roman"/>
          <w:color w:val="000000" w:themeColor="text1"/>
          <w:sz w:val="24"/>
          <w:szCs w:val="24"/>
        </w:rPr>
        <w:t xml:space="preserve">herefore provides an </w:t>
      </w:r>
      <w:r w:rsidRPr="00A43421">
        <w:rPr>
          <w:rFonts w:ascii="Times New Roman" w:hAnsi="Times New Roman" w:cs="Times New Roman"/>
          <w:color w:val="000000" w:themeColor="text1"/>
          <w:sz w:val="24"/>
          <w:szCs w:val="24"/>
        </w:rPr>
        <w:t xml:space="preserve">opportunity to explore the effect of dietary exclusion in infancy on later dietary outcomes. </w:t>
      </w:r>
    </w:p>
    <w:p w14:paraId="13164168" w14:textId="77777777" w:rsidR="00011B58" w:rsidRPr="00A43421" w:rsidRDefault="0066753E" w:rsidP="00011B58">
      <w:pPr>
        <w:spacing w:line="360" w:lineRule="auto"/>
        <w:ind w:firstLine="720"/>
        <w:jc w:val="both"/>
        <w:rPr>
          <w:rFonts w:ascii="Times New Roman" w:eastAsia="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New-born</w:t>
      </w:r>
      <w:r w:rsidR="005329FD" w:rsidRPr="00A43421">
        <w:rPr>
          <w:rFonts w:ascii="Times New Roman" w:hAnsi="Times New Roman" w:cs="Times New Roman"/>
          <w:color w:val="000000" w:themeColor="text1"/>
          <w:sz w:val="24"/>
          <w:szCs w:val="24"/>
        </w:rPr>
        <w:t xml:space="preserve"> infants are responsive to different taste stimuli. Generally, a sweet taste evokes a positive reaction, whereas both sour and bitter ta</w:t>
      </w:r>
      <w:r w:rsidR="00FA2BBA" w:rsidRPr="00A43421">
        <w:rPr>
          <w:rFonts w:ascii="Times New Roman" w:hAnsi="Times New Roman" w:cs="Times New Roman"/>
          <w:color w:val="000000" w:themeColor="text1"/>
          <w:sz w:val="24"/>
          <w:szCs w:val="24"/>
        </w:rPr>
        <w:t>stes provoke negative reactions</w:t>
      </w:r>
      <w:r w:rsidR="005329FD" w:rsidRPr="00A43421">
        <w:rPr>
          <w:rFonts w:ascii="Times New Roman" w:hAnsi="Times New Roman" w:cs="Times New Roman"/>
          <w:color w:val="000000" w:themeColor="text1"/>
          <w:sz w:val="24"/>
          <w:szCs w:val="24"/>
          <w:vertAlign w:val="superscript"/>
        </w:rPr>
        <w:fldChar w:fldCharType="begin" w:fldLock="1"/>
      </w:r>
      <w:r w:rsidR="005D23CA" w:rsidRPr="00A43421">
        <w:rPr>
          <w:rFonts w:ascii="Times New Roman" w:hAnsi="Times New Roman" w:cs="Times New Roman"/>
          <w:color w:val="000000" w:themeColor="text1"/>
          <w:sz w:val="24"/>
          <w:szCs w:val="24"/>
          <w:vertAlign w:val="superscript"/>
        </w:rPr>
        <w:instrText>ADDIN CSL_CITATION { "citationItems" : [ { "id" : "ITEM-1", "itemData" : { "DOI" : "10.1097/MPG.0b013e31819774a5", "ISBN" : "2155218338", "ISSN" : "0277-2116", "PMID" : "19214055", "abstract" : "In this review, we first outline the role and mechanisms of the chemical senses (taste, smell, and chemical irritation) in the perception of the flavor of a food or beverage. We then describe research findings, much of them from our laboratories, on the ontogeny of flavor perception and the interacting roles of innate responses and learning in the establishment of flavor preference of infants and children. Broadly, taste (sweet, sour, salty, bitter, umami, or savory) preferences have a strong innate component. Sweet, umami, and salty substances are innately preferred, whereas bitter and many sour substances are innately rejected. Nevertheless, these innate tendencies can be modified by pre- and postnatal experiences. Volatile components of flavor, detected by the olfactory system, are strongly influenced by early exposure and learning beginning in utero and continuing during early milk (breast milk or formula) feedings. These experiences set the stage for later food choices and are important in establishing life-long food habits. As many of the diseases plaguing developed and developing societies involve excess consumption of some foods, an understanding of factors that determine choice and ingestion, particularly an understanding of the early factors, is important in designing strategies to enhance the health of the infant, child, and adult.", "author" : [ { "dropping-particle" : "", "family" : "Beauchamp", "given" : "Gary K", "non-dropping-particle" : "", "parse-names" : false, "suffix" : "" }, { "dropping-particle" : "", "family" : "Mennella", "given" : "Julie A", "non-dropping-particle" : "", "parse-names" : false, "suffix" : "" } ], "container-title" : "Journal of pediatric gastroenterology and nutrition", "id" : "ITEM-1", "issued" : { "date-parts" : [ [ "2009" ] ] }, "page" : "S25-S30", "title" : "Early flavor learning and its impact on later feeding behavior.", "type" : "article-journal", "volume" : "48 Suppl 1" }, "uris" : [ "http://www.mendeley.com/documents/?uuid=40cd5ca6-f24a-49e2-94aa-01358ba8d6d7" ] } ], "mendeley" : { "formattedCitation" : "(10)", "plainTextFormattedCitation" : "(10)", "previouslyFormattedCitation" : "(10)" }, "properties" : { "noteIndex" : 0 }, "schema" : "https://github.com/citation-style-language/schema/raw/master/csl-citation.json" }</w:instrText>
      </w:r>
      <w:r w:rsidR="005329FD" w:rsidRPr="00A43421">
        <w:rPr>
          <w:rFonts w:ascii="Times New Roman" w:hAnsi="Times New Roman" w:cs="Times New Roman"/>
          <w:color w:val="000000" w:themeColor="text1"/>
          <w:sz w:val="24"/>
          <w:szCs w:val="24"/>
          <w:vertAlign w:val="superscript"/>
        </w:rPr>
        <w:fldChar w:fldCharType="separate"/>
      </w:r>
      <w:r w:rsidR="0082405F" w:rsidRPr="00A43421">
        <w:rPr>
          <w:rFonts w:ascii="Times New Roman" w:hAnsi="Times New Roman" w:cs="Times New Roman"/>
          <w:noProof/>
          <w:color w:val="000000" w:themeColor="text1"/>
          <w:sz w:val="24"/>
          <w:szCs w:val="24"/>
          <w:vertAlign w:val="superscript"/>
        </w:rPr>
        <w:t>(10)</w:t>
      </w:r>
      <w:r w:rsidR="005329FD" w:rsidRPr="00A43421">
        <w:rPr>
          <w:rFonts w:ascii="Times New Roman" w:hAnsi="Times New Roman" w:cs="Times New Roman"/>
          <w:color w:val="000000" w:themeColor="text1"/>
          <w:sz w:val="24"/>
          <w:szCs w:val="24"/>
          <w:vertAlign w:val="superscript"/>
        </w:rPr>
        <w:fldChar w:fldCharType="end"/>
      </w:r>
      <w:r w:rsidR="00023EEC" w:rsidRPr="00A43421">
        <w:rPr>
          <w:rFonts w:ascii="Times New Roman" w:eastAsia="Times New Roman" w:hAnsi="Times New Roman" w:cs="Times New Roman"/>
          <w:color w:val="000000" w:themeColor="text1"/>
          <w:sz w:val="24"/>
          <w:szCs w:val="24"/>
        </w:rPr>
        <w:t xml:space="preserve">. </w:t>
      </w:r>
      <w:r w:rsidR="005329FD" w:rsidRPr="00A43421">
        <w:rPr>
          <w:rFonts w:ascii="Times New Roman" w:hAnsi="Times New Roman" w:cs="Times New Roman"/>
          <w:color w:val="000000" w:themeColor="text1"/>
          <w:sz w:val="24"/>
          <w:szCs w:val="24"/>
        </w:rPr>
        <w:t>Despite the fact that these preferences are inbuilt, they can be modified through exposure in utero, during early infancy, in childhood and in adolescence</w:t>
      </w:r>
      <w:r w:rsidR="00023EEC" w:rsidRPr="00A43421">
        <w:rPr>
          <w:rFonts w:ascii="Times New Roman" w:hAnsi="Times New Roman" w:cs="Times New Roman"/>
          <w:color w:val="000000" w:themeColor="text1"/>
          <w:sz w:val="24"/>
          <w:szCs w:val="24"/>
          <w:vertAlign w:val="superscript"/>
        </w:rPr>
        <w:fldChar w:fldCharType="begin" w:fldLock="1"/>
      </w:r>
      <w:r w:rsidR="005D23CA" w:rsidRPr="00A43421">
        <w:rPr>
          <w:rFonts w:ascii="Times New Roman" w:hAnsi="Times New Roman" w:cs="Times New Roman"/>
          <w:color w:val="000000" w:themeColor="text1"/>
          <w:sz w:val="24"/>
          <w:szCs w:val="24"/>
          <w:vertAlign w:val="superscript"/>
        </w:rPr>
        <w:instrText>ADDIN CSL_CITATION { "citationItems" : [ { "id" : "ITEM-1", "itemData" : { "DOI" : "10.1146/annurev.nutr.19.1.41", "ISBN" : "0199-9885 (Print)\\r0199-9885 (Linking)", "ISSN" : "0199-9885", "PMID" : "10448516", "abstract" : "Using a developmental systems perspective, this review focuses on how genetic predispositions interact with aspects of the eating environment to produce phenotypic food preferences. Predispositions include the unlearned, reflexive reactions to basic tastes: the preference for sweet and salty tastes, and the rejection of sour and bitter tastes. Other predispositions are (a) the neophobic reaction to new foods and (b) the ability to learn food preferences based on associations with the contexts and consequences of eating various foods. Whether genetic predispositions are manifested in food preferences that foster healthy diets depends on the eating environment, including food availability and child-feeding practices of the adults. Unfortunately, in the United States today, the ready availability of energy-dense foods, high in sugar, fat, and salt, provides an eating environment that fosters food preferences inconsistent with dietary guidelines, which can promote excess weight gain and obesity.", "author" : [ { "dropping-particle" : "", "family" : "Birch", "given" : "L L", "non-dropping-particle" : "", "parse-names" : false, "suffix" : "" } ], "container-title" : "Annual review of nutrition", "id" : "ITEM-1", "issued" : { "date-parts" : [ [ "1999" ] ] }, "page" : "41-62", "title" : "Development of food preferences.", "type" : "article-journal", "volume" : "19" }, "uris" : [ "http://www.mendeley.com/documents/?uuid=319f5488-fa73-4326-9670-3c04497e7e7c" ] } ], "mendeley" : { "formattedCitation" : "(11)", "plainTextFormattedCitation" : "(11)", "previouslyFormattedCitation" : "(11)" }, "properties" : { "noteIndex" : 0 }, "schema" : "https://github.com/citation-style-language/schema/raw/master/csl-citation.json" }</w:instrText>
      </w:r>
      <w:r w:rsidR="00023EEC" w:rsidRPr="00A43421">
        <w:rPr>
          <w:rFonts w:ascii="Times New Roman" w:hAnsi="Times New Roman" w:cs="Times New Roman"/>
          <w:color w:val="000000" w:themeColor="text1"/>
          <w:sz w:val="24"/>
          <w:szCs w:val="24"/>
          <w:vertAlign w:val="superscript"/>
        </w:rPr>
        <w:fldChar w:fldCharType="separate"/>
      </w:r>
      <w:r w:rsidR="0082405F" w:rsidRPr="00A43421">
        <w:rPr>
          <w:rFonts w:ascii="Times New Roman" w:hAnsi="Times New Roman" w:cs="Times New Roman"/>
          <w:noProof/>
          <w:color w:val="000000" w:themeColor="text1"/>
          <w:sz w:val="24"/>
          <w:szCs w:val="24"/>
          <w:vertAlign w:val="superscript"/>
        </w:rPr>
        <w:t>(11)</w:t>
      </w:r>
      <w:r w:rsidR="00023EEC" w:rsidRPr="00A43421">
        <w:rPr>
          <w:rFonts w:ascii="Times New Roman" w:hAnsi="Times New Roman" w:cs="Times New Roman"/>
          <w:color w:val="000000" w:themeColor="text1"/>
          <w:sz w:val="24"/>
          <w:szCs w:val="24"/>
          <w:vertAlign w:val="superscript"/>
        </w:rPr>
        <w:fldChar w:fldCharType="end"/>
      </w:r>
      <w:r w:rsidR="005329FD" w:rsidRPr="00A43421">
        <w:rPr>
          <w:rFonts w:ascii="Times New Roman" w:hAnsi="Times New Roman" w:cs="Times New Roman"/>
          <w:color w:val="000000" w:themeColor="text1"/>
          <w:sz w:val="24"/>
          <w:szCs w:val="24"/>
        </w:rPr>
        <w:t xml:space="preserve">. A systematic review </w:t>
      </w:r>
      <w:r w:rsidR="0044307F" w:rsidRPr="00A43421">
        <w:rPr>
          <w:rFonts w:ascii="Times New Roman" w:hAnsi="Times New Roman" w:cs="Times New Roman"/>
          <w:color w:val="000000" w:themeColor="text1"/>
          <w:sz w:val="24"/>
          <w:szCs w:val="24"/>
        </w:rPr>
        <w:t>assessing</w:t>
      </w:r>
      <w:r w:rsidR="005329FD" w:rsidRPr="00A43421">
        <w:rPr>
          <w:rFonts w:ascii="Times New Roman" w:hAnsi="Times New Roman" w:cs="Times New Roman"/>
          <w:color w:val="000000" w:themeColor="text1"/>
          <w:sz w:val="24"/>
          <w:szCs w:val="24"/>
        </w:rPr>
        <w:t xml:space="preserve"> the effect of infant taste experiences on later acceptance concluded there is a clear programming effect for bitter but studies on sweet and salty were equivocal</w:t>
      </w:r>
      <w:r w:rsidR="00023EEC" w:rsidRPr="00A43421">
        <w:rPr>
          <w:rFonts w:ascii="Times New Roman" w:hAnsi="Times New Roman" w:cs="Times New Roman"/>
          <w:color w:val="000000" w:themeColor="text1"/>
          <w:sz w:val="24"/>
          <w:szCs w:val="24"/>
          <w:vertAlign w:val="superscript"/>
        </w:rPr>
        <w:fldChar w:fldCharType="begin" w:fldLock="1"/>
      </w:r>
      <w:r w:rsidR="005D23CA" w:rsidRPr="00A43421">
        <w:rPr>
          <w:rFonts w:ascii="Times New Roman" w:hAnsi="Times New Roman" w:cs="Times New Roman"/>
          <w:color w:val="000000" w:themeColor="text1"/>
          <w:sz w:val="24"/>
          <w:szCs w:val="24"/>
          <w:vertAlign w:val="superscript"/>
        </w:rPr>
        <w:instrText>ADDIN CSL_CITATION { "citationItems" : [ { "id" : "ITEM-1", "itemData" : { "author" : [ { "dropping-particle" : "", "family" : "Nehring", "given" : "I", "non-dropping-particle" : "", "parse-names" : false, "suffix" : "" }, { "dropping-particle" : "", "family" : "Kostka", "given" : "T", "non-dropping-particle" : "", "parse-names" : false, "suffix" : "" }, { "dropping-particle" : "", "family" : "Kries", "given" : "R", "non-dropping-particle" : "von", "parse-names" : false, "suffix" : "" }, { "dropping-particle" : "", "family" : "Rehfuess", "given" : "EA", "non-dropping-particle" : "", "parse-names" : false, "suffix" : "" } ], "container-title" : "Journal of Nutrition", "id" : "ITEM-1", "issue" : "6", "issued" : { "date-parts" : [ [ "2015" ] ] }, "page" : "1271-9", "title" : "Impacts of In Utero and Early Infant Taste Experiences on Later Taste Acceptance: A Systematic Review", "type" : "article-journal", "volume" : "145" }, "uris" : [ "http://www.mendeley.com/documents/?uuid=ec73ec94-d953-4779-a0e1-e455d3dc8cd1" ] } ], "mendeley" : { "formattedCitation" : "(12)", "plainTextFormattedCitation" : "(12)", "previouslyFormattedCitation" : "(12)" }, "properties" : { "noteIndex" : 0 }, "schema" : "https://github.com/citation-style-language/schema/raw/master/csl-citation.json" }</w:instrText>
      </w:r>
      <w:r w:rsidR="00023EEC" w:rsidRPr="00A43421">
        <w:rPr>
          <w:rFonts w:ascii="Times New Roman" w:hAnsi="Times New Roman" w:cs="Times New Roman"/>
          <w:color w:val="000000" w:themeColor="text1"/>
          <w:sz w:val="24"/>
          <w:szCs w:val="24"/>
          <w:vertAlign w:val="superscript"/>
        </w:rPr>
        <w:fldChar w:fldCharType="separate"/>
      </w:r>
      <w:r w:rsidR="0082405F" w:rsidRPr="00A43421">
        <w:rPr>
          <w:rFonts w:ascii="Times New Roman" w:hAnsi="Times New Roman" w:cs="Times New Roman"/>
          <w:noProof/>
          <w:color w:val="000000" w:themeColor="text1"/>
          <w:sz w:val="24"/>
          <w:szCs w:val="24"/>
          <w:vertAlign w:val="superscript"/>
        </w:rPr>
        <w:t>(12)</w:t>
      </w:r>
      <w:r w:rsidR="00023EEC" w:rsidRPr="00A43421">
        <w:rPr>
          <w:rFonts w:ascii="Times New Roman" w:hAnsi="Times New Roman" w:cs="Times New Roman"/>
          <w:color w:val="000000" w:themeColor="text1"/>
          <w:sz w:val="24"/>
          <w:szCs w:val="24"/>
          <w:vertAlign w:val="superscript"/>
        </w:rPr>
        <w:fldChar w:fldCharType="end"/>
      </w:r>
      <w:r w:rsidR="005329FD" w:rsidRPr="00A43421">
        <w:rPr>
          <w:rFonts w:ascii="Times New Roman" w:hAnsi="Times New Roman" w:cs="Times New Roman"/>
          <w:color w:val="000000" w:themeColor="text1"/>
          <w:sz w:val="24"/>
          <w:szCs w:val="24"/>
        </w:rPr>
        <w:t xml:space="preserve">. </w:t>
      </w:r>
      <w:r w:rsidR="00BE67B4" w:rsidRPr="00A43421">
        <w:rPr>
          <w:rFonts w:ascii="Times New Roman" w:hAnsi="Times New Roman" w:cs="Times New Roman"/>
          <w:color w:val="000000" w:themeColor="text1"/>
          <w:sz w:val="24"/>
          <w:szCs w:val="24"/>
        </w:rPr>
        <w:t>T</w:t>
      </w:r>
      <w:r w:rsidR="005329FD" w:rsidRPr="00A43421">
        <w:rPr>
          <w:rFonts w:ascii="Times New Roman" w:hAnsi="Times New Roman" w:cs="Times New Roman"/>
          <w:color w:val="000000" w:themeColor="text1"/>
          <w:sz w:val="24"/>
          <w:szCs w:val="24"/>
        </w:rPr>
        <w:t xml:space="preserve">he altered taste of substitute formula </w:t>
      </w:r>
      <w:r w:rsidR="0044307F" w:rsidRPr="00A43421">
        <w:rPr>
          <w:rFonts w:ascii="Times New Roman" w:hAnsi="Times New Roman" w:cs="Times New Roman"/>
          <w:color w:val="000000" w:themeColor="text1"/>
          <w:sz w:val="24"/>
          <w:szCs w:val="24"/>
        </w:rPr>
        <w:t>used in CMA have</w:t>
      </w:r>
      <w:r w:rsidR="005329FD" w:rsidRPr="00A43421">
        <w:rPr>
          <w:rFonts w:ascii="Times New Roman" w:hAnsi="Times New Roman" w:cs="Times New Roman"/>
          <w:color w:val="000000" w:themeColor="text1"/>
          <w:sz w:val="24"/>
          <w:szCs w:val="24"/>
        </w:rPr>
        <w:t xml:space="preserve"> been shown to affect preference for savoury, s</w:t>
      </w:r>
      <w:r w:rsidR="00FA2BBA" w:rsidRPr="00A43421">
        <w:rPr>
          <w:rFonts w:ascii="Times New Roman" w:hAnsi="Times New Roman" w:cs="Times New Roman"/>
          <w:color w:val="000000" w:themeColor="text1"/>
          <w:sz w:val="24"/>
          <w:szCs w:val="24"/>
        </w:rPr>
        <w:t>our and bitter foods in infancy</w:t>
      </w:r>
      <w:r w:rsidR="00023EEC" w:rsidRPr="00A43421">
        <w:rPr>
          <w:rFonts w:ascii="Times New Roman" w:hAnsi="Times New Roman" w:cs="Times New Roman"/>
          <w:color w:val="000000" w:themeColor="text1"/>
          <w:sz w:val="24"/>
          <w:szCs w:val="24"/>
          <w:vertAlign w:val="superscript"/>
        </w:rPr>
        <w:fldChar w:fldCharType="begin" w:fldLock="1"/>
      </w:r>
      <w:r w:rsidR="005D23CA" w:rsidRPr="00A43421">
        <w:rPr>
          <w:rFonts w:ascii="Times New Roman" w:hAnsi="Times New Roman" w:cs="Times New Roman"/>
          <w:color w:val="000000" w:themeColor="text1"/>
          <w:sz w:val="24"/>
          <w:szCs w:val="24"/>
          <w:vertAlign w:val="superscript"/>
        </w:rPr>
        <w:instrText>ADDIN CSL_CITATION { "citationItems" : [ { "id" : "ITEM-1", "itemData" : { "DOI" : "10.1093/chemse/bjh204", "ISBN" : "0379-864X", "ISSN" : "0379864X", "PMID" : "15738136", "author" : [ { "dropping-particle" : "", "family" : "Mennella", "given" : "Julie a.", "non-dropping-particle" : "", "parse-names" : false, "suffix" : "" }, { "dropping-particle" : "", "family" : "Beauchamp", "given" : "Gary K.", "non-dropping-particle" : "", "parse-names" : false, "suffix" : "" } ], "container-title" : "Chemical Senses", "id" : "ITEM-1", "issue" : "suppl 1", "issued" : { "date-parts" : [ [ "2005" ] ] }, "page" : "242-243", "title" : "Understanding the origin of flavor preferences", "type" : "article-journal", "volume" : "30 SUPPL. " }, "uris" : [ "http://www.mendeley.com/documents/?uuid=af79b5c6-0c96-4899-859e-0c64feaeacba" ] } ], "mendeley" : { "formattedCitation" : "(13)", "plainTextFormattedCitation" : "(13)", "previouslyFormattedCitation" : "(13)" }, "properties" : { "noteIndex" : 0 }, "schema" : "https://github.com/citation-style-language/schema/raw/master/csl-citation.json" }</w:instrText>
      </w:r>
      <w:r w:rsidR="00023EEC" w:rsidRPr="00A43421">
        <w:rPr>
          <w:rFonts w:ascii="Times New Roman" w:hAnsi="Times New Roman" w:cs="Times New Roman"/>
          <w:color w:val="000000" w:themeColor="text1"/>
          <w:sz w:val="24"/>
          <w:szCs w:val="24"/>
          <w:vertAlign w:val="superscript"/>
        </w:rPr>
        <w:fldChar w:fldCharType="separate"/>
      </w:r>
      <w:r w:rsidR="0082405F" w:rsidRPr="00A43421">
        <w:rPr>
          <w:rFonts w:ascii="Times New Roman" w:hAnsi="Times New Roman" w:cs="Times New Roman"/>
          <w:noProof/>
          <w:color w:val="000000" w:themeColor="text1"/>
          <w:sz w:val="24"/>
          <w:szCs w:val="24"/>
          <w:vertAlign w:val="superscript"/>
        </w:rPr>
        <w:t>(13)</w:t>
      </w:r>
      <w:r w:rsidR="00023EEC" w:rsidRPr="00A43421">
        <w:rPr>
          <w:rFonts w:ascii="Times New Roman" w:hAnsi="Times New Roman" w:cs="Times New Roman"/>
          <w:color w:val="000000" w:themeColor="text1"/>
          <w:sz w:val="24"/>
          <w:szCs w:val="24"/>
          <w:vertAlign w:val="superscript"/>
        </w:rPr>
        <w:fldChar w:fldCharType="end"/>
      </w:r>
      <w:r w:rsidR="005329FD" w:rsidRPr="00A43421">
        <w:rPr>
          <w:rFonts w:ascii="Times New Roman" w:hAnsi="Times New Roman" w:cs="Times New Roman"/>
          <w:color w:val="000000" w:themeColor="text1"/>
          <w:sz w:val="24"/>
          <w:szCs w:val="24"/>
        </w:rPr>
        <w:t xml:space="preserve"> and up</w:t>
      </w:r>
      <w:r w:rsidR="00FA2BBA" w:rsidRPr="00A43421">
        <w:rPr>
          <w:rFonts w:ascii="Times New Roman" w:hAnsi="Times New Roman" w:cs="Times New Roman"/>
          <w:color w:val="000000" w:themeColor="text1"/>
          <w:sz w:val="24"/>
          <w:szCs w:val="24"/>
        </w:rPr>
        <w:t xml:space="preserve"> to the age of 4-5 years of age</w:t>
      </w:r>
      <w:r w:rsidR="00023EEC" w:rsidRPr="00A43421">
        <w:rPr>
          <w:rFonts w:ascii="Times New Roman" w:hAnsi="Times New Roman" w:cs="Times New Roman"/>
          <w:color w:val="000000" w:themeColor="text1"/>
          <w:sz w:val="24"/>
          <w:szCs w:val="24"/>
          <w:vertAlign w:val="superscript"/>
        </w:rPr>
        <w:fldChar w:fldCharType="begin" w:fldLock="1"/>
      </w:r>
      <w:r w:rsidR="005D23CA" w:rsidRPr="00A43421">
        <w:rPr>
          <w:rFonts w:ascii="Times New Roman" w:hAnsi="Times New Roman" w:cs="Times New Roman"/>
          <w:color w:val="000000" w:themeColor="text1"/>
          <w:sz w:val="24"/>
          <w:szCs w:val="24"/>
          <w:vertAlign w:val="superscript"/>
        </w:rPr>
        <w:instrText>ADDIN CSL_CITATION { "citationItems" : [ { "id" : "ITEM-1", "itemData" : { "DOI" : "10.1002/dev.10067", "ISBN" : "0012-1630 (Print)\\r0012-1630 (Linking)", "ISSN" : "00121630", "PMID" : "12430162", "abstract" : "We investigated the effects of early experience on sweet and sour preferences in children. Eighty-three children were divided into four groups based on the type of formula fed during infancy and age. By using a forced-choice, sip-and-swallow procedure, we determined the level of sweetness and sourness preferred in juice. Children who were fed protein hydrolysate formulas, which have a distinctive sour and bitter taste and unpleasant odor, preferred higher levels of citric acid in juice when compared to older children who were fed similar formulas. No such difference was observed between the groups for sweet preference. However, the level of sweetness preferred in juice was related to the sugar content of the child's favorite cereal and whether the mother routinely added sugar to their foods. These data illustrate the wide variety of experiential factors that can influence flavor preferences during childhood.", "author" : [ { "dropping-particle" : "", "family" : "Liem", "given" : "Djin Gie", "non-dropping-particle" : "", "parse-names" : false, "suffix" : "" }, { "dropping-particle" : "", "family" : "Mennella", "given" : "Julie A.", "non-dropping-particle" : "", "parse-names" : false, "suffix" : "" } ], "container-title" : "Developmental Psychobiology", "id" : "ITEM-1", "issue" : "4", "issued" : { "date-parts" : [ [ "2002" ] ] }, "page" : "388-395", "title" : "Sweet and sour preferences during childhood: Role of early experiences", "type" : "article-journal", "volume" : "41" }, "uris" : [ "http://www.mendeley.com/documents/?uuid=2b36b28e-b175-44d0-85a6-142994829dd2" ] } ], "mendeley" : { "formattedCitation" : "(14)", "plainTextFormattedCitation" : "(14)", "previouslyFormattedCitation" : "(14)" }, "properties" : { "noteIndex" : 0 }, "schema" : "https://github.com/citation-style-language/schema/raw/master/csl-citation.json" }</w:instrText>
      </w:r>
      <w:r w:rsidR="00023EEC" w:rsidRPr="00A43421">
        <w:rPr>
          <w:rFonts w:ascii="Times New Roman" w:hAnsi="Times New Roman" w:cs="Times New Roman"/>
          <w:color w:val="000000" w:themeColor="text1"/>
          <w:sz w:val="24"/>
          <w:szCs w:val="24"/>
          <w:vertAlign w:val="superscript"/>
        </w:rPr>
        <w:fldChar w:fldCharType="separate"/>
      </w:r>
      <w:r w:rsidR="0082405F" w:rsidRPr="00A43421">
        <w:rPr>
          <w:rFonts w:ascii="Times New Roman" w:hAnsi="Times New Roman" w:cs="Times New Roman"/>
          <w:noProof/>
          <w:color w:val="000000" w:themeColor="text1"/>
          <w:sz w:val="24"/>
          <w:szCs w:val="24"/>
          <w:vertAlign w:val="superscript"/>
        </w:rPr>
        <w:t>(14)</w:t>
      </w:r>
      <w:r w:rsidR="00023EEC" w:rsidRPr="00A43421">
        <w:rPr>
          <w:rFonts w:ascii="Times New Roman" w:hAnsi="Times New Roman" w:cs="Times New Roman"/>
          <w:color w:val="000000" w:themeColor="text1"/>
          <w:sz w:val="24"/>
          <w:szCs w:val="24"/>
          <w:vertAlign w:val="superscript"/>
        </w:rPr>
        <w:fldChar w:fldCharType="end"/>
      </w:r>
      <w:r w:rsidR="00023EEC" w:rsidRPr="00A43421">
        <w:rPr>
          <w:rFonts w:ascii="Times New Roman" w:hAnsi="Times New Roman" w:cs="Times New Roman"/>
          <w:color w:val="000000" w:themeColor="text1"/>
          <w:sz w:val="24"/>
          <w:szCs w:val="24"/>
        </w:rPr>
        <w:t>. I</w:t>
      </w:r>
      <w:r w:rsidR="005329FD" w:rsidRPr="00A43421">
        <w:rPr>
          <w:rFonts w:ascii="Times New Roman" w:hAnsi="Times New Roman" w:cs="Times New Roman"/>
          <w:color w:val="000000" w:themeColor="text1"/>
          <w:sz w:val="24"/>
          <w:szCs w:val="24"/>
        </w:rPr>
        <w:t>t is said that the characteristic flavour of a formula i</w:t>
      </w:r>
      <w:r w:rsidR="00FA2BBA" w:rsidRPr="00A43421">
        <w:rPr>
          <w:rFonts w:ascii="Times New Roman" w:hAnsi="Times New Roman" w:cs="Times New Roman"/>
          <w:color w:val="000000" w:themeColor="text1"/>
          <w:sz w:val="24"/>
          <w:szCs w:val="24"/>
        </w:rPr>
        <w:t>s “imprinted” from an early age</w:t>
      </w:r>
      <w:r w:rsidR="005329FD" w:rsidRPr="00A43421">
        <w:rPr>
          <w:rFonts w:ascii="Times New Roman" w:hAnsi="Times New Roman" w:cs="Times New Roman"/>
          <w:color w:val="000000" w:themeColor="text1"/>
          <w:sz w:val="24"/>
          <w:szCs w:val="24"/>
          <w:vertAlign w:val="superscript"/>
        </w:rPr>
        <w:fldChar w:fldCharType="begin" w:fldLock="1"/>
      </w:r>
      <w:r w:rsidR="005D23CA" w:rsidRPr="00A43421">
        <w:rPr>
          <w:rFonts w:ascii="Times New Roman" w:hAnsi="Times New Roman" w:cs="Times New Roman"/>
          <w:color w:val="000000" w:themeColor="text1"/>
          <w:sz w:val="24"/>
          <w:szCs w:val="24"/>
          <w:vertAlign w:val="superscript"/>
        </w:rPr>
        <w:instrText>ADDIN CSL_CITATION { "citationItems" : [ { "id" : "ITEM-1", "itemData" : { "DOI" : "10.1007/PL00008351", "ISBN" : "0340-6199 (Print)\\n0340-6199 (Linking)", "ISSN" : "0340-6199", "PMID" : "11079199", "abstract" : "Low-phenylalanine formula for phenylketonuria (PKU) made from free amino acids as a protein source (AAM formula) has a poor taste and smell. We developed a more palatable formula using low-phenylalanine peptide (LPP) as a protein source. Palatability tests performed by 41 healthy adults confirmed that the palatability of LPP formula was significantly better than that of AAM formula. A group of 48 patients with PKU who had been administered AAM formula since the newborn period were assessed for their preference between the AAM and LPP formulae and their feeding behaviour was compared to that in healthy children. Of patients, 90.9% and 66.6% of healthy infants less than 18 months of age took both formulae without apparent preference, suggesting that sensitivity to taste and smell is more immature in infancy than in later life. Of patients with PKU aged between 18 months and 11 years, 29.1% liked AAM formula rather than the LPP formula, while 66.7% took both formulae without apparent preference. Most healthy children in the same age group who had never previously tasted therapeutic formulae disliked it, although they tended to prefer the LPP formula. Of patients aged between 11 and 17 years, 84.6% preferred the LPP formula while 15.4% preferred the AAM formula. In the controls of this age group, 33% disliked therapeutic formulae, but they tended to prefer the LPP formula. CONCLUSION: In some young children with phenylketonuria the characteristic taste of amino acid mixture formula encountered in early life is considered to be imprinted and remains as a preference for a long time. Since school children with phenylketonuria usually obtain about 50% of their energy intake from natural food containing small amounts of protein, these patients are considered to have come to have similar preferences as healthy people which result from a waning of the imprinted taste of amino acid mixture formula.", "author" : [ { "dropping-particle" : "", "family" : "Owada", "given" : "M", "non-dropping-particle" : "", "parse-names" : false, "suffix" : "" }, { "dropping-particle" : "", "family" : "Aoki", "given" : "K", "non-dropping-particle" : "", "parse-names" : false, "suffix" : "" }, { "dropping-particle" : "", "family" : "Kitagawa", "given" : "T", "non-dropping-particle" : "", "parse-names" : false, "suffix" : "" } ], "container-title" : "European journal of pediatrics", "id" : "ITEM-1", "issue" : "11", "issued" : { "date-parts" : [ [ "2000" ] ] }, "page" : "846-850", "title" : "Taste preferences and feeding behaviour in children with phenylketonuria on a semisynthetic diet.", "type" : "article-journal", "volume" : "159" }, "uris" : [ "http://www.mendeley.com/documents/?uuid=f26a932c-0de4-466e-9968-a696e6327b9b" ] } ], "mendeley" : { "formattedCitation" : "(15)", "plainTextFormattedCitation" : "(15)", "previouslyFormattedCitation" : "(15)" }, "properties" : { "noteIndex" : 0 }, "schema" : "https://github.com/citation-style-language/schema/raw/master/csl-citation.json" }</w:instrText>
      </w:r>
      <w:r w:rsidR="005329FD" w:rsidRPr="00A43421">
        <w:rPr>
          <w:rFonts w:ascii="Times New Roman" w:hAnsi="Times New Roman" w:cs="Times New Roman"/>
          <w:color w:val="000000" w:themeColor="text1"/>
          <w:sz w:val="24"/>
          <w:szCs w:val="24"/>
          <w:vertAlign w:val="superscript"/>
        </w:rPr>
        <w:fldChar w:fldCharType="separate"/>
      </w:r>
      <w:r w:rsidR="0082405F" w:rsidRPr="00A43421">
        <w:rPr>
          <w:rFonts w:ascii="Times New Roman" w:hAnsi="Times New Roman" w:cs="Times New Roman"/>
          <w:noProof/>
          <w:color w:val="000000" w:themeColor="text1"/>
          <w:sz w:val="24"/>
          <w:szCs w:val="24"/>
          <w:vertAlign w:val="superscript"/>
        </w:rPr>
        <w:t>(15)</w:t>
      </w:r>
      <w:r w:rsidR="005329FD" w:rsidRPr="00A43421">
        <w:rPr>
          <w:rFonts w:ascii="Times New Roman" w:hAnsi="Times New Roman" w:cs="Times New Roman"/>
          <w:color w:val="000000" w:themeColor="text1"/>
          <w:sz w:val="24"/>
          <w:szCs w:val="24"/>
          <w:vertAlign w:val="superscript"/>
        </w:rPr>
        <w:fldChar w:fldCharType="end"/>
      </w:r>
      <w:r w:rsidR="005329FD" w:rsidRPr="00A43421">
        <w:rPr>
          <w:rFonts w:ascii="Times New Roman" w:hAnsi="Times New Roman" w:cs="Times New Roman"/>
          <w:color w:val="000000" w:themeColor="text1"/>
          <w:sz w:val="24"/>
          <w:szCs w:val="24"/>
        </w:rPr>
        <w:t xml:space="preserve">. </w:t>
      </w:r>
      <w:r w:rsidR="00023EEC" w:rsidRPr="00A43421">
        <w:rPr>
          <w:rFonts w:ascii="Times New Roman" w:eastAsia="Times New Roman" w:hAnsi="Times New Roman" w:cs="Times New Roman"/>
          <w:color w:val="000000" w:themeColor="text1"/>
          <w:sz w:val="24"/>
          <w:szCs w:val="24"/>
        </w:rPr>
        <w:t xml:space="preserve">However, </w:t>
      </w:r>
      <w:r w:rsidR="00185688" w:rsidRPr="00A43421">
        <w:rPr>
          <w:rFonts w:ascii="Times New Roman" w:eastAsia="Times New Roman" w:hAnsi="Times New Roman" w:cs="Times New Roman"/>
          <w:color w:val="000000" w:themeColor="text1"/>
          <w:sz w:val="24"/>
          <w:szCs w:val="24"/>
        </w:rPr>
        <w:t xml:space="preserve">in other conditions that use substitute formula from </w:t>
      </w:r>
      <w:r w:rsidR="000677FD" w:rsidRPr="00A43421">
        <w:rPr>
          <w:rFonts w:ascii="Times New Roman" w:eastAsia="Times New Roman" w:hAnsi="Times New Roman" w:cs="Times New Roman"/>
          <w:color w:val="000000" w:themeColor="text1"/>
          <w:sz w:val="24"/>
          <w:szCs w:val="24"/>
        </w:rPr>
        <w:t>infancy</w:t>
      </w:r>
      <w:r w:rsidR="00185688" w:rsidRPr="00A43421">
        <w:rPr>
          <w:rFonts w:ascii="Times New Roman" w:eastAsia="Times New Roman" w:hAnsi="Times New Roman" w:cs="Times New Roman"/>
          <w:color w:val="000000" w:themeColor="text1"/>
          <w:sz w:val="24"/>
          <w:szCs w:val="24"/>
        </w:rPr>
        <w:t xml:space="preserve">, such as phenylketonuria (PKU), </w:t>
      </w:r>
      <w:r w:rsidR="00023EEC" w:rsidRPr="00A43421">
        <w:rPr>
          <w:rFonts w:ascii="Times New Roman" w:eastAsia="Times New Roman" w:hAnsi="Times New Roman" w:cs="Times New Roman"/>
          <w:color w:val="000000" w:themeColor="text1"/>
          <w:sz w:val="24"/>
          <w:szCs w:val="24"/>
        </w:rPr>
        <w:t>t</w:t>
      </w:r>
      <w:r w:rsidR="005329FD" w:rsidRPr="00A43421">
        <w:rPr>
          <w:rFonts w:ascii="Times New Roman" w:eastAsia="Times New Roman" w:hAnsi="Times New Roman" w:cs="Times New Roman"/>
          <w:color w:val="000000" w:themeColor="text1"/>
          <w:sz w:val="24"/>
          <w:szCs w:val="24"/>
        </w:rPr>
        <w:t>h</w:t>
      </w:r>
      <w:r w:rsidR="00023EEC" w:rsidRPr="00A43421">
        <w:rPr>
          <w:rFonts w:ascii="Times New Roman" w:eastAsia="Times New Roman" w:hAnsi="Times New Roman" w:cs="Times New Roman"/>
          <w:color w:val="000000" w:themeColor="text1"/>
          <w:sz w:val="24"/>
          <w:szCs w:val="24"/>
        </w:rPr>
        <w:t xml:space="preserve">ere has been disagreement </w:t>
      </w:r>
      <w:r w:rsidR="00023EEC" w:rsidRPr="00A43421">
        <w:rPr>
          <w:rFonts w:ascii="Times New Roman" w:eastAsia="Times New Roman" w:hAnsi="Times New Roman" w:cs="Times New Roman"/>
          <w:color w:val="000000" w:themeColor="text1"/>
          <w:sz w:val="24"/>
          <w:szCs w:val="24"/>
          <w:vertAlign w:val="superscript"/>
        </w:rPr>
        <w:fldChar w:fldCharType="begin" w:fldLock="1"/>
      </w:r>
      <w:r w:rsidR="005D23CA" w:rsidRPr="00A43421">
        <w:rPr>
          <w:rFonts w:ascii="Times New Roman" w:eastAsia="Times New Roman" w:hAnsi="Times New Roman" w:cs="Times New Roman"/>
          <w:color w:val="000000" w:themeColor="text1"/>
          <w:sz w:val="24"/>
          <w:szCs w:val="24"/>
          <w:vertAlign w:val="superscript"/>
        </w:rPr>
        <w:instrText>ADDIN CSL_CITATION { "citationItems" : [ { "id" : "ITEM-1", "itemData" : { "DOI" : "10.1007/PL00008351", "ISBN" : "0340-6199 (Print)\\n0340-6199 (Linking)", "ISSN" : "0340-6199", "PMID" : "11079199", "abstract" : "Low-phenylalanine formula for phenylketonuria (PKU) made from free amino acids as a protein source (AAM formula) has a poor taste and smell. We developed a more palatable formula using low-phenylalanine peptide (LPP) as a protein source. Palatability tests performed by 41 healthy adults confirmed that the palatability of LPP formula was significantly better than that of AAM formula. A group of 48 patients with PKU who had been administered AAM formula since the newborn period were assessed for their preference between the AAM and LPP formulae and their feeding behaviour was compared to that in healthy children. Of patients, 90.9% and 66.6% of healthy infants less than 18 months of age took both formulae without apparent preference, suggesting that sensitivity to taste and smell is more immature in infancy than in later life. Of patients with PKU aged between 18 months and 11 years, 29.1% liked AAM formula rather than the LPP formula, while 66.7% took both formulae without apparent preference. Most healthy children in the same age group who had never previously tasted therapeutic formulae disliked it, although they tended to prefer the LPP formula. Of patients aged between 11 and 17 years, 84.6% preferred the LPP formula while 15.4% preferred the AAM formula. In the controls of this age group, 33% disliked therapeutic formulae, but they tended to prefer the LPP formula. CONCLUSION: In some young children with phenylketonuria the characteristic taste of amino acid mixture formula encountered in early life is considered to be imprinted and remains as a preference for a long time. Since school children with phenylketonuria usually obtain about 50% of their energy intake from natural food containing small amounts of protein, these patients are considered to have come to have similar preferences as healthy people which result from a waning of the imprinted taste of amino acid mixture formula.", "author" : [ { "dropping-particle" : "", "family" : "Owada", "given" : "M", "non-dropping-particle" : "", "parse-names" : false, "suffix" : "" }, { "dropping-particle" : "", "family" : "Aoki", "given" : "K", "non-dropping-particle" : "", "parse-names" : false, "suffix" : "" }, { "dropping-particle" : "", "family" : "Kitagawa", "given" : "T", "non-dropping-particle" : "", "parse-names" : false, "suffix" : "" } ], "container-title" : "European journal of pediatrics", "id" : "ITEM-1", "issue" : "11", "issued" : { "date-parts" : [ [ "2000" ] ] }, "page" : "846-850", "title" : "Taste preferences and feeding behaviour in children with phenylketonuria on a semisynthetic diet.", "type" : "article-journal", "volume" : "159" }, "uris" : [ "http://www.mendeley.com/documents/?uuid=f26a932c-0de4-466e-9968-a696e6327b9b" ] }, { "id" : "ITEM-2", "itemData" : { "DOI" : "10.1111/jhn.12346", "ISSN" : "1365277X", "author" : [ { "dropping-particle" : "", "family" : "Evans", "given" : "S.", "non-dropping-particle" : "", "parse-names" : false, "suffix" : "" }, { "dropping-particle" : "", "family" : "Daly", "given" : "A.", "non-dropping-particle" : "", "parse-names" : false, "suffix" : "" }, { "dropping-particle" : "", "family" : "Chahal", "given" : "S.", "non-dropping-particle" : "", "parse-names" : false, "suffix" : "" }, { "dropping-particle" : "", "family" : "Macdonald", "given" : "J.", "non-dropping-particle" : "", "parse-names" : false, "suffix" : "" }, { "dropping-particle" : "", "family" : "Macdonald", "given" : "A.", "non-dropping-particle" : "", "parse-names" : false, "suffix" : "" } ], "container-title" : "Journal of Human Nutrition and Dietetics", "id" : "ITEM-2", "issue" : "1", "issued" : { "date-parts" : [ [ "2015" ] ] }, "page" : "1-7", "title" : "Food acceptance and neophobia in children with phenylketonuria: A prospective controlled study", "type" : "article-journal" }, "uris" : [ "http://www.mendeley.com/documents/?uuid=83a87a0a-a4d8-4b77-b1b6-f9847fb488b9" ] } ], "mendeley" : { "formattedCitation" : "(15,16)", "plainTextFormattedCitation" : "(15,16)", "previouslyFormattedCitation" : "(15,16)" }, "properties" : { "noteIndex" : 0 }, "schema" : "https://github.com/citation-style-language/schema/raw/master/csl-citation.json" }</w:instrText>
      </w:r>
      <w:r w:rsidR="00023EEC" w:rsidRPr="00A43421">
        <w:rPr>
          <w:rFonts w:ascii="Times New Roman" w:eastAsia="Times New Roman" w:hAnsi="Times New Roman" w:cs="Times New Roman"/>
          <w:color w:val="000000" w:themeColor="text1"/>
          <w:sz w:val="24"/>
          <w:szCs w:val="24"/>
          <w:vertAlign w:val="superscript"/>
        </w:rPr>
        <w:fldChar w:fldCharType="separate"/>
      </w:r>
      <w:r w:rsidR="0082405F" w:rsidRPr="00A43421">
        <w:rPr>
          <w:rFonts w:ascii="Times New Roman" w:eastAsia="Times New Roman" w:hAnsi="Times New Roman" w:cs="Times New Roman"/>
          <w:noProof/>
          <w:color w:val="000000" w:themeColor="text1"/>
          <w:sz w:val="24"/>
          <w:szCs w:val="24"/>
          <w:vertAlign w:val="superscript"/>
        </w:rPr>
        <w:t>(15,16)</w:t>
      </w:r>
      <w:r w:rsidR="00023EEC" w:rsidRPr="00A43421">
        <w:rPr>
          <w:rFonts w:ascii="Times New Roman" w:eastAsia="Times New Roman" w:hAnsi="Times New Roman" w:cs="Times New Roman"/>
          <w:color w:val="000000" w:themeColor="text1"/>
          <w:sz w:val="24"/>
          <w:szCs w:val="24"/>
          <w:vertAlign w:val="superscript"/>
        </w:rPr>
        <w:fldChar w:fldCharType="end"/>
      </w:r>
      <w:r w:rsidR="00023EEC" w:rsidRPr="00A43421">
        <w:rPr>
          <w:rFonts w:ascii="Times New Roman" w:eastAsia="Times New Roman" w:hAnsi="Times New Roman" w:cs="Times New Roman"/>
          <w:color w:val="000000" w:themeColor="text1"/>
          <w:sz w:val="24"/>
          <w:szCs w:val="24"/>
        </w:rPr>
        <w:t>.</w:t>
      </w:r>
    </w:p>
    <w:p w14:paraId="5DAFD4EA" w14:textId="57D7E189" w:rsidR="00872639" w:rsidRPr="00A43421" w:rsidRDefault="00BE67B4" w:rsidP="00011B58">
      <w:pPr>
        <w:spacing w:line="360" w:lineRule="auto"/>
        <w:ind w:firstLine="720"/>
        <w:jc w:val="both"/>
        <w:rPr>
          <w:rFonts w:ascii="Times New Roman" w:eastAsia="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 xml:space="preserve">In addition to </w:t>
      </w:r>
      <w:r w:rsidR="00AE30F8" w:rsidRPr="00A43421">
        <w:rPr>
          <w:rFonts w:ascii="Times New Roman" w:hAnsi="Times New Roman" w:cs="Times New Roman"/>
          <w:color w:val="000000" w:themeColor="text1"/>
          <w:sz w:val="24"/>
          <w:szCs w:val="24"/>
        </w:rPr>
        <w:t xml:space="preserve">theoretical </w:t>
      </w:r>
      <w:r w:rsidRPr="00A43421">
        <w:rPr>
          <w:rFonts w:ascii="Times New Roman" w:hAnsi="Times New Roman" w:cs="Times New Roman"/>
          <w:color w:val="000000" w:themeColor="text1"/>
          <w:sz w:val="24"/>
          <w:szCs w:val="24"/>
        </w:rPr>
        <w:t>changes to taste preferences</w:t>
      </w:r>
      <w:r w:rsidR="00D60DF3" w:rsidRPr="00A43421">
        <w:rPr>
          <w:rFonts w:ascii="Times New Roman" w:hAnsi="Times New Roman" w:cs="Times New Roman"/>
          <w:color w:val="000000" w:themeColor="text1"/>
          <w:sz w:val="24"/>
          <w:szCs w:val="24"/>
        </w:rPr>
        <w:t xml:space="preserve"> caused by substitute formula</w:t>
      </w:r>
      <w:r w:rsidRPr="00A43421">
        <w:rPr>
          <w:rFonts w:ascii="Times New Roman" w:hAnsi="Times New Roman" w:cs="Times New Roman"/>
          <w:color w:val="000000" w:themeColor="text1"/>
          <w:sz w:val="24"/>
          <w:szCs w:val="24"/>
        </w:rPr>
        <w:t>, the dietary e</w:t>
      </w:r>
      <w:r w:rsidR="00D60DF3" w:rsidRPr="00A43421">
        <w:rPr>
          <w:rFonts w:ascii="Times New Roman" w:hAnsi="Times New Roman" w:cs="Times New Roman"/>
          <w:color w:val="000000" w:themeColor="text1"/>
          <w:sz w:val="24"/>
          <w:szCs w:val="24"/>
        </w:rPr>
        <w:t>x</w:t>
      </w:r>
      <w:r w:rsidRPr="00A43421">
        <w:rPr>
          <w:rFonts w:ascii="Times New Roman" w:hAnsi="Times New Roman" w:cs="Times New Roman"/>
          <w:color w:val="000000" w:themeColor="text1"/>
          <w:sz w:val="24"/>
          <w:szCs w:val="24"/>
        </w:rPr>
        <w:t>clusion of foods or food groups</w:t>
      </w:r>
      <w:r w:rsidR="00D60DF3" w:rsidRPr="00A43421">
        <w:rPr>
          <w:rFonts w:ascii="Times New Roman" w:hAnsi="Times New Roman" w:cs="Times New Roman"/>
          <w:color w:val="000000" w:themeColor="text1"/>
          <w:sz w:val="24"/>
          <w:szCs w:val="24"/>
        </w:rPr>
        <w:t xml:space="preserve"> in early life</w:t>
      </w:r>
      <w:r w:rsidRPr="00A43421">
        <w:rPr>
          <w:rFonts w:ascii="Times New Roman" w:hAnsi="Times New Roman" w:cs="Times New Roman"/>
          <w:color w:val="000000" w:themeColor="text1"/>
          <w:sz w:val="24"/>
          <w:szCs w:val="24"/>
        </w:rPr>
        <w:t xml:space="preserve">, in </w:t>
      </w:r>
      <w:r w:rsidR="00D60DF3" w:rsidRPr="00A43421">
        <w:rPr>
          <w:rFonts w:ascii="Times New Roman" w:hAnsi="Times New Roman" w:cs="Times New Roman"/>
          <w:color w:val="000000" w:themeColor="text1"/>
          <w:sz w:val="24"/>
          <w:szCs w:val="24"/>
        </w:rPr>
        <w:t>combination with</w:t>
      </w:r>
      <w:r w:rsidRPr="00A43421">
        <w:rPr>
          <w:rFonts w:ascii="Times New Roman" w:hAnsi="Times New Roman" w:cs="Times New Roman"/>
          <w:color w:val="000000" w:themeColor="text1"/>
          <w:sz w:val="24"/>
          <w:szCs w:val="24"/>
        </w:rPr>
        <w:t xml:space="preserve"> adverse symptoms can </w:t>
      </w:r>
      <w:r w:rsidR="000677FD" w:rsidRPr="00A43421">
        <w:rPr>
          <w:rFonts w:ascii="Times New Roman" w:hAnsi="Times New Roman" w:cs="Times New Roman"/>
          <w:color w:val="000000" w:themeColor="text1"/>
          <w:sz w:val="24"/>
          <w:szCs w:val="24"/>
        </w:rPr>
        <w:t>cause</w:t>
      </w:r>
      <w:r w:rsidRPr="00A43421">
        <w:rPr>
          <w:rFonts w:ascii="Times New Roman" w:hAnsi="Times New Roman" w:cs="Times New Roman"/>
          <w:color w:val="000000" w:themeColor="text1"/>
          <w:sz w:val="24"/>
          <w:szCs w:val="24"/>
        </w:rPr>
        <w:t xml:space="preserve"> changes in food behaviour and </w:t>
      </w:r>
      <w:r w:rsidR="00D60DF3" w:rsidRPr="00A43421">
        <w:rPr>
          <w:rFonts w:ascii="Times New Roman" w:hAnsi="Times New Roman" w:cs="Times New Roman"/>
          <w:color w:val="000000" w:themeColor="text1"/>
          <w:sz w:val="24"/>
          <w:szCs w:val="24"/>
        </w:rPr>
        <w:t>preferences</w:t>
      </w:r>
      <w:r w:rsidR="00AE30F8" w:rsidRPr="00A43421">
        <w:rPr>
          <w:rFonts w:ascii="Times New Roman" w:hAnsi="Times New Roman" w:cs="Times New Roman"/>
          <w:color w:val="000000" w:themeColor="text1"/>
          <w:sz w:val="24"/>
          <w:szCs w:val="24"/>
        </w:rPr>
        <w:t xml:space="preserve"> </w:t>
      </w:r>
      <w:r w:rsidR="00AE30F8" w:rsidRPr="00A43421">
        <w:rPr>
          <w:rFonts w:ascii="Times New Roman" w:hAnsi="Times New Roman" w:cs="Times New Roman"/>
          <w:color w:val="000000" w:themeColor="text1"/>
          <w:sz w:val="24"/>
          <w:szCs w:val="24"/>
          <w:vertAlign w:val="superscript"/>
        </w:rPr>
        <w:fldChar w:fldCharType="begin" w:fldLock="1"/>
      </w:r>
      <w:r w:rsidR="005D23CA" w:rsidRPr="00A43421">
        <w:rPr>
          <w:rFonts w:ascii="Times New Roman" w:hAnsi="Times New Roman" w:cs="Times New Roman"/>
          <w:color w:val="000000" w:themeColor="text1"/>
          <w:sz w:val="24"/>
          <w:szCs w:val="24"/>
          <w:vertAlign w:val="superscript"/>
        </w:rPr>
        <w:instrText>ADDIN CSL_CITATION { "citationItems" : [ { "id" : "ITEM-1", "itemData" : { "author" : [ { "dropping-particle" : "", "family" : "Maslin", "given" : "Kate", "non-dropping-particle" : "", "parse-names" : false, "suffix" : "" }, { "dropping-particle" : "", "family" : "Jane", "given" : "Grundy", "non-dropping-particle" : "", "parse-names" : false, "suffix" : "" }, { "dropping-particle" : "", "family" : "Glasbey", "given" : "Gillian", "non-dropping-particle" : "", "parse-names" : false, "suffix" : "" }, { "dropping-particle" : "", "family" : "Dean", "given" : "Tara", "non-dropping-particle" : "", "parse-names" : false, "suffix" : "" }, { "dropping-particle" : "", "family" : "Arshad", "given" : "Syed Hasan", "non-dropping-particle" : "", "parse-names" : false, "suffix" : "" }, { "dropping-particle" : "", "family" : "Grimshaw", "given" : "Kate E C", "non-dropping-particle" : "", "parse-names" : false, "suffix" : "" }, { "dropping-particle" : "", "family" : "Oliver", "given" : "Erin M.", "non-dropping-particle" : "", "parse-names" : false, "suffix" : "" }, { "dropping-particle" : "", "family" : "Roberts", "given" : "Graham", "non-dropping-particle" : "", "parse-names" : false, "suffix" : "" }, { "dropping-particle" : "", "family" : "Venter", "given" : "Carina", "non-dropping-particle" : "", "parse-names" : false, "suffix" : "" } ], "container-title" : "Paediatric Allergy and Immunology", "id" : "ITEM-1", "issued" : { "date-parts" : [ [ "2015" ] ] }, "title" : "Cows\u2019 milk exclusion diet during infancy: Is there a long term effect on children's eating behaviour and food preferences?\u201d", "type" : "article-journal", "volume" : "10.1111/pa" }, "uris" : [ "http://www.mendeley.com/documents/?uuid=3a25c13f-f281-4330-9b84-6c1690a3974c" ] }, { "id" : "ITEM-2", "itemData" : { "DOI" : "10.1111/jgh.12593", "ISSN" : "1440-1746", "PMID" : "24720353", "abstract" : "AIMS: There is paucity of data on the prevalence of feeding difficulties in Food Protein Induced Gastrointestinal Allergies (FPIGA) and their clinical characteristics. However, it is a commonly reported problem by clinicians. We set out to establish the occurrence of feeding difficulties in children with FPIGA, the association with gastrointestinal and extra-intestinal symptoms and number of foods eliminated from the diet. METHODS: This retrospective observational analysis was performed in patients seen between 2002-2009 at Great Ormond Street Children's Hospital, Gastroenterology Department, London. Medical records where FPIGA was documented using the terms from the National Institute of Allergy and Infectious Disease and National Institute of Clinical Excellence and confirmed using an elimination diet, followed by a challenge were included. Feeding difficulties were assessed using a criteria previously used in healthy toddlers in the United Kingdom. RESULTS: Data from 437 children (203 female) were collected. Significantly more children with feeding difficulties presented with abdominal distention and bloating (p = 0.002), vomiting (p &lt; 0.0001), weight loss (p &lt; 0.0001), rectal bleeding (p = 0.025), and constipation (p &lt; 0.0001). We also found that having extra intestinal manifestations was significantly (p &lt; 0.0001) associated with the presence of feeding difficulties. Additionally a significantly higher number of foods eliminated from the diet in the children with/without feeding difficulties (p = 0.028), CONCLUSIONS: Clinical manifestations like vomiting, constipation, rectal bleeding, weight loss and the presence of extra-intestinal manifestations in addition to the number of foods avoided are in our FPIGA population linked to feeding difficulties.", "author" : [ { "dropping-particle" : "", "family" : "Meyer", "given" : "Rosan", "non-dropping-particle" : "", "parse-names" : false, "suffix" : "" }, { "dropping-particle" : "", "family" : "Rommel", "given" : "Nathalie", "non-dropping-particle" : "", "parse-names" : false, "suffix" : "" }, { "dropping-particle" : "", "family" : "Oudenhove", "given" : "Lukas", "non-dropping-particle" : "Van", "parse-names" : false, "suffix" : "" }, { "dropping-particle" : "", "family" : "Fleming", "given" : "Catharine", "non-dropping-particle" : "", "parse-names" : false, "suffix" : "" }, { "dropping-particle" : "", "family" : "Dziubak", "given" : "Robert", "non-dropping-particle" : "", "parse-names" : false, "suffix" : "" }, { "dropping-particle" : "", "family" : "Shah", "given" : "Neil", "non-dropping-particle" : "", "parse-names" : false, "suffix" : "" } ], "container-title" : "Journal of gastroenterology and hepatology", "id" : "ITEM-2", "issued" : { "date-parts" : [ [ "2014" ] ] }, "page" : "1-21", "title" : "Feeding difficulties in children with food protein induced gastrointestinal allergies.", "type" : "article-journal" }, "uris" : [ "http://www.mendeley.com/documents/?uuid=7028fe4f-79d1-4c6a-bffa-53343eed6e54" ] }, { "id" : "ITEM-3", "itemData" : { "DOI" : "10.1111/j.1399-3038.2012.01340.x", "ISBN" : "1399-3038 (Electronic)\\n0905-6157 (Linking)", "ISSN" : "09056157", "PMID" : "22882380", "abstract" : "To cite this article: Wu YP, Franciosi JP, Rothenberg ME, Hommel KA. Behavioral feeding problems and parenting stress in eosinophilic gastrointestinal disorders in children. Pediatr Allergy Immunol 2012: 23: 730-735. ABSTRACT: Background: Children with eosinophilic gastrointestinal disorders (EGID) and their families are asked to adhere to dietary restrictions which can present significant daily challenges. However, little is known about child and family functioning and adaptation and the impact of psychosocial functioning (e.g., behavioral feeding problems) on adherence to dietary restrictions in this pediatric population. Methods: We conducted a gender- and age-matched case-control study wherein parents of children with EGID and healthy control children completed measures of behavioral feeding problems, parenting stress, and adherence to prescribed dietary restrictions. Results: Children with EGID (n = 92) have significantly higher levels of behavioral feeding problems than healthy controls (n = 89; t = 5.7, p &lt; 0.001; t = 7.9, p &lt; 0.001). In particular, younger children demonstrated higher levels of behavioral feeding problems than older children. While behavioral feeding problems were not predictive of adherence to dietary restriction recommendations, they were positively associated with parenting stress. Conclusions: The study results indicate that, for families caring for a child with EGID, higher levels of behavioral feeding problems are associated with parent maladjustment or dysfunction. A multidisciplinary treatment team is needed to provide comprehensive psychosocial and feeding evaluations and treatment in EGID families.", "author" : [ { "dropping-particle" : "", "family" : "Wu", "given" : "Yelena P.", "non-dropping-particle" : "", "parse-names" : false, "suffix" : "" }, { "dropping-particle" : "", "family" : "Franciosi", "given" : "James P.", "non-dropping-particle" : "", "parse-names" : false, "suffix" : "" }, { "dropping-particle" : "", "family" : "Rothenberg", "given" : "Marc E.", "non-dropping-particle" : "", "parse-names" : false, "suffix" : "" }, { "dropping-particle" : "", "family" : "Hommel", "given" : "Kevin A.", "non-dropping-particle" : "", "parse-names" : false, "suffix" : "" } ], "container-title" : "Pediatric Allergy and Immunology", "id" : "ITEM-3", "issued" : { "date-parts" : [ [ "2012" ] ] }, "page" : "730-735", "title" : "Behavioral feeding problems and parenting stress in eosinophilic gastrointestinal disorders in children", "type" : "article-journal", "volume" : "23" }, "uris" : [ "http://www.mendeley.com/documents/?uuid=ec2d0157-e076-4f74-9922-5060f630b443" ] }, { "id" : "ITEM-4", "itemData" : { "DOI" : "10.1046/j.1440-1754.1999.00334.x", "ISSN" : "10344810", "PMID" : "10365354", "abstract" : "OBJECTIVE: Gastro-oesophageal reflux disease (GORD) in infants is commonly associated with feeding problems but has not been subject to systematic controlled study. We evaluated feeding, dietary, behavioural data obtained from systematic objective studies of six-month old infants with and without GORD. METHODS: Infants with GORD (defined by 24-h pH monitoring, n = 20), and age, gender, gestation, and socio-economic matched healthy infants (n = 20) had standardised assessments of dietary intake, oromotor function by videoanalysis (Feeding Assessment Schedule, FAS), and infant feeding behaviour by Testers and Maternal Ratings (TRIB and MRIB). Videofluoroscopic analyses of swallowing was undertaken in 11/20 GORD infants and analysed by standardised paediatric check list. RESULTS: Compared with control data: GORD infants had significantly lower energy intakes; the FAS showed GORD infants to have significantly fewer adaptive skills and readiness behaviour for solids, significantly more food refusal and food loss; the TRIB showed GORD infants to be significantly more demanding and difficult with feeds; and the MRIB revealed that mothers of GORD infants had significantly more negative feelings, significantly less enjoyment of feeds, and reported significantly more crying behaviour. On videofluoroscopy, oral-preparatory and oral phase problems predominated, particularly with solids, silent aspiration occurred during the pharyngeal phase in 2/11, and delayed oesophageal transit occurred in 4/11. CONCLUSIONS: Feeding problems affecting behaviour, swallowing, food intake, and mother-child interaction occur in infants with GORD, who displayed a lack of development of age-appropriate feeding skills. The contribution of feeding problems to morbidity in GORD in infants has been underestimated in the past.", "author" : [ { "dropping-particle" : "", "family" : "Mathisen", "given" : "B.", "non-dropping-particle" : "", "parse-names" : false, "suffix" : "" }, { "dropping-particle" : "", "family" : "Worrall", "given" : "L.", "non-dropping-particle" : "", "parse-names" : false, "suffix" : "" }, { "dropping-particle" : "", "family" : "Masel", "given" : "J.", "non-dropping-particle" : "", "parse-names" : false, "suffix" : "" }, { "dropping-particle" : "", "family" : "Wall", "given" : "C.", "non-dropping-particle" : "", "parse-names" : false, "suffix" : "" }, { "dropping-particle" : "", "family" : "Shepherd", "given" : "R. W.", "non-dropping-particle" : "", "parse-names" : false, "suffix" : "" } ], "container-title" : "Journal of Paediatrics and Child Health", "id" : "ITEM-4", "issued" : { "date-parts" : [ [ "1999" ] ] }, "page" : "163-169", "title" : "Feeding problems in infants with gastro-oesophageal reflux disease: A controlled study", "type" : "article-journal", "volume" : "35" }, "uris" : [ "http://www.mendeley.com/documents/?uuid=902f3936-aa03-4539-b52b-72614fac48d8" ] } ], "mendeley" : { "formattedCitation" : "(17\u201320)", "plainTextFormattedCitation" : "(17\u201320)", "previouslyFormattedCitation" : "(17\u201320)" }, "properties" : { "noteIndex" : 0 }, "schema" : "https://github.com/citation-style-language/schema/raw/master/csl-citation.json" }</w:instrText>
      </w:r>
      <w:r w:rsidR="00AE30F8" w:rsidRPr="00A43421">
        <w:rPr>
          <w:rFonts w:ascii="Times New Roman" w:hAnsi="Times New Roman" w:cs="Times New Roman"/>
          <w:color w:val="000000" w:themeColor="text1"/>
          <w:sz w:val="24"/>
          <w:szCs w:val="24"/>
          <w:vertAlign w:val="superscript"/>
        </w:rPr>
        <w:fldChar w:fldCharType="separate"/>
      </w:r>
      <w:r w:rsidR="0082405F" w:rsidRPr="00A43421">
        <w:rPr>
          <w:rFonts w:ascii="Times New Roman" w:hAnsi="Times New Roman" w:cs="Times New Roman"/>
          <w:noProof/>
          <w:color w:val="000000" w:themeColor="text1"/>
          <w:sz w:val="24"/>
          <w:szCs w:val="24"/>
          <w:vertAlign w:val="superscript"/>
        </w:rPr>
        <w:t>(17–20)</w:t>
      </w:r>
      <w:r w:rsidR="00AE30F8" w:rsidRPr="00A43421">
        <w:rPr>
          <w:rFonts w:ascii="Times New Roman" w:hAnsi="Times New Roman" w:cs="Times New Roman"/>
          <w:color w:val="000000" w:themeColor="text1"/>
          <w:sz w:val="24"/>
          <w:szCs w:val="24"/>
          <w:vertAlign w:val="superscript"/>
        </w:rPr>
        <w:fldChar w:fldCharType="end"/>
      </w:r>
      <w:r w:rsidR="00D60DF3" w:rsidRPr="00A43421">
        <w:rPr>
          <w:rFonts w:ascii="Times New Roman" w:hAnsi="Times New Roman" w:cs="Times New Roman"/>
          <w:color w:val="000000" w:themeColor="text1"/>
          <w:sz w:val="24"/>
          <w:szCs w:val="24"/>
        </w:rPr>
        <w:t>.</w:t>
      </w:r>
      <w:r w:rsidR="00530EA7" w:rsidRPr="00A43421">
        <w:rPr>
          <w:rFonts w:ascii="Times New Roman" w:hAnsi="Times New Roman" w:cs="Times New Roman"/>
          <w:color w:val="000000" w:themeColor="text1"/>
          <w:sz w:val="24"/>
          <w:szCs w:val="24"/>
        </w:rPr>
        <w:t xml:space="preserve"> Food neophobia, meaning “a fear of new food”, </w:t>
      </w:r>
      <w:r w:rsidR="0044307F" w:rsidRPr="00A43421">
        <w:rPr>
          <w:rFonts w:ascii="Times New Roman" w:hAnsi="Times New Roman" w:cs="Times New Roman"/>
          <w:color w:val="000000" w:themeColor="text1"/>
          <w:sz w:val="24"/>
          <w:szCs w:val="24"/>
        </w:rPr>
        <w:t>often</w:t>
      </w:r>
      <w:r w:rsidR="00530EA7" w:rsidRPr="00A43421">
        <w:rPr>
          <w:rFonts w:ascii="Times New Roman" w:hAnsi="Times New Roman" w:cs="Times New Roman"/>
          <w:color w:val="000000" w:themeColor="text1"/>
          <w:sz w:val="24"/>
          <w:szCs w:val="24"/>
        </w:rPr>
        <w:t xml:space="preserve"> presents in </w:t>
      </w:r>
      <w:r w:rsidR="0044307F" w:rsidRPr="00A43421">
        <w:rPr>
          <w:rFonts w:ascii="Times New Roman" w:hAnsi="Times New Roman" w:cs="Times New Roman"/>
          <w:color w:val="000000" w:themeColor="text1"/>
          <w:sz w:val="24"/>
          <w:szCs w:val="24"/>
        </w:rPr>
        <w:t xml:space="preserve">normally developing </w:t>
      </w:r>
      <w:r w:rsidR="00530EA7" w:rsidRPr="00A43421">
        <w:rPr>
          <w:rFonts w:ascii="Times New Roman" w:hAnsi="Times New Roman" w:cs="Times New Roman"/>
          <w:color w:val="000000" w:themeColor="text1"/>
          <w:sz w:val="24"/>
          <w:szCs w:val="24"/>
        </w:rPr>
        <w:t>children as a reluctance to eat unfamiliar foods, peaking between the ages of two to six years</w:t>
      </w:r>
      <w:r w:rsidR="00451981" w:rsidRPr="00A43421">
        <w:rPr>
          <w:rFonts w:ascii="Times New Roman" w:hAnsi="Times New Roman" w:cs="Times New Roman"/>
          <w:color w:val="000000" w:themeColor="text1"/>
          <w:sz w:val="24"/>
          <w:szCs w:val="24"/>
        </w:rPr>
        <w:t xml:space="preserve"> </w:t>
      </w:r>
      <w:r w:rsidR="00023EEC" w:rsidRPr="00A43421">
        <w:rPr>
          <w:rFonts w:ascii="Times New Roman" w:hAnsi="Times New Roman" w:cs="Times New Roman"/>
          <w:color w:val="000000" w:themeColor="text1"/>
          <w:sz w:val="24"/>
          <w:szCs w:val="24"/>
          <w:vertAlign w:val="superscript"/>
        </w:rPr>
        <w:fldChar w:fldCharType="begin" w:fldLock="1"/>
      </w:r>
      <w:r w:rsidR="005D23CA" w:rsidRPr="00A43421">
        <w:rPr>
          <w:rFonts w:ascii="Times New Roman" w:hAnsi="Times New Roman" w:cs="Times New Roman"/>
          <w:color w:val="000000" w:themeColor="text1"/>
          <w:sz w:val="24"/>
          <w:szCs w:val="24"/>
          <w:vertAlign w:val="superscript"/>
        </w:rPr>
        <w:instrText>ADDIN CSL_CITATION { "citationItems" : [ { "id" : "ITEM-1", "itemData" : { "DOI" : "10.1016/j.appet.2005.07.007", "ISBN" : "0195-6663", "ISSN" : "01956663", "PMID" : "16239048", "abstract" : "Social influences have been shown to be very important to overcome food neophobia in young children. However, there is no experimental evidence about whether social influences on food acceptance are specific, that is if models eating the same food as the child are more effective in promoting food acceptance than models eating a different food. We assessed children's behavior towards novel foods when an adult model (a) was not eating (Presence condition), (b) was eating a food of a Different color (Different color condition), and (c) was eating a food of the Same color (Same color condition). We tested 27 children (ages 2- to 5-years-old) recruited from The Pennsylvania State University day-care facilities. Results show that children accepted and ate their novel food more in the Same color condition than in the Different color and in the Presence conditions. Therefore, in young children food acceptance is promoted by specific social influences. These data indicate that children are more likely to eat new food if others are eating the same type of food than when others are merely present or eating another kind of food. \u00a9 2005 Elsevier Ltd. All rights reserved.", "author" : [ { "dropping-particle" : "", "family" : "Addessi", "given" : "Elsa", "non-dropping-particle" : "", "parse-names" : false, "suffix" : "" }, { "dropping-particle" : "", "family" : "Galloway", "given" : "Amy T.", "non-dropping-particle" : "", "parse-names" : false, "suffix" : "" }, { "dropping-particle" : "", "family" : "Visalberghi", "given" : "Elisabetta", "non-dropping-particle" : "", "parse-names" : false, "suffix" : "" }, { "dropping-particle" : "", "family" : "Birch", "given" : "Leann L.", "non-dropping-particle" : "", "parse-names" : false, "suffix" : "" } ], "container-title" : "Appetite", "id" : "ITEM-1", "issued" : { "date-parts" : [ [ "2005" ] ] }, "page" : "264-271", "title" : "Specific social influences on the acceptance of novel foods in 2-5-year-old children", "type" : "article-journal", "volume" : "45" }, "uris" : [ "http://www.mendeley.com/documents/?uuid=c88db66a-0d81-477a-a210-b3d527706a5b" ] } ], "mendeley" : { "formattedCitation" : "(21)", "plainTextFormattedCitation" : "(21)", "previouslyFormattedCitation" : "(21)" }, "properties" : { "noteIndex" : 0 }, "schema" : "https://github.com/citation-style-language/schema/raw/master/csl-citation.json" }</w:instrText>
      </w:r>
      <w:r w:rsidR="00023EEC" w:rsidRPr="00A43421">
        <w:rPr>
          <w:rFonts w:ascii="Times New Roman" w:hAnsi="Times New Roman" w:cs="Times New Roman"/>
          <w:color w:val="000000" w:themeColor="text1"/>
          <w:sz w:val="24"/>
          <w:szCs w:val="24"/>
          <w:vertAlign w:val="superscript"/>
        </w:rPr>
        <w:fldChar w:fldCharType="separate"/>
      </w:r>
      <w:r w:rsidR="0082405F" w:rsidRPr="00A43421">
        <w:rPr>
          <w:rFonts w:ascii="Times New Roman" w:hAnsi="Times New Roman" w:cs="Times New Roman"/>
          <w:noProof/>
          <w:color w:val="000000" w:themeColor="text1"/>
          <w:sz w:val="24"/>
          <w:szCs w:val="24"/>
          <w:vertAlign w:val="superscript"/>
        </w:rPr>
        <w:t>(21)</w:t>
      </w:r>
      <w:r w:rsidR="00023EEC" w:rsidRPr="00A43421">
        <w:rPr>
          <w:rFonts w:ascii="Times New Roman" w:hAnsi="Times New Roman" w:cs="Times New Roman"/>
          <w:color w:val="000000" w:themeColor="text1"/>
          <w:sz w:val="24"/>
          <w:szCs w:val="24"/>
          <w:vertAlign w:val="superscript"/>
        </w:rPr>
        <w:fldChar w:fldCharType="end"/>
      </w:r>
      <w:r w:rsidR="00530EA7" w:rsidRPr="00A43421">
        <w:rPr>
          <w:rFonts w:ascii="Times New Roman" w:hAnsi="Times New Roman" w:cs="Times New Roman"/>
          <w:color w:val="000000" w:themeColor="text1"/>
          <w:sz w:val="24"/>
          <w:szCs w:val="24"/>
        </w:rPr>
        <w:t xml:space="preserve">. Heightened levels of fussy eating </w:t>
      </w:r>
      <w:r w:rsidR="00D60DF3" w:rsidRPr="00A43421">
        <w:rPr>
          <w:rFonts w:ascii="Times New Roman" w:hAnsi="Times New Roman" w:cs="Times New Roman"/>
          <w:color w:val="000000" w:themeColor="text1"/>
          <w:sz w:val="24"/>
          <w:szCs w:val="24"/>
        </w:rPr>
        <w:t>have been demonstrated in CMA</w:t>
      </w:r>
      <w:r w:rsidR="00023EEC" w:rsidRPr="00A43421">
        <w:rPr>
          <w:rFonts w:ascii="Times New Roman" w:hAnsi="Times New Roman" w:cs="Times New Roman"/>
          <w:color w:val="000000" w:themeColor="text1"/>
          <w:sz w:val="24"/>
          <w:szCs w:val="24"/>
          <w:vertAlign w:val="superscript"/>
        </w:rPr>
        <w:fldChar w:fldCharType="begin" w:fldLock="1"/>
      </w:r>
      <w:r w:rsidR="005D23CA" w:rsidRPr="00A43421">
        <w:rPr>
          <w:rFonts w:ascii="Times New Roman" w:hAnsi="Times New Roman" w:cs="Times New Roman"/>
          <w:color w:val="000000" w:themeColor="text1"/>
          <w:sz w:val="24"/>
          <w:szCs w:val="24"/>
          <w:vertAlign w:val="superscript"/>
        </w:rPr>
        <w:instrText>ADDIN CSL_CITATION { "citationItems" : [ { "id" : "ITEM-1", "itemData" : { "DOI" : "10.1111/pai.12427", "ISSN" : "09056157", "author" : [ { "dropping-particle" : "", "family" : "Maslin", "given" : "Kate", "non-dropping-particle" : "", "parse-names" : false, "suffix" : "" }, { "dropping-particle" : "", "family" : "Dean", "given" : "Tara", "non-dropping-particle" : "", "parse-names" : false, "suffix" : "" }, { "dropping-particle" : "", "family" : "Arshad", "given" : "Syed Hasan", "non-dropping-particle" : "", "parse-names" : false, "suffix" : "" }, { "dropping-particle" : "", "family" : "Venter", "given" : "Carina", "non-dropping-particle" : "", "parse-names" : false, "suffix" : "" } ], "container-title" : "Pediatric Allergy and Immunology", "id" : "ITEM-1", "issued" : { "date-parts" : [ [ "2015" ] ] }, "page" : "n/a-n/a", "title" : "Fussy eating and feeding difficulties in infants and toddlers consuming a cows\u2019 milk exclusion diet", "type" : "article-journal" }, "uris" : [ "http://www.mendeley.com/documents/?uuid=6415b363-11a5-403b-ad4c-0115d4b65aeb" ] } ], "mendeley" : { "formattedCitation" : "(22)", "plainTextFormattedCitation" : "(22)", "previouslyFormattedCitation" : "(22)" }, "properties" : { "noteIndex" : 0 }, "schema" : "https://github.com/citation-style-language/schema/raw/master/csl-citation.json" }</w:instrText>
      </w:r>
      <w:r w:rsidR="00023EEC" w:rsidRPr="00A43421">
        <w:rPr>
          <w:rFonts w:ascii="Times New Roman" w:hAnsi="Times New Roman" w:cs="Times New Roman"/>
          <w:color w:val="000000" w:themeColor="text1"/>
          <w:sz w:val="24"/>
          <w:szCs w:val="24"/>
          <w:vertAlign w:val="superscript"/>
        </w:rPr>
        <w:fldChar w:fldCharType="separate"/>
      </w:r>
      <w:r w:rsidR="0082405F" w:rsidRPr="00A43421">
        <w:rPr>
          <w:rFonts w:ascii="Times New Roman" w:hAnsi="Times New Roman" w:cs="Times New Roman"/>
          <w:noProof/>
          <w:color w:val="000000" w:themeColor="text1"/>
          <w:sz w:val="24"/>
          <w:szCs w:val="24"/>
          <w:vertAlign w:val="superscript"/>
        </w:rPr>
        <w:t>(22)</w:t>
      </w:r>
      <w:r w:rsidR="00023EEC" w:rsidRPr="00A43421">
        <w:rPr>
          <w:rFonts w:ascii="Times New Roman" w:hAnsi="Times New Roman" w:cs="Times New Roman"/>
          <w:color w:val="000000" w:themeColor="text1"/>
          <w:sz w:val="24"/>
          <w:szCs w:val="24"/>
          <w:vertAlign w:val="superscript"/>
        </w:rPr>
        <w:fldChar w:fldCharType="end"/>
      </w:r>
      <w:r w:rsidR="009E7CE7" w:rsidRPr="00A43421">
        <w:rPr>
          <w:rFonts w:ascii="Times New Roman" w:hAnsi="Times New Roman" w:cs="Times New Roman"/>
          <w:color w:val="000000" w:themeColor="text1"/>
          <w:sz w:val="24"/>
          <w:szCs w:val="24"/>
        </w:rPr>
        <w:t>, with higher levels of neophobia reported in</w:t>
      </w:r>
      <w:r w:rsidR="00D60DF3" w:rsidRPr="00A43421">
        <w:rPr>
          <w:rFonts w:ascii="Times New Roman" w:hAnsi="Times New Roman" w:cs="Times New Roman"/>
          <w:color w:val="000000" w:themeColor="text1"/>
          <w:sz w:val="24"/>
          <w:szCs w:val="24"/>
        </w:rPr>
        <w:t xml:space="preserve"> PKU </w:t>
      </w:r>
      <w:r w:rsidR="00AE30F8" w:rsidRPr="00A43421">
        <w:rPr>
          <w:rFonts w:ascii="Times New Roman" w:hAnsi="Times New Roman" w:cs="Times New Roman"/>
          <w:color w:val="000000" w:themeColor="text1"/>
          <w:sz w:val="24"/>
          <w:szCs w:val="24"/>
          <w:vertAlign w:val="superscript"/>
        </w:rPr>
        <w:fldChar w:fldCharType="begin" w:fldLock="1"/>
      </w:r>
      <w:r w:rsidR="005D23CA" w:rsidRPr="00A43421">
        <w:rPr>
          <w:rFonts w:ascii="Times New Roman" w:hAnsi="Times New Roman" w:cs="Times New Roman"/>
          <w:color w:val="000000" w:themeColor="text1"/>
          <w:sz w:val="24"/>
          <w:szCs w:val="24"/>
          <w:vertAlign w:val="superscript"/>
        </w:rPr>
        <w:instrText>ADDIN CSL_CITATION { "citationItems" : [ { "id" : "ITEM-1", "itemData" : { "DOI" : "10.1111/jhn.12346", "ISSN" : "1365277X", "author" : [ { "dropping-particle" : "", "family" : "Evans", "given" : "S.", "non-dropping-particle" : "", "parse-names" : false, "suffix" : "" }, { "dropping-particle" : "", "family" : "Daly", "given" : "A.", "non-dropping-particle" : "", "parse-names" : false, "suffix" : "" }, { "dropping-particle" : "", "family" : "Chahal", "given" : "S.", "non-dropping-particle" : "", "parse-names" : false, "suffix" : "" }, { "dropping-particle" : "", "family" : "Macdonald", "given" : "J.", "non-dropping-particle" : "", "parse-names" : false, "suffix" : "" }, { "dropping-particle" : "", "family" : "Macdonald", "given" : "A.", "non-dropping-particle" : "", "parse-names" : false, "suffix" : "" } ], "container-title" : "Journal of Human Nutrition and Dietetics", "id" : "ITEM-1", "issue" : "1", "issued" : { "date-parts" : [ [ "2015" ] ] }, "page" : "1-7", "title" : "Food acceptance and neophobia in children with phenylketonuria: A prospective controlled study", "type" : "article-journal" }, "uris" : [ "http://www.mendeley.com/documents/?uuid=83a87a0a-a4d8-4b77-b1b6-f9847fb488b9" ] } ], "mendeley" : { "formattedCitation" : "(16)", "plainTextFormattedCitation" : "(16)", "previouslyFormattedCitation" : "(16)" }, "properties" : { "noteIndex" : 0 }, "schema" : "https://github.com/citation-style-language/schema/raw/master/csl-citation.json" }</w:instrText>
      </w:r>
      <w:r w:rsidR="00AE30F8" w:rsidRPr="00A43421">
        <w:rPr>
          <w:rFonts w:ascii="Times New Roman" w:hAnsi="Times New Roman" w:cs="Times New Roman"/>
          <w:color w:val="000000" w:themeColor="text1"/>
          <w:sz w:val="24"/>
          <w:szCs w:val="24"/>
          <w:vertAlign w:val="superscript"/>
        </w:rPr>
        <w:fldChar w:fldCharType="separate"/>
      </w:r>
      <w:r w:rsidR="0082405F" w:rsidRPr="00A43421">
        <w:rPr>
          <w:rFonts w:ascii="Times New Roman" w:hAnsi="Times New Roman" w:cs="Times New Roman"/>
          <w:noProof/>
          <w:color w:val="000000" w:themeColor="text1"/>
          <w:sz w:val="24"/>
          <w:szCs w:val="24"/>
          <w:vertAlign w:val="superscript"/>
        </w:rPr>
        <w:t>(16)</w:t>
      </w:r>
      <w:r w:rsidR="00AE30F8" w:rsidRPr="00A43421">
        <w:rPr>
          <w:rFonts w:ascii="Times New Roman" w:hAnsi="Times New Roman" w:cs="Times New Roman"/>
          <w:color w:val="000000" w:themeColor="text1"/>
          <w:sz w:val="24"/>
          <w:szCs w:val="24"/>
          <w:vertAlign w:val="superscript"/>
        </w:rPr>
        <w:fldChar w:fldCharType="end"/>
      </w:r>
      <w:r w:rsidR="00AE30F8" w:rsidRPr="00A43421">
        <w:rPr>
          <w:rFonts w:ascii="Times New Roman" w:hAnsi="Times New Roman" w:cs="Times New Roman"/>
          <w:color w:val="000000" w:themeColor="text1"/>
          <w:sz w:val="24"/>
          <w:szCs w:val="24"/>
        </w:rPr>
        <w:t>, however it remains unclear if there is a long term effect of CMA on neophobia or whet</w:t>
      </w:r>
      <w:r w:rsidR="00372C6B" w:rsidRPr="00A43421">
        <w:rPr>
          <w:rFonts w:ascii="Times New Roman" w:hAnsi="Times New Roman" w:cs="Times New Roman"/>
          <w:color w:val="000000" w:themeColor="text1"/>
          <w:sz w:val="24"/>
          <w:szCs w:val="24"/>
        </w:rPr>
        <w:t>her there are</w:t>
      </w:r>
      <w:r w:rsidR="0044307F" w:rsidRPr="00A43421">
        <w:rPr>
          <w:rFonts w:ascii="Times New Roman" w:hAnsi="Times New Roman" w:cs="Times New Roman"/>
          <w:color w:val="000000" w:themeColor="text1"/>
          <w:sz w:val="24"/>
          <w:szCs w:val="24"/>
        </w:rPr>
        <w:t xml:space="preserve"> </w:t>
      </w:r>
      <w:r w:rsidR="000677FD" w:rsidRPr="00A43421">
        <w:rPr>
          <w:rFonts w:ascii="Times New Roman" w:hAnsi="Times New Roman" w:cs="Times New Roman"/>
          <w:color w:val="000000" w:themeColor="text1"/>
          <w:sz w:val="24"/>
          <w:szCs w:val="24"/>
        </w:rPr>
        <w:t xml:space="preserve">nutritional </w:t>
      </w:r>
      <w:r w:rsidR="0044307F" w:rsidRPr="00A43421">
        <w:rPr>
          <w:rFonts w:ascii="Times New Roman" w:hAnsi="Times New Roman" w:cs="Times New Roman"/>
          <w:color w:val="000000" w:themeColor="text1"/>
          <w:sz w:val="24"/>
          <w:szCs w:val="24"/>
        </w:rPr>
        <w:t>implications</w:t>
      </w:r>
      <w:r w:rsidR="00AE30F8" w:rsidRPr="00A43421">
        <w:rPr>
          <w:rFonts w:ascii="Times New Roman" w:hAnsi="Times New Roman" w:cs="Times New Roman"/>
          <w:color w:val="000000" w:themeColor="text1"/>
          <w:sz w:val="24"/>
          <w:szCs w:val="24"/>
        </w:rPr>
        <w:t>.</w:t>
      </w:r>
    </w:p>
    <w:p w14:paraId="3D880879" w14:textId="0EA72B1A" w:rsidR="00D60DF3" w:rsidRPr="00A43421" w:rsidRDefault="00D60DF3" w:rsidP="00083A30">
      <w:pPr>
        <w:spacing w:line="360" w:lineRule="auto"/>
        <w:ind w:firstLine="720"/>
        <w:jc w:val="both"/>
        <w:rPr>
          <w:rFonts w:ascii="Times New Roman" w:hAnsi="Times New Roman" w:cs="Times New Roman"/>
          <w:i/>
          <w:color w:val="000000" w:themeColor="text1"/>
          <w:sz w:val="24"/>
          <w:szCs w:val="24"/>
        </w:rPr>
      </w:pPr>
      <w:r w:rsidRPr="00A43421">
        <w:rPr>
          <w:rFonts w:ascii="Times New Roman" w:hAnsi="Times New Roman" w:cs="Times New Roman"/>
          <w:color w:val="000000" w:themeColor="text1"/>
          <w:sz w:val="24"/>
          <w:szCs w:val="24"/>
        </w:rPr>
        <w:t>Several studies have demonstrated differences in nutritional intake</w:t>
      </w:r>
      <w:r w:rsidR="00451981" w:rsidRPr="00A43421">
        <w:rPr>
          <w:rFonts w:ascii="Times New Roman" w:hAnsi="Times New Roman" w:cs="Times New Roman"/>
          <w:color w:val="000000" w:themeColor="text1"/>
          <w:sz w:val="24"/>
          <w:szCs w:val="24"/>
        </w:rPr>
        <w:t xml:space="preserve"> and </w:t>
      </w:r>
      <w:r w:rsidR="0044307F" w:rsidRPr="00A43421">
        <w:rPr>
          <w:rFonts w:ascii="Times New Roman" w:hAnsi="Times New Roman" w:cs="Times New Roman"/>
          <w:color w:val="000000" w:themeColor="text1"/>
          <w:sz w:val="24"/>
          <w:szCs w:val="24"/>
        </w:rPr>
        <w:t>growth</w:t>
      </w:r>
      <w:r w:rsidRPr="00A43421">
        <w:rPr>
          <w:rFonts w:ascii="Times New Roman" w:hAnsi="Times New Roman" w:cs="Times New Roman"/>
          <w:color w:val="000000" w:themeColor="text1"/>
          <w:sz w:val="24"/>
          <w:szCs w:val="24"/>
        </w:rPr>
        <w:t xml:space="preserve"> </w:t>
      </w:r>
      <w:r w:rsidR="0044307F" w:rsidRPr="00A43421">
        <w:rPr>
          <w:rFonts w:ascii="Times New Roman" w:hAnsi="Times New Roman" w:cs="Times New Roman"/>
          <w:color w:val="000000" w:themeColor="text1"/>
          <w:sz w:val="24"/>
          <w:szCs w:val="24"/>
        </w:rPr>
        <w:t>in children consuming exclusion diets</w:t>
      </w:r>
      <w:r w:rsidRPr="00A43421">
        <w:rPr>
          <w:rFonts w:ascii="Times New Roman" w:hAnsi="Times New Roman" w:cs="Times New Roman"/>
          <w:color w:val="000000" w:themeColor="text1"/>
          <w:sz w:val="24"/>
          <w:szCs w:val="24"/>
        </w:rPr>
        <w:t xml:space="preserve">, </w:t>
      </w:r>
      <w:r w:rsidR="00372C6B" w:rsidRPr="00A43421">
        <w:rPr>
          <w:rFonts w:ascii="Times New Roman" w:hAnsi="Times New Roman" w:cs="Times New Roman"/>
          <w:color w:val="000000" w:themeColor="text1"/>
          <w:sz w:val="24"/>
          <w:szCs w:val="24"/>
        </w:rPr>
        <w:t>mostly</w:t>
      </w:r>
      <w:r w:rsidR="00AE30F8" w:rsidRPr="00A43421">
        <w:rPr>
          <w:rFonts w:ascii="Times New Roman" w:hAnsi="Times New Roman" w:cs="Times New Roman"/>
          <w:color w:val="000000" w:themeColor="text1"/>
          <w:sz w:val="24"/>
          <w:szCs w:val="24"/>
        </w:rPr>
        <w:t xml:space="preserve"> reporting </w:t>
      </w:r>
      <w:r w:rsidR="00372C6B" w:rsidRPr="00A43421">
        <w:rPr>
          <w:rFonts w:ascii="Times New Roman" w:hAnsi="Times New Roman" w:cs="Times New Roman"/>
          <w:color w:val="000000" w:themeColor="text1"/>
          <w:sz w:val="24"/>
          <w:szCs w:val="24"/>
        </w:rPr>
        <w:t>lower</w:t>
      </w:r>
      <w:r w:rsidR="00AE30F8" w:rsidRPr="00A43421">
        <w:rPr>
          <w:rFonts w:ascii="Times New Roman" w:hAnsi="Times New Roman" w:cs="Times New Roman"/>
          <w:color w:val="000000" w:themeColor="text1"/>
          <w:sz w:val="24"/>
          <w:szCs w:val="24"/>
        </w:rPr>
        <w:t xml:space="preserve"> micronutrient </w:t>
      </w:r>
      <w:r w:rsidR="00372C6B" w:rsidRPr="00A43421">
        <w:rPr>
          <w:rFonts w:ascii="Times New Roman" w:hAnsi="Times New Roman" w:cs="Times New Roman"/>
          <w:color w:val="000000" w:themeColor="text1"/>
          <w:sz w:val="24"/>
          <w:szCs w:val="24"/>
        </w:rPr>
        <w:t xml:space="preserve">intake </w:t>
      </w:r>
      <w:r w:rsidR="0044307F" w:rsidRPr="00A43421">
        <w:rPr>
          <w:rFonts w:ascii="Times New Roman" w:hAnsi="Times New Roman" w:cs="Times New Roman"/>
          <w:color w:val="000000" w:themeColor="text1"/>
          <w:sz w:val="24"/>
          <w:szCs w:val="24"/>
        </w:rPr>
        <w:t xml:space="preserve">and poorer </w:t>
      </w:r>
      <w:r w:rsidR="00FA2BBA" w:rsidRPr="00A43421">
        <w:rPr>
          <w:rFonts w:ascii="Times New Roman" w:hAnsi="Times New Roman" w:cs="Times New Roman"/>
          <w:color w:val="000000" w:themeColor="text1"/>
          <w:sz w:val="24"/>
          <w:szCs w:val="24"/>
        </w:rPr>
        <w:t>growth</w:t>
      </w:r>
      <w:r w:rsidR="00AE30F8" w:rsidRPr="00A43421">
        <w:rPr>
          <w:rFonts w:ascii="Times New Roman" w:hAnsi="Times New Roman" w:cs="Times New Roman"/>
          <w:color w:val="000000" w:themeColor="text1"/>
          <w:sz w:val="24"/>
          <w:szCs w:val="24"/>
          <w:vertAlign w:val="superscript"/>
        </w:rPr>
        <w:fldChar w:fldCharType="begin" w:fldLock="1"/>
      </w:r>
      <w:r w:rsidR="005D23CA" w:rsidRPr="00A43421">
        <w:rPr>
          <w:rFonts w:ascii="Times New Roman" w:hAnsi="Times New Roman" w:cs="Times New Roman"/>
          <w:color w:val="000000" w:themeColor="text1"/>
          <w:sz w:val="24"/>
          <w:szCs w:val="24"/>
          <w:vertAlign w:val="superscript"/>
        </w:rPr>
        <w:instrText>ADDIN CSL_CITATION { "citationItems" : [ { "id" : "ITEM-1", "itemData" : { "DOI" : "10.1111/j.1399-3038.2010.01028.x", "ISSN" : "1399-3038", "PMID" : "20561235", "abstract" : "The aim of the present study was to assess the food intakes and nutritional status of children with food allergies following an elimination diet. We conducted a cross sectional study including 96 children (mean age 4.7 \u00b1 2.5 years) with food allergies and 95 paired controls (mean age 4.7 \u00b1 2.7 years) without food allergies. Nutritional status was assessed using measurements of weight and height and Z scores for weight-for-age, height-for-age and weight-for-height. Nutrient intakes assessment was based on a 3-day diet record. Children with food allergies had weight-for-age and height-for-age Z scores lower than controls (0.1 versus 0.6 and 0.2 versus 0.8 respectively). Children with 3 or more food allergies were smaller than those with 2 or less food allergies (p = 0.04). A total of 62 children with food allergies and 52 controls completed usable diet records. Energy, protein and calcium intakes were similar in the two groups. Children with food allergies were smaller for their age than controls even when they received similar nutrient intakes. Nutritional evaluation is essential for the follow up of children with food allergies.", "author" : [ { "dropping-particle" : "", "family" : "Flammarion", "given" : "Sophie", "non-dropping-particle" : "", "parse-names" : false, "suffix" : "" }, { "dropping-particle" : "", "family" : "Santos", "given" : "Clarisse", "non-dropping-particle" : "", "parse-names" : false, "suffix" : "" }, { "dropping-particle" : "", "family" : "Guimber", "given" : "Dominique", "non-dropping-particle" : "", "parse-names" : false, "suffix" : "" }, { "dropping-particle" : "", "family" : "Jouannic", "given" : "Lyne", "non-dropping-particle" : "", "parse-names" : false, "suffix" : "" }, { "dropping-particle" : "", "family" : "Thumerelle", "given" : "Caroline", "non-dropping-particle" : "", "parse-names" : false, "suffix" : "" }, { "dropping-particle" : "", "family" : "Gottrand", "given" : "Fr\u00e9d\u00e9ric", "non-dropping-particle" : "", "parse-names" : false, "suffix" : "" }, { "dropping-particle" : "", "family" : "Deschildre", "given" : "Antoine", "non-dropping-particle" : "", "parse-names" : false, "suffix" : "" } ], "container-title" : "Pediatric allergy and immunology : official publication of the European Society of Pediatric Allergy and Immunology", "id" : "ITEM-1", "issued" : { "date-parts" : [ [ "2011" ] ] }, "page" : "161-165", "title" : "Diet and nutritional status of children with food allergies.", "type" : "article-journal", "volume" : "22" }, "uris" : [ "http://www.mendeley.com/documents/?uuid=47eac944-9222-4200-b202-eb5eb10e7048" ] }, { "id" : "ITEM-2", "itemData" : { "DOI" : "10.1016/S0002-8223(02)90351-2", "ISSN" : "00028223", "PMID" : "12449289", "abstract" : "Objectives: To identify if specific food allergies, elimination diets, or other variables associated with food allergies have an impact on the growth and nutrient intake of children with food allergies. Design: Measurements of height, weight, and body mass index were used to determine potential growth problems. Estimates of energy and nutrient intakes were based on 3-day diet records. A questionnaire was used to determine number of food allergies and other variables. Subjects: Ninety-eight children with food allergies (subjects, mean age 3.7\u00b12.3 years) and 99 children without food allergies (controls, mean age 4.1\u00b12.4 years) participated in this age-matched, consecutive sampling, cross-sectional study. Statistical analysis performed: Cochran-Mantel-Haenszel statistics using general association and Fisher Exact Test, with 2-sided probability, were conducted. Results: Children with two or more food allergies were shorter, based on height-for-age percentiles, than those with one food allergy (P&lt;.05). More than 25% of children in both groups consumed less than 67% of the DRI (RDA or AI) for calcium, vitamin D, and vitamin E. More children with cow's milk allergy or multiple food allergies consumed dietary calcium less than age- and gender-specific recommendations compared with children without cow's milk allergy and/or one food allergy. The possibility of consuming a less than recommended intake of calcium and vitamin D in children with food allergy was less if the child received nutrition counseling (P&lt;.05) or consumed a safe infant/toddler formula or fortified soy beverage. Applications/conclusions: Children diagnosed with food allergies need an annual nutrition assessment to prevent growth problems or inadequate nutrient intake. Children with milk allergies or multiple food allergies are at greater risk. Nutrition education needs to address how to avoid all forms of the allergen and incorporate alternative nutrient-dense foods. This population would benefit from the development and validation of a medical nutrition therapy protocol.", "author" : [ { "dropping-particle" : "", "family" : "Christie", "given" : "Lynn", "non-dropping-particle" : "", "parse-names" : false, "suffix" : "" }, { "dropping-particle" : "", "family" : "Hine", "given" : "R. Jean", "non-dropping-particle" : "", "parse-names" : false, "suffix" : "" }, { "dropping-particle" : "", "family" : "Parker", "given" : "James G.", "non-dropping-particle" : "", "parse-names" : false, "suffix" : "" }, { "dropping-particle" : "", "family" : "Burks", "given" : "Wesley", "non-dropping-particle" : "", "parse-names" : false, "suffix" : "" } ], "container-title" : "Journal of the American Dietetic Association", "id" : "ITEM-2", "issue" : "11", "issued" : { "date-parts" : [ [ "2002" ] ] }, "page" : "1648-1651", "title" : "Food allergies in children affect nutrient intake and growth", "type" : "article-journal", "volume" : "102" }, "uris" : [ "http://www.mendeley.com/documents/?uuid=6827fd55-4c0e-4fa4-8211-21434ef4c92f" ] }, { "id" : "ITEM-3", "itemData" : { "DOI" : "10.1111/pai.12348", "ISSN" : "09056157", "author" : [ { "dropping-particle" : "", "family" : "Berry", "given" : "Melissa J.", "non-dropping-particle" : "", "parse-names" : false, "suffix" : "" }, { "dropping-particle" : "", "family" : "Adams", "given" : "Jennifer", "non-dropping-particle" : "", "parse-names" : false, "suffix" : "" }, { "dropping-particle" : "", "family" : "Voutilainen", "given" : "Helena", "non-dropping-particle" : "", "parse-names" : false, "suffix" : "" }, { "dropping-particle" : "", "family" : "Feustel", "given" : "Paul J.", "non-dropping-particle" : "", "parse-names" : false, "suffix" : "" }, { "dropping-particle" : "", "family" : "Celestin", "given" : "Jocelyn", "non-dropping-particle" : "", "parse-names" : false, "suffix" : "" }, { "dropping-particle" : "", "family" : "J\u00e4rvinen", "given" : "Kirsi M.", "non-dropping-particle" : "", "parse-names" : false, "suffix" : "" } ], "container-title" : "Pediatric Allergy and Immunology", "id" : "ITEM-3", "issue" : "18", "issued" : { "date-parts" : [ [ "2015" ] ] }, "page" : "n/a-n/a", "title" : "Impact of elimination diets on growth and nutritional status in children with multiple food allergies", "type" : "article-journal", "volume" : "26" }, "uris" : [ "http://www.mendeley.com/documents/?uuid=8fcb7661-f888-4fa9-b0a3-cf2fbbc4580b" ] }, { "id" : "ITEM-4", "itemData" : { "ISSN" : "0803-5253", "PMID" : "10772273", "abstract" : "Approximately 2-3% of young children develop allergy or intolerance to cows' milk. The only available treatment is elimination of milk from the diet. However, as milk is an important source of nutrients in childhood, a milk-free diet may not adequately meet the child's nutritional needs. A dietary survey was conducted to assess the nutrient intake of children on cows' milk-restricted diets. A population-based sample of families with young children (31-37 mo) with adverse reaction to cows' milk and/or eggs was contacted, of which 75% agreed to complete a dietary intake assessment. Dietary intake was assessed using a 4-d weighed recording. The nutrient intake in a group of children on cows' milk protein-free (n = 16) and cows' milk reduced (n = 8) diets were compared to a group of cows' milk consumers (n = 10). There were significant differences in nutrient intake of children on milk-free diets and children consuming milk. Children on milk-free diets had significantly lower intake of energy, fat, protein, calcium, riboflavin and niacin. Use of milk substitutes improved the nutritional content of the cows' milk-free diets; however, the recommendations for riboflavin and calcium were still not met. CONCLUSION: The results reveal a risk for malnutrition in children on cows' milk-free diets, unless precautions are taken to replace the valuable nutrients from milk in the diet. Parents of children on milk-free diets need advice about food choices in order to reduce the risk of low intake of energy, fat and protein. Supplements with calcium, vitamin D and riboflavin are indicated.", "author" : [ { "dropping-particle" : "", "family" : "Henriksen", "given" : "C", "non-dropping-particle" : "", "parse-names" : false, "suffix" : "" }, { "dropping-particle" : "", "family" : "Eggesb\u00f8", "given" : "M", "non-dropping-particle" : "", "parse-names" : false, "suffix" : "" }, { "dropping-particle" : "", "family" : "Halvorsen", "given" : "R", "non-dropping-particle" : "", "parse-names" : false, "suffix" : "" }, { "dropping-particle" : "", "family" : "Botten", "given" : "G", "non-dropping-particle" : "", "parse-names" : false, "suffix" : "" } ], "container-title" : "Acta paediatrica", "id" : "ITEM-4", "issue" : "3", "issued" : { "date-parts" : [ [ "2000" ] ] }, "page" : "272-278", "title" : "Nutrient intake among two-year-old children on cows' milk-restricted diets.", "type" : "article-journal", "volume" : "89" }, "uris" : [ "http://www.mendeley.com/documents/?uuid=69222114-4e09-4529-8d63-572964d8dbc6" ] }, { "id" : "ITEM-5", "itemData" : { "DOI" : "10.1186/s13601-015-0054-y", "ISBN" : "1360101500", "ISSN" : "2045-7022", "PMID" : "25780558", "abstract" : "BACKGROUND: The management of food allergy in children requires elimination of the offending allergens, which significantly contribute to micronutrient intake. Vitamin and mineral supplementation are commonly suggested as part of dietary management. However a targeted supplementation regime requires a complete nutritional assessment, which includes food diaries. Ideally these should be analysed using a computerised program, but are very time consuming. We therefore set out to evaluate current practice of vitamin and mineral supplementation in a cohort of children with non-Immunoglobulin E (IgE) mediated food allergies.\\n\\nMETHODS: This prospective, observational study recruited children aged 4\u00a0weeks - 16\u00a0years, who required to follow an elimination diet for non-IgE mediated allergies. Only children that improved according to a symptom score and were on a vitamin and/or mineral supplement were included. A 3-day food diary including vitamin and mineral supplementation was recorded and analysed using Dietplan computer program. We assessed dietary adequacy with/without the supplement using the Dietary Reference Values.\\n\\nRESULTS: One hundred-and-ten children had completed food diaries and of these 29% (32/110) were taking vitamin and/or mineral supplements. Children on hypoallergenic formulas were significantly (p\u2009=\u20090.007) less likely to be on supplements than those on alternative over-the-counter milks. Seventy-one percent had prescribable supplements, suggested by a dietitian/physician. Sixty percent of those without a vitamin supplement had a low vitamin D intake, but low zinc, calcium and selenium was also common. Of the supplemented cohort many continued to be either under or over-supplemented.\\n\\nCONCLUSION: This study has raised the question for the first time, whether clinicians dealing with paediatric food allergies should consider routine vitamin and/or mineral supplements in the light of deficient intake being so common in addition to being so difficult to predict.", "author" : [ { "dropping-particle" : "", "family" : "Meyer", "given" : "Rosan", "non-dropping-particle" : "", "parse-names" : false, "suffix" : "" }, { "dropping-particle" : "", "family" : "Koker", "given" : "Claire", "non-dropping-particle" : "De", "parse-names" : false, "suffix" : "" }, { "dropping-particle" : "", "family" : "Dziubak", "given" : "Robert", "non-dropping-particle" : "", "parse-names" : false, "suffix" : "" }, { "dropping-particle" : "", "family" : "Skrapac", "given" : "Ana-Kristina", "non-dropping-particle" : "", "parse-names" : false, "suffix" : "" }, { "dropping-particle" : "", "family" : "Godwin", "given" : "Heather", "non-dropping-particle" : "", "parse-names" : false, "suffix" : "" }, { "dropping-particle" : "", "family" : "Reeve", "given" : "Kate", "non-dropping-particle" : "", "parse-names" : false, "suffix" : "" }, { "dropping-particle" : "", "family" : "Chebar-Lozinsky", "given" : "Adriana", "non-dropping-particle" : "", "parse-names" : false, "suffix" : "" }, { "dropping-particle" : "", "family" : "Shah", "given" : "Neil", "non-dropping-particle" : "", "parse-names" : false, "suffix" : "" } ], "container-title" : "Clinical and translational allergy", "id" : "ITEM-5", "issued" : { "date-parts" : [ [ "2015" ] ] }, "page" : "11", "title" : "A practical approach to vitamin and mineral supplementation in food allergic children.", "type" : "article-journal", "volume" : "5" }, "uris" : [ "http://www.mendeley.com/documents/?uuid=e622c671-98f4-4cfd-ac60-81c846040dca" ] } ], "mendeley" : { "formattedCitation" : "(23\u201327)", "plainTextFormattedCitation" : "(23\u201327)", "previouslyFormattedCitation" : "(23\u201327)" }, "properties" : { "noteIndex" : 0 }, "schema" : "https://github.com/citation-style-language/schema/raw/master/csl-citation.json" }</w:instrText>
      </w:r>
      <w:r w:rsidR="00AE30F8" w:rsidRPr="00A43421">
        <w:rPr>
          <w:rFonts w:ascii="Times New Roman" w:hAnsi="Times New Roman" w:cs="Times New Roman"/>
          <w:color w:val="000000" w:themeColor="text1"/>
          <w:sz w:val="24"/>
          <w:szCs w:val="24"/>
          <w:vertAlign w:val="superscript"/>
        </w:rPr>
        <w:fldChar w:fldCharType="separate"/>
      </w:r>
      <w:r w:rsidR="0082405F" w:rsidRPr="00A43421">
        <w:rPr>
          <w:rFonts w:ascii="Times New Roman" w:hAnsi="Times New Roman" w:cs="Times New Roman"/>
          <w:noProof/>
          <w:color w:val="000000" w:themeColor="text1"/>
          <w:sz w:val="24"/>
          <w:szCs w:val="24"/>
          <w:vertAlign w:val="superscript"/>
        </w:rPr>
        <w:t>(23–27)</w:t>
      </w:r>
      <w:r w:rsidR="00AE30F8" w:rsidRPr="00A43421">
        <w:rPr>
          <w:rFonts w:ascii="Times New Roman" w:hAnsi="Times New Roman" w:cs="Times New Roman"/>
          <w:color w:val="000000" w:themeColor="text1"/>
          <w:sz w:val="24"/>
          <w:szCs w:val="24"/>
          <w:vertAlign w:val="superscript"/>
        </w:rPr>
        <w:fldChar w:fldCharType="end"/>
      </w:r>
      <w:r w:rsidR="00451981" w:rsidRPr="00A43421">
        <w:rPr>
          <w:rFonts w:ascii="Times New Roman" w:hAnsi="Times New Roman" w:cs="Times New Roman"/>
          <w:color w:val="000000" w:themeColor="text1"/>
          <w:sz w:val="24"/>
          <w:szCs w:val="24"/>
        </w:rPr>
        <w:t xml:space="preserve">. Although milk allergy is usually outgrown, it </w:t>
      </w:r>
      <w:r w:rsidR="005329FD" w:rsidRPr="00A43421">
        <w:rPr>
          <w:rFonts w:ascii="Times New Roman" w:hAnsi="Times New Roman" w:cs="Times New Roman"/>
          <w:color w:val="000000" w:themeColor="text1"/>
          <w:sz w:val="24"/>
          <w:szCs w:val="24"/>
        </w:rPr>
        <w:t>is known that a proportion of food allergic children never</w:t>
      </w:r>
      <w:r w:rsidR="000677FD" w:rsidRPr="00A43421">
        <w:rPr>
          <w:rFonts w:ascii="Times New Roman" w:hAnsi="Times New Roman" w:cs="Times New Roman"/>
          <w:color w:val="000000" w:themeColor="text1"/>
          <w:sz w:val="24"/>
          <w:szCs w:val="24"/>
        </w:rPr>
        <w:t xml:space="preserve"> fully</w:t>
      </w:r>
      <w:r w:rsidR="005329FD" w:rsidRPr="00A43421">
        <w:rPr>
          <w:rFonts w:ascii="Times New Roman" w:hAnsi="Times New Roman" w:cs="Times New Roman"/>
          <w:color w:val="000000" w:themeColor="text1"/>
          <w:sz w:val="24"/>
          <w:szCs w:val="24"/>
        </w:rPr>
        <w:t xml:space="preserve"> </w:t>
      </w:r>
      <w:r w:rsidR="000677FD" w:rsidRPr="00A43421">
        <w:rPr>
          <w:rFonts w:ascii="Times New Roman" w:hAnsi="Times New Roman" w:cs="Times New Roman"/>
          <w:color w:val="000000" w:themeColor="text1"/>
          <w:sz w:val="24"/>
          <w:szCs w:val="24"/>
        </w:rPr>
        <w:t>re</w:t>
      </w:r>
      <w:r w:rsidR="005329FD" w:rsidRPr="00A43421">
        <w:rPr>
          <w:rFonts w:ascii="Times New Roman" w:hAnsi="Times New Roman" w:cs="Times New Roman"/>
          <w:color w:val="000000" w:themeColor="text1"/>
          <w:sz w:val="24"/>
          <w:szCs w:val="24"/>
        </w:rPr>
        <w:t>introduce the culprit food into their diet</w:t>
      </w:r>
      <w:r w:rsidRPr="00A43421">
        <w:rPr>
          <w:rFonts w:ascii="Times New Roman" w:hAnsi="Times New Roman" w:cs="Times New Roman"/>
          <w:color w:val="000000" w:themeColor="text1"/>
          <w:sz w:val="24"/>
          <w:szCs w:val="24"/>
        </w:rPr>
        <w:t xml:space="preserve"> once the allergy has resolved</w:t>
      </w:r>
      <w:r w:rsidR="005329FD" w:rsidRPr="00A43421">
        <w:rPr>
          <w:rFonts w:ascii="Times New Roman" w:hAnsi="Times New Roman" w:cs="Times New Roman"/>
          <w:color w:val="000000" w:themeColor="text1"/>
          <w:sz w:val="24"/>
          <w:szCs w:val="24"/>
        </w:rPr>
        <w:t xml:space="preserve">, possibly due to anxiety </w:t>
      </w:r>
      <w:r w:rsidR="005329FD" w:rsidRPr="00A43421">
        <w:rPr>
          <w:rFonts w:ascii="Times New Roman" w:hAnsi="Times New Roman" w:cs="Times New Roman"/>
          <w:color w:val="000000" w:themeColor="text1"/>
          <w:sz w:val="24"/>
          <w:szCs w:val="24"/>
          <w:vertAlign w:val="superscript"/>
        </w:rPr>
        <w:fldChar w:fldCharType="begin" w:fldLock="1"/>
      </w:r>
      <w:r w:rsidR="005D23CA" w:rsidRPr="00A43421">
        <w:rPr>
          <w:rFonts w:ascii="Times New Roman" w:hAnsi="Times New Roman" w:cs="Times New Roman"/>
          <w:color w:val="000000" w:themeColor="text1"/>
          <w:sz w:val="24"/>
          <w:szCs w:val="24"/>
          <w:vertAlign w:val="superscript"/>
        </w:rPr>
        <w:instrText>ADDIN CSL_CITATION { "citationItems" : [ { "id" : "ITEM-1", "itemData" : { "DOI" : "10.1111/j.1399-3038.2006.00455.x", "ISSN" : "09056157", "PMID" : "17121588", "abstract" : "Negative food challenges for follow-up in patients previously diagnosed with food allergy should logically be followed by a normal diet. However, all patients do not reintroduce the food. The aims of the study were to define the proportion of negative food challenge not followed by a normal diet, and to identify possible reasons for not reintroducing the food. Patients with a negative food challenge were sent a questionnaire by mail. Items in the questionnaire included the symptoms at diagnosis, the duration of the diet, the fear of an accidental reaction during the avoidance diet and how it influenced the social life. Patients were also asked if the food was reintroduced after the negative food challenge, and if not, for which reasons. In 25.4% of the questionnaires (18/71) respondents reported that the food was not reintroduced. Patients with a previous diagnosis of peanut allergy tended to reintroduce the food less frequently than patients allergic to other foods. Girls were found to significantly less frequently reintroduce the food than boys. However, neither the severity of the initial reaction, the anxiety of an accidental reaction during the avoidance diet, nor a prolonged avoidance diet did influence the decision to reintroduce the food. Among other reasons listed, fears of persistence of allergies, with recurrent pruritus or non-specific skin rashes after eating the food, were reported in 12.7% of the total number of questionnaires. Patients who reintroduced the food reported that their social life generally improved. One quarter of previously allergic patients continue a food avoidance diet despite a negative challenge. We suggest reassessing food consumption in all patients after a negative food challenge, and in those still avoiding the specific food to consider a repeated challenge test.", "author" : [ { "dropping-particle" : "", "family" : "Eigenmann", "given" : "Philippe a.", "non-dropping-particle" : "", "parse-names" : false, "suffix" : "" }, { "dropping-particle" : "", "family" : "Caubet", "given" : "Jean Christoph", "non-dropping-particle" : "", "parse-names" : false, "suffix" : "" }, { "dropping-particle" : "", "family" : "Zamora", "given" : "Samuel a.", "non-dropping-particle" : "", "parse-names" : false, "suffix" : "" } ], "container-title" : "Pediatric Allergy and Immunology", "id" : "ITEM-1", "issue" : "8", "issued" : { "date-parts" : [ [ "2006" ] ] }, "page" : "601-605", "title" : "Continuing food-avoidance diets after negative food challenges", "type" : "article-journal", "volume" : "17" }, "uris" : [ "http://www.mendeley.com/documents/?uuid=aa6d3c66-76c8-4acc-b055-0011ba40d287" ] }, { "id" : "ITEM-2", "itemData" : { "DOI" : "10.1016/j.jaci.2011.04.036", "ISBN" : "1097-6825 (Electronic)\\n0091-6749 (Linking)", "ISSN" : "00916749", "PMID" : "21601913", "abstract" : "Background: The majority (approximately 75%) of children with cow's milk allergy tolerate extensively heated (baked) milk products. Long-term effects of inclusion of dietary baked milk have not been reported. Objective: We report on the outcomes of children who incorporated baked milk products into their diets. Methods: Children evaluated for tolerance to baked milk (muffin) underwent sequential food challenges to baked cheese (pizza) followed by unheated milk. Immunologic parameters were measured at challenge visits. The comparison group was matched to active subjects (by using age, sex, and baseline milk-specific IgE levels) to evaluate the natural history of development of tolerance. Results: Over a median of 37 months (range, 8-75 months), 88 children underwent challenges at varying intervals (range, 6-54 months). Among 65 subjects initially tolerant to baked milk, 39 (60%) now tolerate unheated milk, 18 (28%) tolerate baked milk/baked cheese, and 8 (12%) chose to avoid milk strictly. Among the baked milk-reactive subgroup (n = 23), 2 (9%) tolerate unheated milk, and 3 (13%) tolerate baked milk/baked cheese, whereas the majority (78%) avoid milk strictly. Subjects who were initially tolerant to baked milk were 28 times more likely to become unheated milk tolerant compared with baked milk-reactive subjects (P &lt;.001). Subjects who incorporated dietary baked milk were 16 times more likely than the comparison group to become unheated milk tolerant (P &lt;.001). Median casein IgG\n                        4 levels in the baked milk-tolerant group increased significantly (P &lt;.001); median milk IgE values did not change significantly. Conclusions: Tolerance of baked milk is a marker of transient IgE-mediated cow's milk allergy, whereas reactivity to baked milk portends a more persistent phenotype. The addition of baked milk to the diet of children tolerating such foods appears to accelerate the development of unheated milk tolerance compared with strict avoidance. ?? 2011 American Academy of Allergy, Asthma &amp; Immunology.", "author" : [ { "dropping-particle" : "", "family" : "Kim", "given" : "Jennifer S.", "non-dropping-particle" : "", "parse-names" : false, "suffix" : "" }, { "dropping-particle" : "", "family" : "Nowak-Wgrzyn", "given" : "Anna", "non-dropping-particle" : "", "parse-names" : false, "suffix" : "" }, { "dropping-particle" : "", "family" : "Sicherer", "given" : "Scott H.", "non-dropping-particle" : "", "parse-names" : false, "suffix" : "" }, { "dropping-particle" : "", "family" : "Noone", "given" : "Sally", "non-dropping-particle" : "", "parse-names" : false, "suffix" : "" }, { "dropping-particle" : "", "family" : "Moshier", "given" : "Erin L.", "non-dropping-particle" : "", "parse-names" : false, "suffix" : "" }, { "dropping-particle" : "", "family" : "Sampson", "given" : "Hugh A.", "non-dropping-particle" : "", "parse-names" : false, "suffix" : "" } ], "container-title" : "Journal of Allergy and Clinical Immunology", "id" : "ITEM-2", "issue" : "1", "issued" : { "date-parts" : [ [ "2011" ] ] }, "page" : "125-131", "title" : "Dietary baked milk accelerates the resolution of cow's milk allergy in children", "type" : "article-journal", "volume" : "128" }, "uris" : [ "http://www.mendeley.com/documents/?uuid=7ed4d54e-4899-44b8-91dd-0674e5d7718b" ] } ], "mendeley" : { "formattedCitation" : "(28,29)", "plainTextFormattedCitation" : "(28,29)", "previouslyFormattedCitation" : "(28,29)" }, "properties" : { "noteIndex" : 0 }, "schema" : "https://github.com/citation-style-language/schema/raw/master/csl-citation.json" }</w:instrText>
      </w:r>
      <w:r w:rsidR="005329FD" w:rsidRPr="00A43421">
        <w:rPr>
          <w:rFonts w:ascii="Times New Roman" w:hAnsi="Times New Roman" w:cs="Times New Roman"/>
          <w:color w:val="000000" w:themeColor="text1"/>
          <w:sz w:val="24"/>
          <w:szCs w:val="24"/>
          <w:vertAlign w:val="superscript"/>
        </w:rPr>
        <w:fldChar w:fldCharType="separate"/>
      </w:r>
      <w:r w:rsidR="0082405F" w:rsidRPr="00A43421">
        <w:rPr>
          <w:rFonts w:ascii="Times New Roman" w:hAnsi="Times New Roman" w:cs="Times New Roman"/>
          <w:noProof/>
          <w:color w:val="000000" w:themeColor="text1"/>
          <w:sz w:val="24"/>
          <w:szCs w:val="24"/>
          <w:vertAlign w:val="superscript"/>
        </w:rPr>
        <w:t>(28,29)</w:t>
      </w:r>
      <w:r w:rsidR="005329FD" w:rsidRPr="00A43421">
        <w:rPr>
          <w:rFonts w:ascii="Times New Roman" w:hAnsi="Times New Roman" w:cs="Times New Roman"/>
          <w:color w:val="000000" w:themeColor="text1"/>
          <w:sz w:val="24"/>
          <w:szCs w:val="24"/>
          <w:vertAlign w:val="superscript"/>
        </w:rPr>
        <w:fldChar w:fldCharType="end"/>
      </w:r>
      <w:r w:rsidR="005329FD" w:rsidRPr="00A43421">
        <w:rPr>
          <w:rFonts w:ascii="Times New Roman" w:hAnsi="Times New Roman" w:cs="Times New Roman"/>
          <w:color w:val="000000" w:themeColor="text1"/>
          <w:sz w:val="24"/>
          <w:szCs w:val="24"/>
        </w:rPr>
        <w:t>. This has potential to influence dietary intake if the food/food group i</w:t>
      </w:r>
      <w:r w:rsidR="000677FD" w:rsidRPr="00A43421">
        <w:rPr>
          <w:rFonts w:ascii="Times New Roman" w:hAnsi="Times New Roman" w:cs="Times New Roman"/>
          <w:color w:val="000000" w:themeColor="text1"/>
          <w:sz w:val="24"/>
          <w:szCs w:val="24"/>
        </w:rPr>
        <w:t>s ubiquitous and nutrient dense</w:t>
      </w:r>
      <w:r w:rsidRPr="00A43421">
        <w:rPr>
          <w:rFonts w:ascii="Times New Roman" w:hAnsi="Times New Roman" w:cs="Times New Roman"/>
          <w:color w:val="000000" w:themeColor="text1"/>
          <w:sz w:val="24"/>
          <w:szCs w:val="24"/>
        </w:rPr>
        <w:t xml:space="preserve">. </w:t>
      </w:r>
      <w:r w:rsidR="00451981" w:rsidRPr="00A43421">
        <w:rPr>
          <w:rFonts w:ascii="Times New Roman" w:hAnsi="Times New Roman" w:cs="Times New Roman"/>
          <w:color w:val="000000" w:themeColor="text1"/>
          <w:sz w:val="24"/>
          <w:szCs w:val="24"/>
        </w:rPr>
        <w:t>This study will therefore aim to investigate if there is</w:t>
      </w:r>
      <w:r w:rsidR="00872639" w:rsidRPr="00A43421">
        <w:rPr>
          <w:rFonts w:ascii="Times New Roman" w:hAnsi="Times New Roman" w:cs="Times New Roman"/>
          <w:color w:val="000000" w:themeColor="text1"/>
          <w:sz w:val="24"/>
          <w:szCs w:val="24"/>
        </w:rPr>
        <w:t xml:space="preserve"> a long-term impact of </w:t>
      </w:r>
      <w:r w:rsidR="00451981" w:rsidRPr="00A43421">
        <w:rPr>
          <w:rFonts w:ascii="Times New Roman" w:hAnsi="Times New Roman" w:cs="Times New Roman"/>
          <w:color w:val="000000" w:themeColor="text1"/>
          <w:sz w:val="24"/>
          <w:szCs w:val="24"/>
        </w:rPr>
        <w:t>substitute infant formula and exclusion of cows’ milk</w:t>
      </w:r>
      <w:r w:rsidR="00872639" w:rsidRPr="00A43421">
        <w:rPr>
          <w:rFonts w:ascii="Times New Roman" w:hAnsi="Times New Roman" w:cs="Times New Roman"/>
          <w:color w:val="000000" w:themeColor="text1"/>
          <w:sz w:val="24"/>
          <w:szCs w:val="24"/>
        </w:rPr>
        <w:t xml:space="preserve"> in early infancy </w:t>
      </w:r>
      <w:bookmarkStart w:id="1" w:name="_Toc437506187"/>
      <w:r w:rsidR="00451981" w:rsidRPr="00A43421">
        <w:rPr>
          <w:rFonts w:ascii="Times New Roman" w:hAnsi="Times New Roman" w:cs="Times New Roman"/>
          <w:color w:val="000000" w:themeColor="text1"/>
          <w:sz w:val="24"/>
          <w:szCs w:val="24"/>
        </w:rPr>
        <w:t>on taste preferences, food neophobia, nutritional intake and growth.</w:t>
      </w:r>
    </w:p>
    <w:p w14:paraId="26B9E047" w14:textId="77777777" w:rsidR="00E92670" w:rsidRPr="00A43421" w:rsidRDefault="00E92670" w:rsidP="00083A30">
      <w:pPr>
        <w:spacing w:line="360" w:lineRule="auto"/>
        <w:jc w:val="both"/>
        <w:rPr>
          <w:rFonts w:ascii="Times New Roman" w:hAnsi="Times New Roman" w:cs="Times New Roman"/>
          <w:b/>
          <w:color w:val="000000" w:themeColor="text1"/>
          <w:sz w:val="24"/>
          <w:szCs w:val="24"/>
        </w:rPr>
      </w:pPr>
      <w:r w:rsidRPr="00A43421">
        <w:rPr>
          <w:rFonts w:ascii="Times New Roman" w:hAnsi="Times New Roman" w:cs="Times New Roman"/>
          <w:b/>
          <w:color w:val="000000" w:themeColor="text1"/>
          <w:sz w:val="24"/>
          <w:szCs w:val="24"/>
        </w:rPr>
        <w:t>Methodology</w:t>
      </w:r>
    </w:p>
    <w:p w14:paraId="43DDC0DC" w14:textId="77777777" w:rsidR="00C008D8" w:rsidRPr="00A43421" w:rsidRDefault="00C008D8" w:rsidP="00083A30">
      <w:pPr>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Study design and participants</w:t>
      </w:r>
    </w:p>
    <w:p w14:paraId="2D3C9330" w14:textId="32B7C14A" w:rsidR="00E22346" w:rsidRPr="00A43421" w:rsidRDefault="00336C2F" w:rsidP="00083A30">
      <w:pPr>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This was a cross sectional study of 7-13 year old children from the Isle of Wight and</w:t>
      </w:r>
      <w:r w:rsidR="00C008D8" w:rsidRPr="00A43421">
        <w:rPr>
          <w:rFonts w:ascii="Times New Roman" w:hAnsi="Times New Roman" w:cs="Times New Roman"/>
          <w:color w:val="000000" w:themeColor="text1"/>
          <w:sz w:val="24"/>
          <w:szCs w:val="24"/>
        </w:rPr>
        <w:t xml:space="preserve"> </w:t>
      </w:r>
      <w:r w:rsidRPr="00A43421">
        <w:rPr>
          <w:rFonts w:ascii="Times New Roman" w:hAnsi="Times New Roman" w:cs="Times New Roman"/>
          <w:color w:val="000000" w:themeColor="text1"/>
          <w:sz w:val="24"/>
          <w:szCs w:val="24"/>
        </w:rPr>
        <w:t xml:space="preserve">Winchester area, UK. </w:t>
      </w:r>
      <w:bookmarkEnd w:id="1"/>
      <w:r w:rsidRPr="00A43421">
        <w:rPr>
          <w:rFonts w:ascii="Times New Roman" w:hAnsi="Times New Roman" w:cs="Times New Roman"/>
          <w:color w:val="000000" w:themeColor="text1"/>
          <w:sz w:val="24"/>
          <w:szCs w:val="24"/>
        </w:rPr>
        <w:t xml:space="preserve">Figure 1 </w:t>
      </w:r>
      <w:r w:rsidR="00B45C79" w:rsidRPr="00A43421">
        <w:rPr>
          <w:rFonts w:ascii="Times New Roman" w:hAnsi="Times New Roman" w:cs="Times New Roman"/>
          <w:color w:val="000000" w:themeColor="text1"/>
          <w:sz w:val="24"/>
          <w:szCs w:val="24"/>
        </w:rPr>
        <w:t xml:space="preserve">summarises the study design. </w:t>
      </w:r>
      <w:r w:rsidR="00E22346" w:rsidRPr="00A43421">
        <w:rPr>
          <w:rFonts w:ascii="Times New Roman" w:hAnsi="Times New Roman" w:cs="Times New Roman"/>
          <w:color w:val="000000" w:themeColor="text1"/>
          <w:sz w:val="24"/>
          <w:szCs w:val="24"/>
        </w:rPr>
        <w:t>Children were eligible for</w:t>
      </w:r>
      <w:r w:rsidR="00C008D8" w:rsidRPr="00A43421">
        <w:rPr>
          <w:rFonts w:ascii="Times New Roman" w:hAnsi="Times New Roman" w:cs="Times New Roman"/>
          <w:color w:val="000000" w:themeColor="text1"/>
          <w:sz w:val="24"/>
          <w:szCs w:val="24"/>
        </w:rPr>
        <w:t xml:space="preserve"> </w:t>
      </w:r>
      <w:r w:rsidR="00E22346" w:rsidRPr="00A43421">
        <w:rPr>
          <w:rFonts w:ascii="Times New Roman" w:hAnsi="Times New Roman" w:cs="Times New Roman"/>
          <w:color w:val="000000" w:themeColor="text1"/>
          <w:sz w:val="24"/>
          <w:szCs w:val="24"/>
        </w:rPr>
        <w:t>inclusion in the CME group if they had consumed a substitute formula and/or a CME diet in</w:t>
      </w:r>
      <w:r w:rsidR="00C008D8" w:rsidRPr="00A43421">
        <w:rPr>
          <w:rFonts w:ascii="Times New Roman" w:hAnsi="Times New Roman" w:cs="Times New Roman"/>
          <w:color w:val="000000" w:themeColor="text1"/>
          <w:sz w:val="24"/>
          <w:szCs w:val="24"/>
        </w:rPr>
        <w:t xml:space="preserve"> </w:t>
      </w:r>
      <w:r w:rsidR="00E22346" w:rsidRPr="00A43421">
        <w:rPr>
          <w:rFonts w:ascii="Times New Roman" w:hAnsi="Times New Roman" w:cs="Times New Roman"/>
          <w:color w:val="000000" w:themeColor="text1"/>
          <w:sz w:val="24"/>
          <w:szCs w:val="24"/>
        </w:rPr>
        <w:t xml:space="preserve">the first year of life for ≥ 3 months. Children excluding other </w:t>
      </w:r>
      <w:r w:rsidR="00372C6B" w:rsidRPr="00A43421">
        <w:rPr>
          <w:rFonts w:ascii="Times New Roman" w:hAnsi="Times New Roman" w:cs="Times New Roman"/>
          <w:color w:val="000000" w:themeColor="text1"/>
          <w:sz w:val="24"/>
          <w:szCs w:val="24"/>
        </w:rPr>
        <w:t>foo</w:t>
      </w:r>
      <w:r w:rsidR="006A6BD3" w:rsidRPr="00A43421">
        <w:rPr>
          <w:rFonts w:ascii="Times New Roman" w:hAnsi="Times New Roman" w:cs="Times New Roman"/>
          <w:color w:val="000000" w:themeColor="text1"/>
          <w:sz w:val="24"/>
          <w:szCs w:val="24"/>
        </w:rPr>
        <w:t xml:space="preserve">d allergens </w:t>
      </w:r>
      <w:r w:rsidR="00AD0ED9" w:rsidRPr="00A43421">
        <w:rPr>
          <w:rFonts w:ascii="Times New Roman" w:hAnsi="Times New Roman" w:cs="Times New Roman"/>
          <w:color w:val="000000" w:themeColor="text1"/>
          <w:sz w:val="24"/>
          <w:szCs w:val="24"/>
        </w:rPr>
        <w:t>(</w:t>
      </w:r>
      <w:r w:rsidR="006A6BD3" w:rsidRPr="00A43421">
        <w:rPr>
          <w:rFonts w:ascii="Times New Roman" w:hAnsi="Times New Roman" w:cs="Times New Roman"/>
          <w:color w:val="000000" w:themeColor="text1"/>
          <w:sz w:val="24"/>
          <w:szCs w:val="24"/>
        </w:rPr>
        <w:t xml:space="preserve">e.g. </w:t>
      </w:r>
      <w:r w:rsidR="00AD0ED9" w:rsidRPr="00A43421">
        <w:rPr>
          <w:rFonts w:ascii="Times New Roman" w:hAnsi="Times New Roman" w:cs="Times New Roman"/>
          <w:color w:val="000000" w:themeColor="text1"/>
          <w:sz w:val="24"/>
          <w:szCs w:val="24"/>
        </w:rPr>
        <w:t>egg)</w:t>
      </w:r>
      <w:r w:rsidR="00B02029" w:rsidRPr="00A43421">
        <w:rPr>
          <w:rFonts w:ascii="Times New Roman" w:hAnsi="Times New Roman" w:cs="Times New Roman"/>
          <w:color w:val="000000" w:themeColor="text1"/>
          <w:sz w:val="24"/>
          <w:szCs w:val="24"/>
        </w:rPr>
        <w:t xml:space="preserve"> </w:t>
      </w:r>
      <w:r w:rsidR="00E22346" w:rsidRPr="00A43421">
        <w:rPr>
          <w:rFonts w:ascii="Times New Roman" w:hAnsi="Times New Roman" w:cs="Times New Roman"/>
          <w:color w:val="000000" w:themeColor="text1"/>
          <w:sz w:val="24"/>
          <w:szCs w:val="24"/>
        </w:rPr>
        <w:t>in addition to cows’ milk</w:t>
      </w:r>
      <w:r w:rsidR="00C008D8" w:rsidRPr="00A43421">
        <w:rPr>
          <w:rFonts w:ascii="Times New Roman" w:hAnsi="Times New Roman" w:cs="Times New Roman"/>
          <w:color w:val="000000" w:themeColor="text1"/>
          <w:sz w:val="24"/>
          <w:szCs w:val="24"/>
        </w:rPr>
        <w:t xml:space="preserve"> </w:t>
      </w:r>
      <w:r w:rsidR="00E22346" w:rsidRPr="00A43421">
        <w:rPr>
          <w:rFonts w:ascii="Times New Roman" w:hAnsi="Times New Roman" w:cs="Times New Roman"/>
          <w:color w:val="000000" w:themeColor="text1"/>
          <w:sz w:val="24"/>
          <w:szCs w:val="24"/>
        </w:rPr>
        <w:t>were also eligible for inclusion. Participants were primarily recruited from two birth cohort</w:t>
      </w:r>
      <w:r w:rsidR="00C008D8" w:rsidRPr="00A43421">
        <w:rPr>
          <w:rFonts w:ascii="Times New Roman" w:hAnsi="Times New Roman" w:cs="Times New Roman"/>
          <w:color w:val="000000" w:themeColor="text1"/>
          <w:sz w:val="24"/>
          <w:szCs w:val="24"/>
        </w:rPr>
        <w:t xml:space="preserve"> </w:t>
      </w:r>
      <w:r w:rsidR="00E22346" w:rsidRPr="00A43421">
        <w:rPr>
          <w:rFonts w:ascii="Times New Roman" w:hAnsi="Times New Roman" w:cs="Times New Roman"/>
          <w:color w:val="000000" w:themeColor="text1"/>
          <w:sz w:val="24"/>
          <w:szCs w:val="24"/>
        </w:rPr>
        <w:t>studies; the Food Allergy and Intolerance Research (FAIR)</w:t>
      </w:r>
      <w:r w:rsidR="001B2983"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"10.1111/j.1398-9995.2007.01570.x", "ISBN" : "1398-9995 (Electronic)\\n0105-4538 (Linking)", "ISSN" : "1398-9995", "PMID" : "18053008", "abstract" : "BACKGROUND: Prevalence and incidence of food hypersensitivity (FHS) and its trends in early childhood are unclear. METHODS: A birth cohort born on the Isle of Wight (UK) between 2001 and 2002 was followed-up prospectively. Children were clinically examined and skin prick tested at set times and invited for food challenges when indicated. RESULTS: Nine hundred and sixty-nine children were recruited and 92.9%, 88.5% and 91.9% of them respectively were assessed at 1, 2 and 3 years of age. Prevalence of sensitization to foods was 2.2%, 3.8% and 4.5% respectively at these ages. Cumulatively, 5.3% [95% confidence interval (CI): 3.9-7.1] children were sensitized to a food. Using open food challenge and a good clinical history, the cumulative incidence of FHS was 6.0% (58/969, 95% CI: 4.6-7.7). Based on double-blinded, placebo-controlled, food challenge (DBPCFC) and a good clinical history, the cumulative incidence was 5.0% (48/969, 95% CI: 3.7-6.5). There is no evidence to suggest that the incidence of FHS has increased, comparing these results with previous studies. Overall, 33.7% of parents reported a food-related problem and of these, 16.1% were diagnosed with FHS by open challenge and history and 12.9% by DBPCFC and history. Main foods implicated were milk, egg and peanut. CONCLUSIONS: By the age of 3 years, 5-6% of children suffer from FHS based on food challenges and a good clinical history. There were large discrepancies between reported and diagnosed FHS. Comparing our data with a study performed in the USA more than 20 years ago, there were no significant differences in the cumulative incidence of FHS.", "author" : [ { "dropping-particle" : "", "family" : "Venter", "given" : "C", "non-dropping-particle" : "", "parse-names" : false, "suffix" : "" }, { "dropping-particle" : "", "family" : "Pereira", "given" : "B", "non-dropping-particle" : "", "parse-names" : false, "suffix" : "" }, { "dropping-particle" : "", "family" : "Voigt", "given" : "K", "non-dropping-particle" : "", "parse-names" : false, "suffix" : "" }, { "dropping-particle" : "", "family" : "Grundy", "given" : "J", "non-dropping-particle" : "", "parse-names" : false, "suffix" : "" }, { "dropping-particle" : "", "family" : "Clayton", "given" : "C B", "non-dropping-particle" : "", "parse-names" : false, "suffix" : "" }, { "dropping-particle" : "", "family" : "Higgins", "given" : "B", "non-dropping-particle" : "", "parse-names" : false, "suffix" : "" }, { "dropping-particle" : "", "family" : "Arshad", "given" : "S H", "non-dropping-particle" : "", "parse-names" : false, "suffix" : "" }, { "dropping-particle" : "", "family" : "Dean", "given" : "T", "non-dropping-particle" : "", "parse-names" : false, "suffix" : "" } ], "container-title" : "Allergy", "id" : "ITEM-1", "issue" : "7", "issued" : { "date-parts" : [ [ "2008" ] ] }, "page" : "354-359", "title" : "Prevalence and cumulative incidence of food hypersensitivity in the first 3 years of life.", "type" : "article-journal", "volume" : "63" }, "uris" : [ "http://www.mendeley.com/documents/?uuid=c240e512-73bd-4e8f-a3f2-54f464d56249" ] } ], "mendeley" : { "formattedCitation" : "(1)", "plainTextFormattedCitation" : "(1)", "previouslyFormattedCitation" : "(1)" }, "properties" : { "noteIndex" : 0 }, "schema" : "https://github.com/citation-style-language/schema/raw/master/csl-citation.json" }</w:instrText>
      </w:r>
      <w:r w:rsidR="001B2983"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(1)</w:t>
      </w:r>
      <w:r w:rsidR="001B2983" w:rsidRPr="00A43421">
        <w:rPr>
          <w:rFonts w:ascii="Times New Roman" w:hAnsi="Times New Roman" w:cs="Times New Roman"/>
          <w:color w:val="000000" w:themeColor="text1"/>
          <w:sz w:val="24"/>
          <w:szCs w:val="24"/>
          <w:vertAlign w:val="superscript"/>
        </w:rPr>
        <w:fldChar w:fldCharType="end"/>
      </w:r>
      <w:r w:rsidR="00493720" w:rsidRPr="00A43421">
        <w:rPr>
          <w:rFonts w:ascii="Times New Roman" w:hAnsi="Times New Roman" w:cs="Times New Roman"/>
          <w:color w:val="000000" w:themeColor="text1"/>
          <w:sz w:val="24"/>
          <w:szCs w:val="24"/>
          <w:vertAlign w:val="superscript"/>
        </w:rPr>
        <w:t xml:space="preserve"> </w:t>
      </w:r>
      <w:r w:rsidR="00E22346" w:rsidRPr="00A43421">
        <w:rPr>
          <w:rFonts w:ascii="Times New Roman" w:hAnsi="Times New Roman" w:cs="Times New Roman"/>
          <w:color w:val="000000" w:themeColor="text1"/>
          <w:sz w:val="24"/>
          <w:szCs w:val="24"/>
        </w:rPr>
        <w:t>and Prevalence of Infant Food</w:t>
      </w:r>
      <w:r w:rsidR="00C008D8" w:rsidRPr="00A43421">
        <w:rPr>
          <w:rFonts w:ascii="Times New Roman" w:hAnsi="Times New Roman" w:cs="Times New Roman"/>
          <w:color w:val="000000" w:themeColor="text1"/>
          <w:sz w:val="24"/>
          <w:szCs w:val="24"/>
        </w:rPr>
        <w:t xml:space="preserve"> </w:t>
      </w:r>
      <w:r w:rsidR="00E22346" w:rsidRPr="00A43421">
        <w:rPr>
          <w:rFonts w:ascii="Times New Roman" w:hAnsi="Times New Roman" w:cs="Times New Roman"/>
          <w:color w:val="000000" w:themeColor="text1"/>
          <w:sz w:val="24"/>
          <w:szCs w:val="24"/>
        </w:rPr>
        <w:t>Allergy (PIFA)</w:t>
      </w:r>
      <w:r w:rsidR="001B2983"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"10.1016/j.jaci.2013.05.035", "ISBN" : "1097-6825 (Electronic)\\r0091-6749 (Linking)", "ISSN" : "00916749", "PMID" : "23891269", "abstract" : "Background After an era of only considering the allergenic properties of the infant diet and allergy outcomes, emerging data suggest that the overall composition of the infant diet might be a more important factor in the development of allergic disease. Objective We sought to assess the relationship between infant dietary patterns in the first year of life and development of food allergy by age 2 years. Methods We performed a nested, case-control, within-cohort study. Mothers kept prospective food diaries for the first year of life, with resultant diet data coded in a unique manner to produce new variables, which were then analyzed by using principal component analysis to identify infant feeding patterns within the study subjects. Results Principal component analysis of diet diary data from 41 infants given a diagnosis of food allergy based on results of double-blind, placebo-controlled food challenges in the first 2 years of life and their 82 age-matched control subjects provided an early infant diet pattern and an ongoing diet pattern. There was no difference between the study groups for the early infant diet pattern, but for the ongoing diet pattern, there was a significant difference between the groups (P =.001). This ongoing dietary pattern was characterized by higher intake of fruits, vegetables, and home-prepared foods, with control infants having a significantly higher healthy infant diet dietary pattern score than children who had a food allergy. Conclusions An infant diet consisting of high levels of fruits, vegetables, and home-prepared foods is associated with less food allergy by the age of 2 years. ?? 2013 American Academy of Allergy, Asthma &amp; Immunology.", "author" : [ { "dropping-particle" : "", "family" : "Grimshaw", "given" : "Kate E C", "non-dropping-particle" : "", "parse-names" : false, "suffix" : "" }, { "dropping-particle" : "", "family" : "Maskell", "given" : "Joe", "non-dropping-particle" : "", "parse-names" : false, "suffix" : "" }, { "dropping-particle" : "", "family" : "Oliver", "given" : "Erin M.", "non-dropping-particle" : "", "parse-names" : false, "suffix" : "" }, { "dropping-particle" : "", "family" : "Morris", "given" : "Ruth C G", "non-dropping-particle" : "", "parse-names" : false, "suffix" : "" }, { "dropping-particle" : "", "family" : "Foote", "given" : "Keith D.", "non-dropping-particle" : "", "parse-names" : false, "suffix" : "" }, { "dropping-particle" : "", "family" : "Mills", "given" : "E. N Clare", "non-dropping-particle" : "", "parse-names" : false, "suffix" : "" }, { "dropping-particle" : "", "family" : "Margetts", "given" : "Barrie M.", "non-dropping-particle" : "", "parse-names" : false, "suffix" : "" }, { "dropping-particle" : "", "family" : "Roberts", "given" : "Graham", "non-dropping-particle" : "", "parse-names" : false, "suffix" : "" } ], "container-title" : "Journal of Allergy and Clinical Immunology", "id" : "ITEM-1", "issue" : "2", "issued" : { "date-parts" : [ [ "2014" ] ] }, "page" : "511-519", "title" : "Diet and food allergy development during infancy: Birth cohort study findings using prospective food diary data", "type" : "article-journal", "volume" : "133" }, "uris" : [ "http://www.mendeley.com/documents/?uuid=5ebc53a2-c3c3-45b9-9d47-09f6a50e1522" ] } ], "mendeley" : { "formattedCitation" : "(30)", "plainTextFormattedCitation" : "(30)", "previouslyFormattedCitation" : "(30)" }, "properties" : { "noteIndex" : 0 }, "schema" : "https://github.com/citation-style-language/schema/raw/master/csl-citation.json" }</w:instrText>
      </w:r>
      <w:r w:rsidR="001B2983"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(30)</w:t>
      </w:r>
      <w:r w:rsidR="001B2983" w:rsidRPr="00A43421">
        <w:rPr>
          <w:rFonts w:ascii="Times New Roman" w:hAnsi="Times New Roman" w:cs="Times New Roman"/>
          <w:color w:val="000000" w:themeColor="text1"/>
          <w:sz w:val="24"/>
          <w:szCs w:val="24"/>
          <w:vertAlign w:val="superscript"/>
        </w:rPr>
        <w:fldChar w:fldCharType="end"/>
      </w:r>
      <w:r w:rsidR="001B2983" w:rsidRPr="00A43421">
        <w:rPr>
          <w:rFonts w:ascii="Times New Roman" w:hAnsi="Times New Roman" w:cs="Times New Roman"/>
          <w:color w:val="000000" w:themeColor="text1"/>
          <w:sz w:val="24"/>
          <w:szCs w:val="24"/>
        </w:rPr>
        <w:t xml:space="preserve"> </w:t>
      </w:r>
      <w:r w:rsidR="00E22346" w:rsidRPr="00A43421">
        <w:rPr>
          <w:rFonts w:ascii="Times New Roman" w:hAnsi="Times New Roman" w:cs="Times New Roman"/>
          <w:color w:val="000000" w:themeColor="text1"/>
          <w:sz w:val="24"/>
          <w:szCs w:val="24"/>
        </w:rPr>
        <w:t>studies</w:t>
      </w:r>
      <w:r w:rsidR="00493720" w:rsidRPr="00A43421">
        <w:rPr>
          <w:rFonts w:ascii="Times New Roman" w:hAnsi="Times New Roman" w:cs="Times New Roman"/>
          <w:color w:val="000000" w:themeColor="text1"/>
          <w:sz w:val="24"/>
          <w:szCs w:val="24"/>
        </w:rPr>
        <w:t xml:space="preserve">, </w:t>
      </w:r>
      <w:r w:rsidR="00011B58" w:rsidRPr="00A43421">
        <w:rPr>
          <w:rFonts w:ascii="Times New Roman" w:hAnsi="Times New Roman" w:cs="Times New Roman"/>
          <w:color w:val="000000" w:themeColor="text1"/>
          <w:sz w:val="24"/>
          <w:szCs w:val="24"/>
        </w:rPr>
        <w:t>born in 2001-2002 and 2006-2008</w:t>
      </w:r>
      <w:r w:rsidR="00493720" w:rsidRPr="00A43421">
        <w:rPr>
          <w:rFonts w:ascii="Times New Roman" w:hAnsi="Times New Roman" w:cs="Times New Roman"/>
          <w:color w:val="000000" w:themeColor="text1"/>
          <w:sz w:val="24"/>
          <w:szCs w:val="24"/>
        </w:rPr>
        <w:t xml:space="preserve"> respectively</w:t>
      </w:r>
      <w:r w:rsidR="00E22346" w:rsidRPr="00A43421">
        <w:rPr>
          <w:rFonts w:ascii="Times New Roman" w:hAnsi="Times New Roman" w:cs="Times New Roman"/>
          <w:color w:val="000000" w:themeColor="text1"/>
          <w:sz w:val="24"/>
          <w:szCs w:val="24"/>
        </w:rPr>
        <w:t>. For both of these studies, detailed prospective information was obtained about feeding practices in infancy. A small number of participants</w:t>
      </w:r>
      <w:r w:rsidR="00372C6B" w:rsidRPr="00A43421">
        <w:rPr>
          <w:rFonts w:ascii="Times New Roman" w:hAnsi="Times New Roman" w:cs="Times New Roman"/>
          <w:color w:val="000000" w:themeColor="text1"/>
          <w:sz w:val="24"/>
          <w:szCs w:val="24"/>
        </w:rPr>
        <w:t xml:space="preserve"> (n =5)</w:t>
      </w:r>
      <w:r w:rsidR="00E22346" w:rsidRPr="00A43421">
        <w:rPr>
          <w:rFonts w:ascii="Times New Roman" w:hAnsi="Times New Roman" w:cs="Times New Roman"/>
          <w:color w:val="000000" w:themeColor="text1"/>
          <w:sz w:val="24"/>
          <w:szCs w:val="24"/>
        </w:rPr>
        <w:t xml:space="preserve"> were recruited from NHS allergy clinics from the Isle of</w:t>
      </w:r>
      <w:r w:rsidR="00C008D8" w:rsidRPr="00A43421">
        <w:rPr>
          <w:rFonts w:ascii="Times New Roman" w:hAnsi="Times New Roman" w:cs="Times New Roman"/>
          <w:color w:val="000000" w:themeColor="text1"/>
          <w:sz w:val="24"/>
          <w:szCs w:val="24"/>
        </w:rPr>
        <w:t xml:space="preserve"> </w:t>
      </w:r>
      <w:r w:rsidR="00E22346" w:rsidRPr="00A43421">
        <w:rPr>
          <w:rFonts w:ascii="Times New Roman" w:hAnsi="Times New Roman" w:cs="Times New Roman"/>
          <w:color w:val="000000" w:themeColor="text1"/>
          <w:sz w:val="24"/>
          <w:szCs w:val="24"/>
        </w:rPr>
        <w:t>Wight</w:t>
      </w:r>
      <w:r w:rsidR="00AD0ED9" w:rsidRPr="00A43421">
        <w:rPr>
          <w:rFonts w:ascii="Times New Roman" w:hAnsi="Times New Roman" w:cs="Times New Roman"/>
          <w:color w:val="000000" w:themeColor="text1"/>
          <w:sz w:val="24"/>
          <w:szCs w:val="24"/>
        </w:rPr>
        <w:t xml:space="preserve"> to increase the sample size</w:t>
      </w:r>
      <w:r w:rsidR="00E22346" w:rsidRPr="00A43421">
        <w:rPr>
          <w:rFonts w:ascii="Times New Roman" w:hAnsi="Times New Roman" w:cs="Times New Roman"/>
          <w:color w:val="000000" w:themeColor="text1"/>
          <w:sz w:val="24"/>
          <w:szCs w:val="24"/>
        </w:rPr>
        <w:t>.</w:t>
      </w:r>
      <w:r w:rsidR="00E92670" w:rsidRPr="00A43421">
        <w:rPr>
          <w:rFonts w:ascii="Times New Roman" w:hAnsi="Times New Roman" w:cs="Times New Roman"/>
          <w:color w:val="000000" w:themeColor="text1"/>
          <w:sz w:val="24"/>
          <w:szCs w:val="24"/>
        </w:rPr>
        <w:t xml:space="preserve"> </w:t>
      </w:r>
      <w:r w:rsidR="00E22346" w:rsidRPr="00A43421">
        <w:rPr>
          <w:rFonts w:ascii="Times New Roman" w:hAnsi="Times New Roman" w:cs="Times New Roman"/>
          <w:color w:val="000000" w:themeColor="text1"/>
          <w:sz w:val="24"/>
          <w:szCs w:val="24"/>
        </w:rPr>
        <w:t xml:space="preserve">Children with current food </w:t>
      </w:r>
      <w:r w:rsidR="000677FD" w:rsidRPr="00A43421">
        <w:rPr>
          <w:rFonts w:ascii="Times New Roman" w:hAnsi="Times New Roman" w:cs="Times New Roman"/>
          <w:color w:val="000000" w:themeColor="text1"/>
          <w:sz w:val="24"/>
          <w:szCs w:val="24"/>
        </w:rPr>
        <w:t>allergy</w:t>
      </w:r>
      <w:r w:rsidR="00E22346" w:rsidRPr="00A43421">
        <w:rPr>
          <w:rFonts w:ascii="Times New Roman" w:hAnsi="Times New Roman" w:cs="Times New Roman"/>
          <w:color w:val="000000" w:themeColor="text1"/>
          <w:sz w:val="24"/>
          <w:szCs w:val="24"/>
        </w:rPr>
        <w:t xml:space="preserve"> or</w:t>
      </w:r>
      <w:r w:rsidR="00C008D8" w:rsidRPr="00A43421">
        <w:rPr>
          <w:rFonts w:ascii="Times New Roman" w:hAnsi="Times New Roman" w:cs="Times New Roman"/>
          <w:color w:val="000000" w:themeColor="text1"/>
          <w:sz w:val="24"/>
          <w:szCs w:val="24"/>
        </w:rPr>
        <w:t xml:space="preserve"> </w:t>
      </w:r>
      <w:r w:rsidR="00372C6B" w:rsidRPr="00A43421">
        <w:rPr>
          <w:rFonts w:ascii="Times New Roman" w:hAnsi="Times New Roman" w:cs="Times New Roman"/>
          <w:color w:val="000000" w:themeColor="text1"/>
          <w:sz w:val="24"/>
          <w:szCs w:val="24"/>
        </w:rPr>
        <w:t>any condition</w:t>
      </w:r>
      <w:r w:rsidR="00E22346" w:rsidRPr="00A43421">
        <w:rPr>
          <w:rFonts w:ascii="Times New Roman" w:hAnsi="Times New Roman" w:cs="Times New Roman"/>
          <w:color w:val="000000" w:themeColor="text1"/>
          <w:sz w:val="24"/>
          <w:szCs w:val="24"/>
        </w:rPr>
        <w:t xml:space="preserve"> requiring a special diet were excluded.</w:t>
      </w:r>
      <w:r w:rsidR="00C008D8" w:rsidRPr="00A43421">
        <w:rPr>
          <w:rFonts w:ascii="Times New Roman" w:hAnsi="Times New Roman" w:cs="Times New Roman"/>
          <w:color w:val="000000" w:themeColor="text1"/>
          <w:sz w:val="24"/>
          <w:szCs w:val="24"/>
        </w:rPr>
        <w:t xml:space="preserve"> The study was approved by Berkshire NHS ethics committee (reference 13/SC/0194). Written informed consent was obtained from both parent and child. </w:t>
      </w:r>
    </w:p>
    <w:p w14:paraId="5BF2A7D6" w14:textId="77777777" w:rsidR="008132A4" w:rsidRDefault="008132A4" w:rsidP="00E22346">
      <w:pPr>
        <w:autoSpaceDE w:val="0"/>
        <w:autoSpaceDN w:val="0"/>
        <w:adjustRightInd w:val="0"/>
        <w:spacing w:after="0" w:line="240" w:lineRule="auto"/>
        <w:rPr>
          <w:rFonts w:ascii="Times New Roman" w:hAnsi="Times New Roman" w:cs="Times New Roman"/>
          <w:bCs/>
          <w:color w:val="000000" w:themeColor="text1"/>
          <w:sz w:val="24"/>
          <w:szCs w:val="24"/>
        </w:rPr>
      </w:pPr>
      <w:r w:rsidRPr="00081E1C">
        <w:rPr>
          <w:rFonts w:ascii="Arial" w:hAnsi="Arial" w:cs="Arial"/>
          <w:noProof/>
          <w:sz w:val="20"/>
          <w:szCs w:val="20"/>
          <w:lang w:eastAsia="zh-CN"/>
        </w:rPr>
        <w:drawing>
          <wp:inline distT="0" distB="0" distL="0" distR="0" wp14:anchorId="3F41CB6E" wp14:editId="05C437A4">
            <wp:extent cx="5486400" cy="3730625"/>
            <wp:effectExtent l="38100" t="0" r="0" b="222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BFB4ABE" w14:textId="77777777" w:rsidR="008132A4" w:rsidRDefault="008132A4" w:rsidP="00E22346">
      <w:pPr>
        <w:autoSpaceDE w:val="0"/>
        <w:autoSpaceDN w:val="0"/>
        <w:adjustRightInd w:val="0"/>
        <w:spacing w:after="0" w:line="240" w:lineRule="auto"/>
        <w:rPr>
          <w:rFonts w:ascii="Times New Roman" w:hAnsi="Times New Roman" w:cs="Times New Roman"/>
          <w:bCs/>
          <w:color w:val="000000" w:themeColor="text1"/>
          <w:sz w:val="24"/>
          <w:szCs w:val="24"/>
        </w:rPr>
      </w:pPr>
    </w:p>
    <w:p w14:paraId="332F76E9" w14:textId="77777777" w:rsidR="008132A4" w:rsidRDefault="008132A4" w:rsidP="00E22346">
      <w:pPr>
        <w:autoSpaceDE w:val="0"/>
        <w:autoSpaceDN w:val="0"/>
        <w:adjustRightInd w:val="0"/>
        <w:spacing w:after="0" w:line="240" w:lineRule="auto"/>
        <w:rPr>
          <w:rFonts w:ascii="Times New Roman" w:hAnsi="Times New Roman" w:cs="Times New Roman"/>
          <w:bCs/>
          <w:color w:val="000000" w:themeColor="text1"/>
          <w:sz w:val="24"/>
          <w:szCs w:val="24"/>
        </w:rPr>
      </w:pPr>
    </w:p>
    <w:p w14:paraId="4D8E224F" w14:textId="77777777" w:rsidR="008132A4" w:rsidRPr="005838EB" w:rsidRDefault="008132A4" w:rsidP="008132A4">
      <w:pPr>
        <w:spacing w:after="0" w:line="360" w:lineRule="auto"/>
        <w:ind w:left="142"/>
        <w:jc w:val="both"/>
        <w:rPr>
          <w:rFonts w:ascii="Times New Roman" w:eastAsia="MS Mincho" w:hAnsi="Times New Roman" w:cs="Times New Roman"/>
          <w:bCs/>
          <w:sz w:val="24"/>
          <w:szCs w:val="24"/>
          <w:lang w:val="en-US" w:eastAsia="en-GB"/>
        </w:rPr>
      </w:pPr>
      <w:bookmarkStart w:id="2" w:name="_Toc301615615"/>
      <w:bookmarkStart w:id="3" w:name="_Toc301621864"/>
      <w:bookmarkStart w:id="4" w:name="_Toc301768525"/>
      <w:bookmarkStart w:id="5" w:name="_Toc304118799"/>
      <w:r w:rsidRPr="005838EB">
        <w:rPr>
          <w:rFonts w:ascii="Times New Roman" w:eastAsia="MS Mincho" w:hAnsi="Times New Roman" w:cs="Times New Roman"/>
          <w:bCs/>
          <w:sz w:val="24"/>
          <w:szCs w:val="24"/>
          <w:lang w:val="en-US" w:eastAsia="en-GB"/>
        </w:rPr>
        <w:t xml:space="preserve">Figure </w:t>
      </w:r>
      <w:r w:rsidRPr="005838EB">
        <w:rPr>
          <w:rFonts w:ascii="Times New Roman" w:eastAsia="MS Mincho" w:hAnsi="Times New Roman" w:cs="Times New Roman"/>
          <w:bCs/>
          <w:sz w:val="24"/>
          <w:szCs w:val="24"/>
          <w:lang w:val="en-US" w:eastAsia="en-GB"/>
        </w:rPr>
        <w:fldChar w:fldCharType="begin"/>
      </w:r>
      <w:r w:rsidRPr="005838EB">
        <w:rPr>
          <w:rFonts w:ascii="Times New Roman" w:eastAsia="MS Mincho" w:hAnsi="Times New Roman" w:cs="Times New Roman"/>
          <w:bCs/>
          <w:sz w:val="24"/>
          <w:szCs w:val="24"/>
          <w:lang w:val="en-US" w:eastAsia="en-GB"/>
        </w:rPr>
        <w:instrText xml:space="preserve"> SEQ Figure \* ARABIC \s 1 </w:instrText>
      </w:r>
      <w:r w:rsidRPr="005838EB">
        <w:rPr>
          <w:rFonts w:ascii="Times New Roman" w:eastAsia="MS Mincho" w:hAnsi="Times New Roman" w:cs="Times New Roman"/>
          <w:bCs/>
          <w:sz w:val="24"/>
          <w:szCs w:val="24"/>
          <w:lang w:val="en-US" w:eastAsia="en-GB"/>
        </w:rPr>
        <w:fldChar w:fldCharType="separate"/>
      </w:r>
      <w:r w:rsidRPr="005838EB">
        <w:rPr>
          <w:rFonts w:ascii="Times New Roman" w:eastAsia="MS Mincho" w:hAnsi="Times New Roman" w:cs="Times New Roman"/>
          <w:bCs/>
          <w:noProof/>
          <w:sz w:val="24"/>
          <w:szCs w:val="24"/>
          <w:lang w:val="en-US" w:eastAsia="en-GB"/>
        </w:rPr>
        <w:t>1</w:t>
      </w:r>
      <w:r w:rsidRPr="005838EB">
        <w:rPr>
          <w:rFonts w:ascii="Times New Roman" w:eastAsia="MS Mincho" w:hAnsi="Times New Roman" w:cs="Times New Roman"/>
          <w:bCs/>
          <w:noProof/>
          <w:sz w:val="24"/>
          <w:szCs w:val="24"/>
          <w:lang w:val="en-US" w:eastAsia="en-GB"/>
        </w:rPr>
        <w:fldChar w:fldCharType="end"/>
      </w:r>
      <w:r w:rsidRPr="005838EB">
        <w:rPr>
          <w:rFonts w:ascii="Times New Roman" w:eastAsia="MS Mincho" w:hAnsi="Times New Roman" w:cs="Times New Roman"/>
          <w:bCs/>
          <w:sz w:val="24"/>
          <w:szCs w:val="24"/>
          <w:lang w:val="en-US" w:eastAsia="en-GB"/>
        </w:rPr>
        <w:t xml:space="preserve"> Summary of study design</w:t>
      </w:r>
      <w:bookmarkEnd w:id="2"/>
      <w:bookmarkEnd w:id="3"/>
      <w:bookmarkEnd w:id="4"/>
      <w:bookmarkEnd w:id="5"/>
    </w:p>
    <w:p w14:paraId="60C6FE19" w14:textId="77777777" w:rsidR="008132A4" w:rsidRPr="005838EB" w:rsidRDefault="008132A4" w:rsidP="008132A4">
      <w:pPr>
        <w:rPr>
          <w:rFonts w:ascii="Times New Roman" w:hAnsi="Times New Roman" w:cs="Times New Roman"/>
          <w:sz w:val="24"/>
          <w:szCs w:val="24"/>
        </w:rPr>
      </w:pPr>
      <w:r w:rsidRPr="005838EB">
        <w:rPr>
          <w:rFonts w:ascii="Times New Roman" w:hAnsi="Times New Roman" w:cs="Times New Roman"/>
          <w:sz w:val="24"/>
          <w:szCs w:val="24"/>
        </w:rPr>
        <w:t xml:space="preserve">*The FAIR study recruited infants born </w:t>
      </w:r>
      <w:r>
        <w:rPr>
          <w:rFonts w:ascii="Times New Roman" w:hAnsi="Times New Roman" w:cs="Times New Roman"/>
          <w:sz w:val="24"/>
          <w:szCs w:val="24"/>
        </w:rPr>
        <w:t xml:space="preserve">on </w:t>
      </w:r>
      <w:r w:rsidRPr="005838EB">
        <w:rPr>
          <w:rFonts w:ascii="Times New Roman" w:hAnsi="Times New Roman" w:cs="Times New Roman"/>
          <w:sz w:val="24"/>
          <w:szCs w:val="24"/>
        </w:rPr>
        <w:t>the Isle of Wight</w:t>
      </w:r>
      <w:r w:rsidRPr="005838EB">
        <w:rPr>
          <w:rFonts w:ascii="Times New Roman" w:hAnsi="Times New Roman" w:cs="Times New Roman"/>
          <w:sz w:val="24"/>
          <w:szCs w:val="24"/>
          <w:vertAlign w:val="superscript"/>
        </w:rPr>
        <w:t>(1)</w:t>
      </w:r>
      <w:r w:rsidRPr="005838EB">
        <w:rPr>
          <w:rFonts w:ascii="Times New Roman" w:hAnsi="Times New Roman" w:cs="Times New Roman"/>
          <w:sz w:val="24"/>
          <w:szCs w:val="24"/>
        </w:rPr>
        <w:t xml:space="preserve">. </w:t>
      </w:r>
    </w:p>
    <w:p w14:paraId="4D0EF746" w14:textId="77777777" w:rsidR="008132A4" w:rsidRPr="005838EB" w:rsidRDefault="008132A4" w:rsidP="008132A4">
      <w:pPr>
        <w:rPr>
          <w:rFonts w:ascii="Times New Roman" w:hAnsi="Times New Roman" w:cs="Times New Roman"/>
          <w:sz w:val="24"/>
          <w:szCs w:val="24"/>
          <w:lang w:val="en-US" w:eastAsia="en-GB"/>
        </w:rPr>
      </w:pPr>
      <w:r w:rsidRPr="005838EB">
        <w:rPr>
          <w:rFonts w:ascii="Times New Roman" w:hAnsi="Times New Roman" w:cs="Times New Roman"/>
          <w:sz w:val="24"/>
          <w:szCs w:val="24"/>
        </w:rPr>
        <w:t xml:space="preserve">**The PIFA study recruited infants born </w:t>
      </w:r>
      <w:r>
        <w:rPr>
          <w:rFonts w:ascii="Times New Roman" w:hAnsi="Times New Roman" w:cs="Times New Roman"/>
          <w:sz w:val="24"/>
          <w:szCs w:val="24"/>
        </w:rPr>
        <w:t xml:space="preserve">in </w:t>
      </w:r>
      <w:r w:rsidRPr="005838EB">
        <w:rPr>
          <w:rFonts w:ascii="Times New Roman" w:hAnsi="Times New Roman" w:cs="Times New Roman"/>
          <w:sz w:val="24"/>
          <w:szCs w:val="24"/>
        </w:rPr>
        <w:t>the Winchester area</w:t>
      </w:r>
      <w:r w:rsidRPr="005838EB">
        <w:rPr>
          <w:rFonts w:ascii="Times New Roman" w:hAnsi="Times New Roman" w:cs="Times New Roman"/>
          <w:sz w:val="24"/>
          <w:szCs w:val="24"/>
          <w:vertAlign w:val="superscript"/>
        </w:rPr>
        <w:fldChar w:fldCharType="begin" w:fldLock="1"/>
      </w:r>
      <w:r w:rsidRPr="005838EB">
        <w:rPr>
          <w:rFonts w:ascii="Times New Roman" w:hAnsi="Times New Roman" w:cs="Times New Roman"/>
          <w:sz w:val="24"/>
          <w:szCs w:val="24"/>
          <w:vertAlign w:val="superscript"/>
        </w:rPr>
        <w:instrText>ADDIN CSL_CITATION { "citationItems" : [ { "id" : "ITEM-1", "itemData" : { "DOI" : "10.1016/j.jaci.2013.05.035", "ISBN" : "1097-6825 (Electronic)\\r0091-6749 (Linking)", "ISSN" : "00916749", "PMID" : "23891269", "abstract" : "Background After an era of only considering the allergenic properties of the infant diet and allergy outcomes, emerging data suggest that the overall composition of the infant diet might be a more important factor in the development of allergic disease. Objective We sought to assess the relationship between infant dietary patterns in the first year of life and development of food allergy by age 2 years. Methods We performed a nested, case-control, within-cohort study. Mothers kept prospective food diaries for the first year of life, with resultant diet data coded in a unique manner to produce new variables, which were then analyzed by using principal component analysis to identify infant feeding patterns within the study subjects. Results Principal component analysis of diet diary data from 41 infants given a diagnosis of food allergy based on results of double-blind, placebo-controlled food challenges in the first 2 years of life and their 82 age-matched control subjects provided an early infant diet pattern and an ongoing diet pattern. There was no difference between the study groups for the early infant diet pattern, but for the ongoing diet pattern, there was a significant difference between the groups (P =.001). This ongoing dietary pattern was characterized by higher intake of fruits, vegetables, and home-prepared foods, with control infants having a significantly higher healthy infant diet dietary pattern score than children who had a food allergy. Conclusions An infant diet consisting of high levels of fruits, vegetables, and home-prepared foods is associated with less food allergy by the age of 2 years. ?? 2013 American Academy of Allergy, Asthma &amp; Immunology.", "author" : [ { "dropping-particle" : "", "family" : "Grimshaw", "given" : "Kate E C", "non-dropping-particle" : "", "parse-names" : false, "suffix" : "" }, { "dropping-particle" : "", "family" : "Maskell", "given" : "Joe", "non-dropping-particle" : "", "parse-names" : false, "suffix" : "" }, { "dropping-particle" : "", "family" : "Oliver", "given" : "Erin M.", "non-dropping-particle" : "", "parse-names" : false, "suffix" : "" }, { "dropping-particle" : "", "family" : "Morris", "given" : "Ruth C G", "non-dropping-particle" : "", "parse-names" : false, "suffix" : "" }, { "dropping-particle" : "", "family" : "Foote", "given" : "Keith D.", "non-dropping-particle" : "", "parse-names" : false, "suffix" : "" }, { "dropping-particle" : "", "family" : "Mills", "given" : "E. N Clare", "non-dropping-particle" : "", "parse-names" : false, "suffix" : "" }, { "dropping-particle" : "", "family" : "Margetts", "given" : "Barrie M.", "non-dropping-particle" : "", "parse-names" : false, "suffix" : "" }, { "dropping-particle" : "", "family" : "Roberts", "given" : "Graham", "non-dropping-particle" : "", "parse-names" : false, "suffix" : "" } ], "container-title" : "Journal of Allergy and Clinical Immunology", "id" : "ITEM-1", "issue" : "2", "issued" : { "date-parts" : [ [ "2014" ] ] }, "page" : "511-519", "title" : "Diet and food allergy development during infancy: Birth cohort study findings using prospective food diary data", "type" : "article-journal", "volume" : "133" }, "uris" : [ "http://www.mendeley.com/documents/?uuid=5ebc53a2-c3c3-45b9-9d47-09f6a50e1522" ] } ], "mendeley" : { "formattedCitation" : "(30)", "plainTextFormattedCitation" : "(30)", "previouslyFormattedCitation" : "(30)" }, "properties" : { "noteIndex" : 0 }, "schema" : "https://github.com/citation-style-language/schema/raw/master/csl-citation.json" }</w:instrText>
      </w:r>
      <w:r w:rsidRPr="005838EB">
        <w:rPr>
          <w:rFonts w:ascii="Times New Roman" w:hAnsi="Times New Roman" w:cs="Times New Roman"/>
          <w:sz w:val="24"/>
          <w:szCs w:val="24"/>
          <w:vertAlign w:val="superscript"/>
        </w:rPr>
        <w:fldChar w:fldCharType="separate"/>
      </w:r>
      <w:r w:rsidRPr="005838EB">
        <w:rPr>
          <w:rFonts w:ascii="Times New Roman" w:hAnsi="Times New Roman" w:cs="Times New Roman"/>
          <w:noProof/>
          <w:sz w:val="24"/>
          <w:szCs w:val="24"/>
          <w:vertAlign w:val="superscript"/>
        </w:rPr>
        <w:t>(30)</w:t>
      </w:r>
      <w:r w:rsidRPr="005838EB">
        <w:rPr>
          <w:rFonts w:ascii="Times New Roman" w:hAnsi="Times New Roman" w:cs="Times New Roman"/>
          <w:sz w:val="24"/>
          <w:szCs w:val="24"/>
          <w:vertAlign w:val="superscript"/>
        </w:rPr>
        <w:fldChar w:fldCharType="end"/>
      </w:r>
      <w:r w:rsidRPr="005838EB">
        <w:rPr>
          <w:rFonts w:ascii="Times New Roman" w:hAnsi="Times New Roman" w:cs="Times New Roman"/>
          <w:sz w:val="24"/>
          <w:szCs w:val="24"/>
        </w:rPr>
        <w:t xml:space="preserve">. </w:t>
      </w:r>
    </w:p>
    <w:p w14:paraId="2E9B11C1" w14:textId="071DB5FB" w:rsidR="00E22346" w:rsidRPr="00A43421" w:rsidRDefault="00E22346" w:rsidP="00E22346">
      <w:pPr>
        <w:autoSpaceDE w:val="0"/>
        <w:autoSpaceDN w:val="0"/>
        <w:adjustRightInd w:val="0"/>
        <w:spacing w:after="0" w:line="240" w:lineRule="auto"/>
        <w:rPr>
          <w:rFonts w:ascii="Times New Roman" w:hAnsi="Times New Roman" w:cs="Times New Roman"/>
          <w:bCs/>
          <w:color w:val="000000" w:themeColor="text1"/>
          <w:sz w:val="24"/>
          <w:szCs w:val="24"/>
        </w:rPr>
      </w:pPr>
      <w:r w:rsidRPr="00A43421">
        <w:rPr>
          <w:rFonts w:ascii="Times New Roman" w:hAnsi="Times New Roman" w:cs="Times New Roman"/>
          <w:bCs/>
          <w:color w:val="000000" w:themeColor="text1"/>
          <w:sz w:val="24"/>
          <w:szCs w:val="24"/>
        </w:rPr>
        <w:t>Data collection</w:t>
      </w:r>
    </w:p>
    <w:p w14:paraId="0E04F73A" w14:textId="77777777" w:rsidR="00C008D8" w:rsidRPr="00A43421" w:rsidRDefault="00C008D8" w:rsidP="00E22346">
      <w:pPr>
        <w:autoSpaceDE w:val="0"/>
        <w:autoSpaceDN w:val="0"/>
        <w:adjustRightInd w:val="0"/>
        <w:spacing w:after="0" w:line="240" w:lineRule="auto"/>
        <w:rPr>
          <w:rFonts w:ascii="Times New Roman" w:hAnsi="Times New Roman" w:cs="Times New Roman"/>
          <w:b/>
          <w:bCs/>
          <w:color w:val="000000" w:themeColor="text1"/>
          <w:sz w:val="24"/>
          <w:szCs w:val="24"/>
        </w:rPr>
      </w:pPr>
    </w:p>
    <w:p w14:paraId="6F8D24F0" w14:textId="318D14F4" w:rsidR="00E22346" w:rsidRPr="00A43421" w:rsidRDefault="00E22346" w:rsidP="00C008D8">
      <w:pPr>
        <w:autoSpaceDE w:val="0"/>
        <w:autoSpaceDN w:val="0"/>
        <w:adjustRightInd w:val="0"/>
        <w:spacing w:after="0"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 xml:space="preserve">Participants eligible for inclusion in the CME group were identified by the study coordinators </w:t>
      </w:r>
      <w:r w:rsidR="00185688" w:rsidRPr="00A43421">
        <w:rPr>
          <w:rFonts w:ascii="Times New Roman" w:hAnsi="Times New Roman" w:cs="Times New Roman"/>
          <w:color w:val="000000" w:themeColor="text1"/>
          <w:sz w:val="24"/>
          <w:szCs w:val="24"/>
        </w:rPr>
        <w:t>of</w:t>
      </w:r>
      <w:r w:rsidRPr="00A43421">
        <w:rPr>
          <w:rFonts w:ascii="Times New Roman" w:hAnsi="Times New Roman" w:cs="Times New Roman"/>
          <w:color w:val="000000" w:themeColor="text1"/>
          <w:sz w:val="24"/>
          <w:szCs w:val="24"/>
        </w:rPr>
        <w:t xml:space="preserve"> the FAIR and PIFA studies. Control participants were identified as the consecutive study participants to each identified CME participant in the database. Extensive information about social demographics, infant feeding, family and allergy history</w:t>
      </w:r>
      <w:r w:rsidR="00C008D8" w:rsidRPr="00A43421">
        <w:rPr>
          <w:rFonts w:ascii="Times New Roman" w:hAnsi="Times New Roman" w:cs="Times New Roman"/>
          <w:color w:val="000000" w:themeColor="text1"/>
          <w:sz w:val="24"/>
          <w:szCs w:val="24"/>
        </w:rPr>
        <w:t xml:space="preserve"> </w:t>
      </w:r>
      <w:r w:rsidRPr="00A43421">
        <w:rPr>
          <w:rFonts w:ascii="Times New Roman" w:hAnsi="Times New Roman" w:cs="Times New Roman"/>
          <w:color w:val="000000" w:themeColor="text1"/>
          <w:sz w:val="24"/>
          <w:szCs w:val="24"/>
        </w:rPr>
        <w:t>was available from the original birth cohort dataset. For participants recruited from NHS</w:t>
      </w:r>
      <w:r w:rsidR="00C008D8" w:rsidRPr="00A43421">
        <w:rPr>
          <w:rFonts w:ascii="Times New Roman" w:hAnsi="Times New Roman" w:cs="Times New Roman"/>
          <w:color w:val="000000" w:themeColor="text1"/>
          <w:sz w:val="24"/>
          <w:szCs w:val="24"/>
        </w:rPr>
        <w:t xml:space="preserve"> </w:t>
      </w:r>
      <w:r w:rsidR="00372C6B" w:rsidRPr="00A43421">
        <w:rPr>
          <w:rFonts w:ascii="Times New Roman" w:hAnsi="Times New Roman" w:cs="Times New Roman"/>
          <w:color w:val="000000" w:themeColor="text1"/>
          <w:sz w:val="24"/>
          <w:szCs w:val="24"/>
        </w:rPr>
        <w:t>allergy clinics,</w:t>
      </w:r>
      <w:r w:rsidRPr="00A43421">
        <w:rPr>
          <w:rFonts w:ascii="Times New Roman" w:hAnsi="Times New Roman" w:cs="Times New Roman"/>
          <w:color w:val="000000" w:themeColor="text1"/>
          <w:sz w:val="24"/>
          <w:szCs w:val="24"/>
        </w:rPr>
        <w:t xml:space="preserve"> information was extracted from medical notes.</w:t>
      </w:r>
    </w:p>
    <w:p w14:paraId="14CF0639" w14:textId="77777777" w:rsidR="00C008D8" w:rsidRPr="00A43421" w:rsidRDefault="00C008D8" w:rsidP="00C008D8">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52E7612" w14:textId="77777777" w:rsidR="00C008D8" w:rsidRPr="00A43421" w:rsidRDefault="00C008D8" w:rsidP="00C008D8">
      <w:pPr>
        <w:autoSpaceDE w:val="0"/>
        <w:autoSpaceDN w:val="0"/>
        <w:adjustRightInd w:val="0"/>
        <w:spacing w:after="0"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Food neophobia</w:t>
      </w:r>
    </w:p>
    <w:p w14:paraId="427487AD" w14:textId="4C04EBA6" w:rsidR="00C008D8" w:rsidRPr="00A43421" w:rsidRDefault="00C008D8" w:rsidP="00C008D8">
      <w:pPr>
        <w:widowControl w:val="0"/>
        <w:autoSpaceDE w:val="0"/>
        <w:autoSpaceDN w:val="0"/>
        <w:adjustRightInd w:val="0"/>
        <w:spacing w:line="360" w:lineRule="auto"/>
        <w:jc w:val="both"/>
        <w:rPr>
          <w:rFonts w:ascii="Times New Roman" w:hAnsi="Times New Roman" w:cs="Times New Roman"/>
          <w:color w:val="000000" w:themeColor="text1"/>
          <w:sz w:val="24"/>
          <w:szCs w:val="24"/>
          <w:lang w:val="en-US"/>
        </w:rPr>
      </w:pPr>
      <w:r w:rsidRPr="00A43421">
        <w:rPr>
          <w:rFonts w:ascii="Times New Roman" w:hAnsi="Times New Roman" w:cs="Times New Roman"/>
          <w:color w:val="000000" w:themeColor="text1"/>
          <w:sz w:val="24"/>
          <w:szCs w:val="24"/>
        </w:rPr>
        <w:t>Food neophobia was measured using</w:t>
      </w:r>
      <w:r w:rsidR="00FD6C09" w:rsidRPr="00A43421">
        <w:rPr>
          <w:rFonts w:ascii="Times New Roman" w:hAnsi="Times New Roman" w:cs="Times New Roman"/>
          <w:color w:val="000000" w:themeColor="text1"/>
          <w:sz w:val="24"/>
          <w:szCs w:val="24"/>
        </w:rPr>
        <w:t xml:space="preserve"> the Child Food Neophobia Scale</w:t>
      </w:r>
      <w:r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"10.1006/appe.1994.1043", "ISBN" : "0195-6663", "ISSN" : "0195-6663", "PMID" : "7864609", "abstract" : "In order to construct a behavioral neophobia measure for children, we had 5-, 8- and 11-year-olds choose from ten novel and ten familiar foods which ones they were willing to taste. Meanwhile, their parents indicated their own willingness to taste each of the foods, predicted the children's willingness, estimated the number of times they and their children had eaten the foods, and completed trait measures of food neophobia for themselves and the children. The children's levels of behavioral neophobia were significantly related to both their levels of trait neophobia and their parents' predictions of their willingness to eat the foods (r = 0.38 and 0.34, respectively; p &lt; 0.001). In addition, children's and parents' behavioral and trait neophobia scores were significantly related (both r = 0.31; p &lt; 0.001). Finally, parents but not children were more neophobic with respect to foods of animal (vs. vegetable) origin.", "author" : [ { "dropping-particle" : "", "family" : "Pliner", "given" : "P", "non-dropping-particle" : "", "parse-names" : false, "suffix" : "" } ], "container-title" : "Appetite", "id" : "ITEM-1", "issued" : { "date-parts" : [ [ "1994" ] ] }, "number-of-pages" : "147-163", "title" : "Development of measures of food neophobia in children.", "type" : "report", "volume" : "23" }, "uris" : [ "http://www.mendeley.com/documents/?uuid=5ecbfe83-aaa3-429f-bb6a-e9318d1dfa80" ] } ], "mendeley" : { "formattedCitation" : "(31)", "plainTextFormattedCitation" : "(31)", "previouslyFormattedCitation" : "(31)" }, "properties" : { "noteIndex" : 0 }, "schema" : "https://github.com/citation-style-language/schema/raw/master/csl-citation.json" }</w:instrText>
      </w:r>
      <w:r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(31)</w:t>
      </w:r>
      <w:r w:rsidRPr="00A43421">
        <w:rPr>
          <w:rFonts w:ascii="Times New Roman" w:hAnsi="Times New Roman" w:cs="Times New Roman"/>
          <w:color w:val="000000" w:themeColor="text1"/>
          <w:sz w:val="24"/>
          <w:szCs w:val="24"/>
          <w:vertAlign w:val="superscript"/>
        </w:rPr>
        <w:fldChar w:fldCharType="end"/>
      </w:r>
      <w:r w:rsidRPr="00A43421">
        <w:rPr>
          <w:rFonts w:ascii="Times New Roman" w:hAnsi="Times New Roman" w:cs="Times New Roman"/>
          <w:color w:val="000000" w:themeColor="text1"/>
          <w:sz w:val="24"/>
          <w:szCs w:val="24"/>
        </w:rPr>
        <w:t xml:space="preserve"> a </w:t>
      </w:r>
      <w:r w:rsidR="00213E2C" w:rsidRPr="00A43421">
        <w:rPr>
          <w:rFonts w:ascii="Times New Roman" w:hAnsi="Times New Roman" w:cs="Times New Roman"/>
          <w:color w:val="000000" w:themeColor="text1"/>
          <w:sz w:val="24"/>
          <w:szCs w:val="24"/>
        </w:rPr>
        <w:t xml:space="preserve">validated </w:t>
      </w:r>
      <w:r w:rsidRPr="00A43421">
        <w:rPr>
          <w:rFonts w:ascii="Times New Roman" w:hAnsi="Times New Roman" w:cs="Times New Roman"/>
          <w:color w:val="000000" w:themeColor="text1"/>
          <w:sz w:val="24"/>
          <w:szCs w:val="24"/>
        </w:rPr>
        <w:t xml:space="preserve">parentally completed </w:t>
      </w:r>
      <w:r w:rsidR="000677FD" w:rsidRPr="00A43421">
        <w:rPr>
          <w:rFonts w:ascii="Times New Roman" w:hAnsi="Times New Roman" w:cs="Times New Roman"/>
          <w:color w:val="000000" w:themeColor="text1"/>
          <w:sz w:val="24"/>
          <w:szCs w:val="24"/>
          <w:lang w:val="en-US"/>
        </w:rPr>
        <w:t>questionnaire</w:t>
      </w:r>
      <w:r w:rsidRPr="00A43421">
        <w:rPr>
          <w:rFonts w:ascii="Times New Roman" w:hAnsi="Times New Roman" w:cs="Times New Roman"/>
          <w:color w:val="000000" w:themeColor="text1"/>
          <w:sz w:val="24"/>
          <w:szCs w:val="24"/>
          <w:lang w:val="en-US"/>
        </w:rPr>
        <w:t xml:space="preserve">. </w:t>
      </w:r>
      <w:r w:rsidR="00103831" w:rsidRPr="00A43421">
        <w:rPr>
          <w:rFonts w:ascii="Times New Roman" w:hAnsi="Times New Roman" w:cs="Times New Roman"/>
          <w:color w:val="000000" w:themeColor="text1"/>
          <w:sz w:val="24"/>
          <w:szCs w:val="24"/>
          <w:lang w:val="en-US"/>
        </w:rPr>
        <w:t>In the current study the Cronbach alpha correlation was 0.921, indicating good internal consistency.</w:t>
      </w:r>
    </w:p>
    <w:p w14:paraId="0B85CA59" w14:textId="77777777" w:rsidR="00E22346" w:rsidRPr="00A43421" w:rsidRDefault="00E22346" w:rsidP="004201B4">
      <w:pPr>
        <w:pStyle w:val="Heading3"/>
        <w:rPr>
          <w:rFonts w:ascii="Times New Roman" w:hAnsi="Times New Roman" w:cs="Times New Roman"/>
          <w:color w:val="000000" w:themeColor="text1"/>
          <w:sz w:val="24"/>
          <w:szCs w:val="24"/>
        </w:rPr>
      </w:pPr>
      <w:bookmarkStart w:id="6" w:name="_Toc437506181"/>
      <w:r w:rsidRPr="00A43421">
        <w:rPr>
          <w:rFonts w:ascii="Times New Roman" w:hAnsi="Times New Roman" w:cs="Times New Roman"/>
          <w:color w:val="000000" w:themeColor="text1"/>
          <w:sz w:val="24"/>
          <w:szCs w:val="24"/>
        </w:rPr>
        <w:t>Taste preference</w:t>
      </w:r>
      <w:bookmarkEnd w:id="6"/>
    </w:p>
    <w:p w14:paraId="79056981" w14:textId="4338B85E" w:rsidR="00D60DF3" w:rsidRPr="00A43421" w:rsidRDefault="000677FD" w:rsidP="00E22346">
      <w:pPr>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P</w:t>
      </w:r>
      <w:r w:rsidR="00E22346" w:rsidRPr="00A43421">
        <w:rPr>
          <w:rFonts w:ascii="Times New Roman" w:hAnsi="Times New Roman" w:cs="Times New Roman"/>
          <w:color w:val="000000" w:themeColor="text1"/>
          <w:sz w:val="24"/>
          <w:szCs w:val="24"/>
        </w:rPr>
        <w:t>reference was assessed for the five main tastes: sweet, salty, bitter, savoury and sour</w:t>
      </w:r>
      <w:r w:rsidRPr="00A43421">
        <w:rPr>
          <w:rFonts w:ascii="Times New Roman" w:hAnsi="Times New Roman" w:cs="Times New Roman"/>
          <w:color w:val="000000" w:themeColor="text1"/>
          <w:sz w:val="24"/>
          <w:szCs w:val="24"/>
        </w:rPr>
        <w:t>,</w:t>
      </w:r>
      <w:r w:rsidR="00E22346" w:rsidRPr="00A43421">
        <w:rPr>
          <w:rFonts w:ascii="Times New Roman" w:hAnsi="Times New Roman" w:cs="Times New Roman"/>
          <w:color w:val="000000" w:themeColor="text1"/>
          <w:sz w:val="24"/>
          <w:szCs w:val="24"/>
        </w:rPr>
        <w:t xml:space="preserve"> based on</w:t>
      </w:r>
      <w:r w:rsidR="00FD6C09" w:rsidRPr="00A43421">
        <w:rPr>
          <w:rFonts w:ascii="Times New Roman" w:hAnsi="Times New Roman" w:cs="Times New Roman"/>
          <w:color w:val="000000" w:themeColor="text1"/>
          <w:sz w:val="24"/>
          <w:szCs w:val="24"/>
        </w:rPr>
        <w:t xml:space="preserve"> the methodology of Knof et al.</w:t>
      </w:r>
      <w:r w:rsidR="00451981"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"10.1038/ijo.2011.45", "ISBN" : "1476-5497 (Electronic)\\n0307-0565 (Linking)", "ISSN" : "1476-5497", "PMID" : "21483413", "abstract" : "The 5-year multilevel epidemiological IDEFICS (Identification and prevention of dietary- and lifestyle-induced health effects in children and infants) study, launched under the Sixth Framework Programme of the European Commission, aims at counteracting the epidemic of dietary- and lifestyle-induced adverse health effects in children. To reveal possible links between overweight/obesity in childhood with taste sensitivity and taste preferences, special procedures were developed for application at the European level. This paper presents these newly developed procedures.", "author" : [ { "dropping-particle" : "", "family" : "Knof", "given" : "K", "non-dropping-particle" : "", "parse-names" : false, "suffix" : "" }, { "dropping-particle" : "", "family" : "Lanfer", "given" : "A", "non-dropping-particle" : "", "parse-names" : false, "suffix" : "" }, { "dropping-particle" : "", "family" : "Bildstein", "given" : "M O", "non-dropping-particle" : "", "parse-names" : false, "suffix" : "" }, { "dropping-particle" : "", "family" : "Buchecker", "given" : "K", "non-dropping-particle" : "", "parse-names" : false, "suffix" : "" }, { "dropping-particle" : "", "family" : "Hilz", "given" : "H", "non-dropping-particle" : "", "parse-names" : false, "suffix" : "" } ], "container-title" : "International journal of obesity (2005)", "id" : "ITEM-1", "issued" : { "date-parts" : [ [ "2011" ] ] }, "page" : "S131-S136", "title" : "Development of a method to measure sensory perception in children at the European level.", "type" : "article-journal", "volume" : "35 Suppl 1" }, "uris" : [ "http://www.mendeley.com/documents/?uuid=c28851e9-2948-414e-8ca0-380ff2a4c403" ] } ], "mendeley" : { "formattedCitation" : "(32)", "plainTextFormattedCitation" : "(32)", "previouslyFormattedCitation" : "(32)" }, "properties" : { "noteIndex" : 0 }, "schema" : "https://github.com/citation-style-language/schema/raw/master/csl-citation.json" }</w:instrText>
      </w:r>
      <w:r w:rsidR="00451981"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(32)</w:t>
      </w:r>
      <w:r w:rsidR="00451981" w:rsidRPr="00A43421">
        <w:rPr>
          <w:rFonts w:ascii="Times New Roman" w:hAnsi="Times New Roman" w:cs="Times New Roman"/>
          <w:color w:val="000000" w:themeColor="text1"/>
          <w:sz w:val="24"/>
          <w:szCs w:val="24"/>
          <w:vertAlign w:val="superscript"/>
        </w:rPr>
        <w:fldChar w:fldCharType="end"/>
      </w:r>
      <w:r w:rsidR="00451981" w:rsidRPr="00A43421">
        <w:rPr>
          <w:rFonts w:ascii="Times New Roman" w:hAnsi="Times New Roman" w:cs="Times New Roman"/>
          <w:color w:val="000000" w:themeColor="text1"/>
          <w:sz w:val="24"/>
          <w:szCs w:val="24"/>
        </w:rPr>
        <w:t xml:space="preserve"> and Liem &amp; Mennella</w:t>
      </w:r>
      <w:r w:rsidR="00213E2C" w:rsidRPr="00A43421">
        <w:rPr>
          <w:rFonts w:ascii="Times New Roman" w:hAnsi="Times New Roman" w:cs="Times New Roman"/>
          <w:color w:val="000000" w:themeColor="text1"/>
          <w:sz w:val="24"/>
          <w:szCs w:val="24"/>
          <w:vertAlign w:val="superscript"/>
        </w:rPr>
        <w:fldChar w:fldCharType="begin" w:fldLock="1"/>
      </w:r>
      <w:r w:rsidR="005D23CA" w:rsidRPr="00A43421">
        <w:rPr>
          <w:rFonts w:ascii="Times New Roman" w:hAnsi="Times New Roman" w:cs="Times New Roman"/>
          <w:color w:val="000000" w:themeColor="text1"/>
          <w:sz w:val="24"/>
          <w:szCs w:val="24"/>
          <w:vertAlign w:val="superscript"/>
        </w:rPr>
        <w:instrText>ADDIN CSL_CITATION { "citationItems" : [ { "id" : "ITEM-1", "itemData" : { "DOI" : "10.1002/dev.10067", "ISBN" : "0012-1630 (Print)\\r0012-1630 (Linking)", "ISSN" : "00121630", "PMID" : "12430162", "abstract" : "We investigated the effects of early experience on sweet and sour preferences in children. Eighty-three children were divided into four groups based on the type of formula fed during infancy and age. By using a forced-choice, sip-and-swallow procedure, we determined the level of sweetness and sourness preferred in juice. Children who were fed protein hydrolysate formulas, which have a distinctive sour and bitter taste and unpleasant odor, preferred higher levels of citric acid in juice when compared to older children who were fed similar formulas. No such difference was observed between the groups for sweet preference. However, the level of sweetness preferred in juice was related to the sugar content of the child's favorite cereal and whether the mother routinely added sugar to their foods. These data illustrate the wide variety of experiential factors that can influence flavor preferences during childhood.", "author" : [ { "dropping-particle" : "", "family" : "Liem", "given" : "Djin Gie", "non-dropping-particle" : "", "parse-names" : false, "suffix" : "" }, { "dropping-particle" : "", "family" : "Mennella", "given" : "Julie A.", "non-dropping-particle" : "", "parse-names" : false, "suffix" : "" } ], "container-title" : "Developmental Psychobiology", "id" : "ITEM-1", "issue" : "4", "issued" : { "date-parts" : [ [ "2002" ] ] }, "page" : "388-395", "title" : "Sweet and sour preferences during childhood: Role of early experiences", "type" : "article-journal", "volume" : "41" }, "uris" : [ "http://www.mendeley.com/documents/?uuid=2b36b28e-b175-44d0-85a6-142994829dd2" ] } ], "mendeley" : { "formattedCitation" : "(14)", "plainTextFormattedCitation" : "(14)", "previouslyFormattedCitation" : "(14)" }, "properties" : { "noteIndex" : 0 }, "schema" : "https://github.com/citation-style-language/schema/raw/master/csl-citation.json" }</w:instrText>
      </w:r>
      <w:r w:rsidR="00213E2C" w:rsidRPr="00A43421">
        <w:rPr>
          <w:rFonts w:ascii="Times New Roman" w:hAnsi="Times New Roman" w:cs="Times New Roman"/>
          <w:color w:val="000000" w:themeColor="text1"/>
          <w:sz w:val="24"/>
          <w:szCs w:val="24"/>
          <w:vertAlign w:val="superscript"/>
        </w:rPr>
        <w:fldChar w:fldCharType="separate"/>
      </w:r>
      <w:r w:rsidR="0082405F" w:rsidRPr="00A43421">
        <w:rPr>
          <w:rFonts w:ascii="Times New Roman" w:hAnsi="Times New Roman" w:cs="Times New Roman"/>
          <w:noProof/>
          <w:color w:val="000000" w:themeColor="text1"/>
          <w:sz w:val="24"/>
          <w:szCs w:val="24"/>
          <w:vertAlign w:val="superscript"/>
        </w:rPr>
        <w:t>(14)</w:t>
      </w:r>
      <w:r w:rsidR="00213E2C" w:rsidRPr="00A43421">
        <w:rPr>
          <w:rFonts w:ascii="Times New Roman" w:hAnsi="Times New Roman" w:cs="Times New Roman"/>
          <w:color w:val="000000" w:themeColor="text1"/>
          <w:sz w:val="24"/>
          <w:szCs w:val="24"/>
          <w:vertAlign w:val="superscript"/>
        </w:rPr>
        <w:fldChar w:fldCharType="end"/>
      </w:r>
      <w:r w:rsidR="00451981" w:rsidRPr="00A43421">
        <w:rPr>
          <w:rFonts w:ascii="Times New Roman" w:hAnsi="Times New Roman" w:cs="Times New Roman"/>
          <w:color w:val="000000" w:themeColor="text1"/>
          <w:sz w:val="24"/>
          <w:szCs w:val="24"/>
        </w:rPr>
        <w:t>.</w:t>
      </w:r>
      <w:r w:rsidR="00E22346" w:rsidRPr="00A43421">
        <w:rPr>
          <w:rFonts w:ascii="Times New Roman" w:hAnsi="Times New Roman" w:cs="Times New Roman"/>
          <w:color w:val="000000" w:themeColor="text1"/>
          <w:sz w:val="24"/>
          <w:szCs w:val="24"/>
        </w:rPr>
        <w:t xml:space="preserve"> Participants were asked to taste and rate five different flavoured waters using </w:t>
      </w:r>
      <w:r w:rsidR="00FD6C09" w:rsidRPr="00A43421">
        <w:rPr>
          <w:rFonts w:ascii="Times New Roman" w:hAnsi="Times New Roman" w:cs="Times New Roman"/>
          <w:color w:val="000000" w:themeColor="text1"/>
          <w:sz w:val="24"/>
          <w:szCs w:val="24"/>
        </w:rPr>
        <w:t>a child-orientated rating scale</w:t>
      </w:r>
      <w:r w:rsidR="00E22346"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"author" : [ { "dropping-particle" : "", "family" : "Popper", "given" : "Richard", "non-dropping-particle" : "", "parse-names" : false, "suffix" : "" }, { "dropping-particle" : "", "family" : "Kroll", "given" : "Jeffrey J", "non-dropping-particle" : "", "parse-names" : false, "suffix" : "" } ], "id" : "ITEM-1", "issued" : { "date-parts" : [ [ "2005" ] ] }, "page" : "75-87", "title" : "Issues and Viewpoints Conducting Sensory Research With Children", "type" : "article-journal", "volume" : "20" }, "uris" : [ "http://www.mendeley.com/documents/?uuid=04dce1ed-3ede-4b9f-acee-731f71787d0d" ] } ], "mendeley" : { "formattedCitation" : "(33)", "plainTextFormattedCitation" : "(33)", "previouslyFormattedCitation" : "(33)" }, "properties" : { "noteIndex" : 0 }, "schema" : "https://github.com/citation-style-language/schema/raw/master/csl-citation.json" }</w:instrText>
      </w:r>
      <w:r w:rsidR="00E22346"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(33)</w:t>
      </w:r>
      <w:r w:rsidR="00E22346" w:rsidRPr="00A43421">
        <w:rPr>
          <w:rFonts w:ascii="Times New Roman" w:hAnsi="Times New Roman" w:cs="Times New Roman"/>
          <w:color w:val="000000" w:themeColor="text1"/>
          <w:sz w:val="24"/>
          <w:szCs w:val="24"/>
          <w:vertAlign w:val="superscript"/>
        </w:rPr>
        <w:fldChar w:fldCharType="end"/>
      </w:r>
      <w:r w:rsidR="00E22346" w:rsidRPr="00A43421">
        <w:rPr>
          <w:rFonts w:ascii="Times New Roman" w:hAnsi="Times New Roman" w:cs="Times New Roman"/>
          <w:color w:val="000000" w:themeColor="text1"/>
          <w:sz w:val="24"/>
          <w:szCs w:val="24"/>
        </w:rPr>
        <w:t xml:space="preserve">. A sixth sample consisted of plain water. Samples were prepared in advance using bottled water and kept refridgerated until immediately before the test. The dilution of each substrate is shown in </w:t>
      </w:r>
      <w:r w:rsidR="00304988" w:rsidRPr="00A43421">
        <w:rPr>
          <w:rFonts w:ascii="Times New Roman" w:hAnsi="Times New Roman" w:cs="Times New Roman"/>
          <w:color w:val="000000" w:themeColor="text1"/>
          <w:sz w:val="24"/>
          <w:szCs w:val="24"/>
        </w:rPr>
        <w:t>in supplementary file 1</w:t>
      </w:r>
      <w:r w:rsidR="00E22346" w:rsidRPr="00A43421">
        <w:rPr>
          <w:rFonts w:ascii="Times New Roman" w:hAnsi="Times New Roman" w:cs="Times New Roman"/>
          <w:color w:val="000000" w:themeColor="text1"/>
          <w:sz w:val="24"/>
          <w:szCs w:val="24"/>
        </w:rPr>
        <w:t>. Sampl</w:t>
      </w:r>
      <w:r w:rsidR="00213E2C" w:rsidRPr="00A43421">
        <w:rPr>
          <w:rFonts w:ascii="Times New Roman" w:hAnsi="Times New Roman" w:cs="Times New Roman"/>
          <w:color w:val="000000" w:themeColor="text1"/>
          <w:sz w:val="24"/>
          <w:szCs w:val="24"/>
        </w:rPr>
        <w:t>es were identical in appearance and</w:t>
      </w:r>
      <w:r w:rsidR="00E22346" w:rsidRPr="00A43421">
        <w:rPr>
          <w:rFonts w:ascii="Times New Roman" w:hAnsi="Times New Roman" w:cs="Times New Roman"/>
          <w:color w:val="000000" w:themeColor="text1"/>
          <w:sz w:val="24"/>
          <w:szCs w:val="24"/>
        </w:rPr>
        <w:t xml:space="preserve"> presented individually in opaque cups in a counterbalanced order. </w:t>
      </w:r>
    </w:p>
    <w:p w14:paraId="5FAD78F1" w14:textId="77777777" w:rsidR="00E22346" w:rsidRPr="00A43421" w:rsidRDefault="00C008D8" w:rsidP="00E22346">
      <w:pPr>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Nutritional intake</w:t>
      </w:r>
    </w:p>
    <w:p w14:paraId="1D0591CA" w14:textId="796B71B5" w:rsidR="00E22346" w:rsidRPr="00A43421" w:rsidRDefault="00E22346" w:rsidP="00E22346">
      <w:pPr>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Parents and children w</w:t>
      </w:r>
      <w:r w:rsidR="00C008D8" w:rsidRPr="00A43421">
        <w:rPr>
          <w:rFonts w:ascii="Times New Roman" w:hAnsi="Times New Roman" w:cs="Times New Roman"/>
          <w:color w:val="000000" w:themeColor="text1"/>
          <w:sz w:val="24"/>
          <w:szCs w:val="24"/>
        </w:rPr>
        <w:t xml:space="preserve">ere asked to jointly complete an </w:t>
      </w:r>
      <w:r w:rsidR="00493720" w:rsidRPr="00A43421">
        <w:rPr>
          <w:rFonts w:ascii="Times New Roman" w:hAnsi="Times New Roman" w:cs="Times New Roman"/>
          <w:color w:val="000000" w:themeColor="text1"/>
          <w:sz w:val="24"/>
          <w:szCs w:val="24"/>
        </w:rPr>
        <w:t xml:space="preserve">estimated food diary, </w:t>
      </w:r>
      <w:r w:rsidR="00D60DF3" w:rsidRPr="00A43421">
        <w:rPr>
          <w:rFonts w:ascii="Times New Roman" w:hAnsi="Times New Roman" w:cs="Times New Roman"/>
          <w:color w:val="000000" w:themeColor="text1"/>
          <w:sz w:val="24"/>
          <w:szCs w:val="24"/>
        </w:rPr>
        <w:t xml:space="preserve">adapted from the </w:t>
      </w:r>
      <w:r w:rsidRPr="00A43421">
        <w:rPr>
          <w:rFonts w:ascii="Times New Roman" w:hAnsi="Times New Roman" w:cs="Times New Roman"/>
          <w:color w:val="000000" w:themeColor="text1"/>
          <w:sz w:val="24"/>
          <w:szCs w:val="24"/>
        </w:rPr>
        <w:t>National Diet and Nutrition Survey</w:t>
      </w:r>
      <w:r w:rsidR="00493720" w:rsidRPr="00A43421">
        <w:rPr>
          <w:rFonts w:ascii="Times New Roman" w:hAnsi="Times New Roman" w:cs="Times New Roman"/>
          <w:color w:val="000000" w:themeColor="text1"/>
          <w:sz w:val="24"/>
          <w:szCs w:val="24"/>
        </w:rPr>
        <w:t xml:space="preserve"> (NDNS)</w:t>
      </w:r>
      <w:r w:rsidR="006A6BD3" w:rsidRPr="00A43421">
        <w:rPr>
          <w:rFonts w:ascii="Times New Roman" w:hAnsi="Times New Roman" w:cs="Times New Roman"/>
          <w:color w:val="000000" w:themeColor="text1"/>
          <w:sz w:val="24"/>
          <w:szCs w:val="24"/>
        </w:rPr>
        <w:t>, UK</w:t>
      </w:r>
      <w:r w:rsidR="00451981" w:rsidRPr="00A43421">
        <w:rPr>
          <w:rFonts w:ascii="Times New Roman" w:hAnsi="Times New Roman" w:cs="Times New Roman"/>
          <w:color w:val="000000" w:themeColor="text1"/>
          <w:sz w:val="24"/>
          <w:szCs w:val="24"/>
          <w:vertAlign w:val="superscript"/>
        </w:rPr>
        <w:t xml:space="preserve"> </w:t>
      </w:r>
      <w:r w:rsidR="00451981"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"10.1046/j.1467-3010.2000.00027.x", "ISBN" : "1467-3010", "ISSN" : "14719827", "abstract" : "Summary This review describes and present the findings of a survey of the diet and nutrition of young people aged 4\u201318 years living in private households in the UK, carried out between January 1997 and January 1998. The National Diet and Nutrition Survey (NDNS) of young people aged 4\u201318 years forms part of the NDNS programme, which aims to provide a comprehensive, cross-sectional picture of the dietary habits, nutrient intakes and nutritional status of the British population by studying representative samples of defined age groups. The survey components included a detailed interview covering dietary habits, lifestyle and socio-demographic characteristics; a 7-day weighed dietary record; a 7-day physical activity diary; measurements of height, weight, mid-upper arm, waist and hip circumferences, and blood pressure; a blood sample for analysis of a range of nutritional status indices; a single urine sample; and an oral health interview and dental examination. A total of 1701 young people provided 7-day dietary records, representing a response rate of 64%. Results have been published in two volumes covering the diet and nutrition survey and the oral health survey. The reports present results for boys and girls separately in four age groups: 4\u20136 years; 7\u201310 years; 11\u201314 years and 15\u201318 years. Results are also presented by region and by socio-economic characteristics. This review summarises some of the main findings of the diet and nutrition survey, including: the proportion of young people who ate selected foods; energy and nutrient intakes compared with UK Dietary Reference Values; nutritional status; physical measurements; and physical activity. [ABSTRACT FROM AUTHOR]", "author" : [ { "dropping-particle" : "", "family" : "Smithers", "given" : "Miss Gillian", "non-dropping-particle" : "", "parse-names" : false, "suffix" : "" }, { "dropping-particle" : "", "family" : "Smithers", "given" : "Gillian", "non-dropping-particle" : "", "parse-names" : false, "suffix" : "" }, { "dropping-particle" : "", "family" : "Gregory", "given" : "Janet R", "non-dropping-particle" : "", "parse-names" : false, "suffix" : "" }, { "dropping-particle" : "", "family" : "Bates", "given" : "Christopher J", "non-dropping-particle" : "", "parse-names" : false, "suffix" : "" }, { "dropping-particle" : "", "family" : "Prentice", "given" : "Ann", "non-dropping-particle" : "", "parse-names" : false, "suffix" : "" }, { "dropping-particle" : "V", "family" : "Jackson", "given" : "Lisa", "non-dropping-particle" : "", "parse-names" : false, "suffix" : "" }, { "dropping-particle" : "", "family" : "Wenlock", "given" : "Robert", "non-dropping-particle" : "", "parse-names" : false, "suffix" : "" } ], "container-title" : "Nutrition Bulletin", "id" : "ITEM-1", "issue" : "2", "issued" : { "date-parts" : [ [ "2000" ] ] }, "page" : "105-111", "title" : "The National Diet and Nutrition Survey: young people aged 4\u201318 years.", "type" : "article-journal", "volume" : "25" }, "uris" : [ "http://www.mendeley.com/documents/?uuid=6c479ba5-e3e2-4598-8e07-692d04b74295" ] } ], "mendeley" : { "formattedCitation" : "(34)", "plainTextFormattedCitation" : "(34)", "previouslyFormattedCitation" : "(34)" }, "properties" : { "noteIndex" : 0 }, "schema" : "https://github.com/citation-style-language/schema/raw/master/csl-citation.json" }</w:instrText>
      </w:r>
      <w:r w:rsidR="00451981"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(34)</w:t>
      </w:r>
      <w:r w:rsidR="00451981" w:rsidRPr="00A43421">
        <w:rPr>
          <w:rFonts w:ascii="Times New Roman" w:hAnsi="Times New Roman" w:cs="Times New Roman"/>
          <w:color w:val="000000" w:themeColor="text1"/>
          <w:sz w:val="24"/>
          <w:szCs w:val="24"/>
          <w:vertAlign w:val="superscript"/>
        </w:rPr>
        <w:fldChar w:fldCharType="end"/>
      </w:r>
      <w:r w:rsidRPr="00A43421">
        <w:rPr>
          <w:rFonts w:ascii="Times New Roman" w:hAnsi="Times New Roman" w:cs="Times New Roman"/>
          <w:color w:val="000000" w:themeColor="text1"/>
          <w:sz w:val="24"/>
          <w:szCs w:val="24"/>
        </w:rPr>
        <w:t xml:space="preserve"> for four consecutive days, including on</w:t>
      </w:r>
      <w:r w:rsidR="00C008D8" w:rsidRPr="00A43421">
        <w:rPr>
          <w:rFonts w:ascii="Times New Roman" w:hAnsi="Times New Roman" w:cs="Times New Roman"/>
          <w:color w:val="000000" w:themeColor="text1"/>
          <w:sz w:val="24"/>
          <w:szCs w:val="24"/>
        </w:rPr>
        <w:t>e</w:t>
      </w:r>
      <w:r w:rsidRPr="00A43421">
        <w:rPr>
          <w:rFonts w:ascii="Times New Roman" w:hAnsi="Times New Roman" w:cs="Times New Roman"/>
          <w:color w:val="000000" w:themeColor="text1"/>
          <w:sz w:val="24"/>
          <w:szCs w:val="24"/>
        </w:rPr>
        <w:t xml:space="preserve"> weekend day. Clear instructions of how to complete the diary we</w:t>
      </w:r>
      <w:r w:rsidR="00C008D8" w:rsidRPr="00A43421">
        <w:rPr>
          <w:rFonts w:ascii="Times New Roman" w:hAnsi="Times New Roman" w:cs="Times New Roman"/>
          <w:color w:val="000000" w:themeColor="text1"/>
          <w:sz w:val="24"/>
          <w:szCs w:val="24"/>
        </w:rPr>
        <w:t>re given orally and in writing, including</w:t>
      </w:r>
      <w:r w:rsidRPr="00A43421">
        <w:rPr>
          <w:rFonts w:ascii="Times New Roman" w:hAnsi="Times New Roman" w:cs="Times New Roman"/>
          <w:color w:val="000000" w:themeColor="text1"/>
          <w:sz w:val="24"/>
          <w:szCs w:val="24"/>
        </w:rPr>
        <w:t xml:space="preserve"> estimating portion sizes, </w:t>
      </w:r>
      <w:r w:rsidR="00530EA7" w:rsidRPr="00A43421">
        <w:rPr>
          <w:rFonts w:ascii="Times New Roman" w:hAnsi="Times New Roman" w:cs="Times New Roman"/>
          <w:color w:val="000000" w:themeColor="text1"/>
          <w:sz w:val="24"/>
          <w:szCs w:val="24"/>
        </w:rPr>
        <w:t xml:space="preserve">detailing </w:t>
      </w:r>
      <w:r w:rsidRPr="00A43421">
        <w:rPr>
          <w:rFonts w:ascii="Times New Roman" w:hAnsi="Times New Roman" w:cs="Times New Roman"/>
          <w:color w:val="000000" w:themeColor="text1"/>
          <w:sz w:val="24"/>
          <w:szCs w:val="24"/>
        </w:rPr>
        <w:t xml:space="preserve">cooking method, wastage, snacks and </w:t>
      </w:r>
      <w:r w:rsidR="00530EA7" w:rsidRPr="00A43421">
        <w:rPr>
          <w:rFonts w:ascii="Times New Roman" w:hAnsi="Times New Roman" w:cs="Times New Roman"/>
          <w:color w:val="000000" w:themeColor="text1"/>
          <w:sz w:val="24"/>
          <w:szCs w:val="24"/>
        </w:rPr>
        <w:t>condiments</w:t>
      </w:r>
      <w:r w:rsidRPr="00A43421">
        <w:rPr>
          <w:rFonts w:ascii="Times New Roman" w:hAnsi="Times New Roman" w:cs="Times New Roman"/>
          <w:color w:val="000000" w:themeColor="text1"/>
          <w:sz w:val="24"/>
          <w:szCs w:val="24"/>
        </w:rPr>
        <w:t xml:space="preserve"> consumed both at home and </w:t>
      </w:r>
      <w:r w:rsidR="00213E2C" w:rsidRPr="00A43421">
        <w:rPr>
          <w:rFonts w:ascii="Times New Roman" w:hAnsi="Times New Roman" w:cs="Times New Roman"/>
          <w:color w:val="000000" w:themeColor="text1"/>
          <w:sz w:val="24"/>
          <w:szCs w:val="24"/>
        </w:rPr>
        <w:t>outside the</w:t>
      </w:r>
      <w:r w:rsidRPr="00A43421">
        <w:rPr>
          <w:rFonts w:ascii="Times New Roman" w:hAnsi="Times New Roman" w:cs="Times New Roman"/>
          <w:color w:val="000000" w:themeColor="text1"/>
          <w:sz w:val="24"/>
          <w:szCs w:val="24"/>
        </w:rPr>
        <w:t xml:space="preserve"> home. Parents were provided with a stamped envelope to return the diary. If the diary was completed in insufficient detail, </w:t>
      </w:r>
      <w:r w:rsidR="00213E2C" w:rsidRPr="00A43421">
        <w:rPr>
          <w:rFonts w:ascii="Times New Roman" w:hAnsi="Times New Roman" w:cs="Times New Roman"/>
          <w:color w:val="000000" w:themeColor="text1"/>
          <w:sz w:val="24"/>
          <w:szCs w:val="24"/>
        </w:rPr>
        <w:t>contact</w:t>
      </w:r>
      <w:r w:rsidRPr="00A43421">
        <w:rPr>
          <w:rFonts w:ascii="Times New Roman" w:hAnsi="Times New Roman" w:cs="Times New Roman"/>
          <w:color w:val="000000" w:themeColor="text1"/>
          <w:sz w:val="24"/>
          <w:szCs w:val="24"/>
        </w:rPr>
        <w:t xml:space="preserve"> was made </w:t>
      </w:r>
      <w:r w:rsidR="00C008D8" w:rsidRPr="00A43421">
        <w:rPr>
          <w:rFonts w:ascii="Times New Roman" w:hAnsi="Times New Roman" w:cs="Times New Roman"/>
          <w:color w:val="000000" w:themeColor="text1"/>
          <w:sz w:val="24"/>
          <w:szCs w:val="24"/>
        </w:rPr>
        <w:t>to clarify details.</w:t>
      </w:r>
      <w:r w:rsidRPr="00A43421">
        <w:rPr>
          <w:rFonts w:ascii="Times New Roman" w:hAnsi="Times New Roman" w:cs="Times New Roman"/>
          <w:color w:val="000000" w:themeColor="text1"/>
          <w:sz w:val="24"/>
          <w:szCs w:val="24"/>
        </w:rPr>
        <w:t xml:space="preserve"> </w:t>
      </w:r>
    </w:p>
    <w:p w14:paraId="79B6BCDC" w14:textId="77777777" w:rsidR="00B45C79" w:rsidRPr="00A43421" w:rsidRDefault="00B45C79" w:rsidP="00E22346">
      <w:pPr>
        <w:rPr>
          <w:rFonts w:ascii="Times New Roman" w:hAnsi="Times New Roman" w:cs="Times New Roman"/>
          <w:color w:val="000000" w:themeColor="text1"/>
          <w:sz w:val="24"/>
          <w:szCs w:val="24"/>
        </w:rPr>
      </w:pPr>
      <w:bookmarkStart w:id="7" w:name="_Toc437506199"/>
      <w:r w:rsidRPr="00A43421">
        <w:rPr>
          <w:rFonts w:ascii="Times New Roman" w:hAnsi="Times New Roman" w:cs="Times New Roman"/>
          <w:color w:val="000000" w:themeColor="text1"/>
          <w:sz w:val="24"/>
          <w:szCs w:val="24"/>
        </w:rPr>
        <w:t>Food diary coding</w:t>
      </w:r>
      <w:bookmarkEnd w:id="7"/>
      <w:r w:rsidR="00E22346" w:rsidRPr="00A43421">
        <w:rPr>
          <w:rFonts w:ascii="Times New Roman" w:hAnsi="Times New Roman" w:cs="Times New Roman"/>
          <w:color w:val="000000" w:themeColor="text1"/>
          <w:sz w:val="24"/>
          <w:szCs w:val="24"/>
        </w:rPr>
        <w:t xml:space="preserve"> and analysis</w:t>
      </w:r>
    </w:p>
    <w:p w14:paraId="1F8EB749" w14:textId="77777777" w:rsidR="00BC278D" w:rsidRPr="00A43421" w:rsidRDefault="00E22346" w:rsidP="00BC278D">
      <w:pPr>
        <w:widowControl w:val="0"/>
        <w:autoSpaceDE w:val="0"/>
        <w:autoSpaceDN w:val="0"/>
        <w:adjustRightInd w:val="0"/>
        <w:spacing w:after="240"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lang w:val="en-US" w:eastAsia="en-GB"/>
        </w:rPr>
        <w:t>All</w:t>
      </w:r>
      <w:r w:rsidR="00B45C79" w:rsidRPr="00A43421">
        <w:rPr>
          <w:rFonts w:ascii="Times New Roman" w:hAnsi="Times New Roman" w:cs="Times New Roman"/>
          <w:color w:val="000000" w:themeColor="text1"/>
          <w:sz w:val="24"/>
          <w:szCs w:val="24"/>
          <w:lang w:val="en-US" w:eastAsia="en-GB"/>
        </w:rPr>
        <w:t xml:space="preserve"> diaries were coded by the</w:t>
      </w:r>
      <w:r w:rsidRPr="00A43421">
        <w:rPr>
          <w:rFonts w:ascii="Times New Roman" w:hAnsi="Times New Roman" w:cs="Times New Roman"/>
          <w:color w:val="000000" w:themeColor="text1"/>
          <w:sz w:val="24"/>
          <w:szCs w:val="24"/>
          <w:lang w:val="en-US" w:eastAsia="en-GB"/>
        </w:rPr>
        <w:t xml:space="preserve"> researcher </w:t>
      </w:r>
      <w:r w:rsidR="00530EA7" w:rsidRPr="00A43421">
        <w:rPr>
          <w:rFonts w:ascii="Times New Roman" w:hAnsi="Times New Roman" w:cs="Times New Roman"/>
          <w:color w:val="000000" w:themeColor="text1"/>
          <w:sz w:val="24"/>
          <w:szCs w:val="24"/>
          <w:lang w:val="en-US" w:eastAsia="en-GB"/>
        </w:rPr>
        <w:t>(</w:t>
      </w:r>
      <w:r w:rsidRPr="00A43421">
        <w:rPr>
          <w:rFonts w:ascii="Times New Roman" w:hAnsi="Times New Roman" w:cs="Times New Roman"/>
          <w:color w:val="000000" w:themeColor="text1"/>
          <w:sz w:val="24"/>
          <w:szCs w:val="24"/>
          <w:lang w:val="en-US" w:eastAsia="en-GB"/>
        </w:rPr>
        <w:t>KM</w:t>
      </w:r>
      <w:r w:rsidR="00530EA7" w:rsidRPr="00A43421">
        <w:rPr>
          <w:rFonts w:ascii="Times New Roman" w:hAnsi="Times New Roman" w:cs="Times New Roman"/>
          <w:color w:val="000000" w:themeColor="text1"/>
          <w:sz w:val="24"/>
          <w:szCs w:val="24"/>
          <w:lang w:val="en-US" w:eastAsia="en-GB"/>
        </w:rPr>
        <w:t>)</w:t>
      </w:r>
      <w:r w:rsidR="00B45C79" w:rsidRPr="00A43421">
        <w:rPr>
          <w:rFonts w:ascii="Times New Roman" w:hAnsi="Times New Roman" w:cs="Times New Roman"/>
          <w:color w:val="000000" w:themeColor="text1"/>
          <w:sz w:val="24"/>
          <w:szCs w:val="24"/>
          <w:lang w:val="en-US" w:eastAsia="en-GB"/>
        </w:rPr>
        <w:t xml:space="preserve"> using a predetermined protocol. Portion sizes were estimated using publishe</w:t>
      </w:r>
      <w:r w:rsidR="00FD6C09" w:rsidRPr="00A43421">
        <w:rPr>
          <w:rFonts w:ascii="Times New Roman" w:hAnsi="Times New Roman" w:cs="Times New Roman"/>
          <w:color w:val="000000" w:themeColor="text1"/>
          <w:sz w:val="24"/>
          <w:szCs w:val="24"/>
          <w:lang w:val="en-US" w:eastAsia="en-GB"/>
        </w:rPr>
        <w:t>d age-appropriate portion sizes</w:t>
      </w:r>
      <w:r w:rsidR="00B45C79" w:rsidRPr="00A43421">
        <w:rPr>
          <w:rFonts w:ascii="Times New Roman" w:hAnsi="Times New Roman" w:cs="Times New Roman"/>
          <w:color w:val="000000" w:themeColor="text1"/>
          <w:sz w:val="24"/>
          <w:szCs w:val="24"/>
          <w:vertAlign w:val="superscript"/>
          <w:lang w:val="en-US" w:eastAsia="en-GB"/>
        </w:rPr>
        <w:fldChar w:fldCharType="begin" w:fldLock="1"/>
      </w:r>
      <w:r w:rsidR="001B2983" w:rsidRPr="00A43421">
        <w:rPr>
          <w:rFonts w:ascii="Times New Roman" w:hAnsi="Times New Roman" w:cs="Times New Roman"/>
          <w:color w:val="000000" w:themeColor="text1"/>
          <w:sz w:val="24"/>
          <w:szCs w:val="24"/>
          <w:vertAlign w:val="superscript"/>
          <w:lang w:val="en-US" w:eastAsia="en-GB"/>
        </w:rPr>
        <w:instrText>ADDIN CSL_CITATION { "citationItems" : [ { "id" : "ITEM-1", "itemData" : { "DOI" : "10.1017/S0007114507868516", "ISBN" : "1475-2662 (Electronic)\\r0007-1145 (Linking)", "ISSN" : "0007-1145", "PMID" : "18031591", "abstract" : "It is often the case in dietary assessment that it is not practicable to weigh individual intakes of foods eaten. The aim of the work described was to estimate typical food portion weights for children of different ages. Using the data available from the British National Diet and Nutrition Surveys of children aged 1 1/2-4 1/2 years (1992-1993) and young people aged 4-18 years (1997), descriptive statistics were obtained, and predicted weights were calculated by linear, quadratic and exponential regression for each age group. Following comparison of energy and nutrient intakes calculated from actual (from an earlier weighed intake study) and estimated portion weights, the final list of typical portion sizes was based on median portion weights for the 1-3- and 4-6-year age groups, and age-adjusted means using linear regression for the 7-10-, 11-14- and 15-18-year age groups. The number of foods recorded by fifty or more children was 133 for each of the younger age groups (1-3 and 4-6 years) and seventy-five for each of the older age groups. The food portion weights covered all food groups. All portion sizes increased with age with the exception of milk in tea or coffee. The present study draws on a unique source of weighed data on food portions of a large sample of children that is unlikely to be repeated and therefore provides the best possible estimates of children's food portion sizes in the UK.", "author" : [ { "dropping-particle" : "", "family" : "Wrieden", "given" : "Wendy L", "non-dropping-particle" : "", "parse-names" : false, "suffix" : "" }, { "dropping-particle" : "", "family" : "Longbottom", "given" : "Patricia J", "non-dropping-particle" : "", "parse-names" : false, "suffix" : "" }, { "dropping-particle" : "", "family" : "Adamson", "given" : "Ashley J", "non-dropping-particle" : "", "parse-names" : false, "suffix" : "" }, { "dropping-particle" : "", "family" : "Ogston", "given" : "Simon A", "non-dropping-particle" : "", "parse-names" : false, "suffix" : "" }, { "dropping-particle" : "", "family" : "Payne", "given" : "Anne", "non-dropping-particle" : "", "parse-names" : false, "suffix" : "" }, { "dropping-particle" : "", "family" : "Haleem", "given" : "Mohammad A", "non-dropping-particle" : "", "parse-names" : false, "suffix" : "" }, { "dropping-particle" : "", "family" : "Barton", "given" : "Karen L", "non-dropping-particle" : "", "parse-names" : false, "suffix" : "" } ], "container-title" : "The British journal of nutrition", "id" : "ITEM-1", "issue" : "6", "issued" : { "date-parts" : [ [ "2008" ] ] }, "page" : "1344-1353", "title" : "Estimation of typical food portion sizes for children of different ages in Great Britain.", "type" : "article-journal", "volume" : "99" }, "uris" : [ "http://www.mendeley.com/documents/?uuid=86fabf43-e185-405c-acb9-6b583c595e86" ] }, { "id" : "ITEM-2", "itemData" : { "DOI" : "10.1017/S1368980012001140", "ISBN" : "1475-2727 (Electronic)\\r1368-9800 (Linking)", "ISSN" : "1368-9800", "PMID" : "22575382", "abstract" : "OBJECTIVE: To produce study-specific portion sizes for 11-year-old children in a population-based birth cohort and to compare these study-specific portion sizes with previously published children's portion sizes, to assess their relevance today. DESIGN: Two multiple-pass 24 h dietary recalls were taken. The Food Standard Agency's photographic food atlas was used to quantify intakes. Study-specific food portion sizes were calculated for each food group. Portion sizes were calculated for all children and separately for boys and girls. The nutrient intake from the 24 h dietary recalls was analysed using study-specific and published portion sizes for individual participants. Agreement was assessed using Pearson's correlation, intra-class correlation coefficients and the Bland-Altman method. SETTING: Birth cohort study, UK. SUBJECTS: Children (mean age 11.3 years, n 264) and parents/guardians. RESULTS: A total of 124 food portion sizes were calculated. Differences in portion weights between boys and girls were seen only for seven food items. There was a significant positive relationship (P &lt; 0.001) between intakes of each nutrient as determined by the two sets of portion sizes. Correlation coefficients ranged from 0.77 (protein) to 0.98 (beta-carotene). The intra-class correlation coefficients showed good agreement between nutrient intakes determined by the study-specific and published portion sizes (P &lt; 0.001). CONCLUSIONS: Nutrient intakes calculated using portion sizes from our population were similar to those calculated from portion size data collected in a national survey, despite being collected over a decade later. The present study adds to the small amount of evidence regarding portion sizes in UK children and shows agreement with previously published paediatric portion sizes.", "author" : [ { "dropping-particle" : "", "family" : "Patel", "given" : "Sumaiya", "non-dropping-particle" : "", "parse-names" : false, "suffix" : "" }, { "dropping-particle" : "", "family" : "Vyas", "given" : "Avni", "non-dropping-particle" : "", "parse-names" : false, "suffix" : "" }, { "dropping-particle" : "", "family" : "Custovic", "given" : "Adnan", "non-dropping-particle" : "", "parse-names" : false, "suffix" : "" }, { "dropping-particle" : "", "family" : "Murray", "given" : "Clare S", "non-dropping-particle" : "", "parse-names" : false, "suffix" : "" } ], "container-title" : "Public Health Nutrition", "id" : "ITEM-2", "issued" : { "date-parts" : [ [ "2012" ] ] }, "page" : "1-9", "title" : "Estimated portion sizes in a school-aged population", "type" : "article" }, "uris" : [ "http://www.mendeley.com/documents/?uuid=daaf0e3e-32c2-4b60-bcf7-2bed19e5c9b0" ] } ], "mendeley" : { "formattedCitation" : "(35,36)", "plainTextFormattedCitation" : "(35,36)", "previouslyFormattedCitation" : "(35,36)" }, "properties" : { "noteIndex" : 0 }, "schema" : "https://github.com/citation-style-language/schema/raw/master/csl-citation.json" }</w:instrText>
      </w:r>
      <w:r w:rsidR="00B45C79" w:rsidRPr="00A43421">
        <w:rPr>
          <w:rFonts w:ascii="Times New Roman" w:hAnsi="Times New Roman" w:cs="Times New Roman"/>
          <w:color w:val="000000" w:themeColor="text1"/>
          <w:sz w:val="24"/>
          <w:szCs w:val="24"/>
          <w:vertAlign w:val="superscript"/>
          <w:lang w:val="en-US" w:eastAsia="en-GB"/>
        </w:rPr>
        <w:fldChar w:fldCharType="separate"/>
      </w:r>
      <w:r w:rsidR="001B2983" w:rsidRPr="00A43421">
        <w:rPr>
          <w:rFonts w:ascii="Times New Roman" w:hAnsi="Times New Roman" w:cs="Times New Roman"/>
          <w:noProof/>
          <w:color w:val="000000" w:themeColor="text1"/>
          <w:sz w:val="24"/>
          <w:szCs w:val="24"/>
          <w:vertAlign w:val="superscript"/>
          <w:lang w:val="en-US" w:eastAsia="en-GB"/>
        </w:rPr>
        <w:t>(35,36)</w:t>
      </w:r>
      <w:r w:rsidR="00B45C79" w:rsidRPr="00A43421">
        <w:rPr>
          <w:rFonts w:ascii="Times New Roman" w:hAnsi="Times New Roman" w:cs="Times New Roman"/>
          <w:color w:val="000000" w:themeColor="text1"/>
          <w:sz w:val="24"/>
          <w:szCs w:val="24"/>
          <w:vertAlign w:val="superscript"/>
          <w:lang w:val="en-US" w:eastAsia="en-GB"/>
        </w:rPr>
        <w:fldChar w:fldCharType="end"/>
      </w:r>
      <w:r w:rsidR="00B45C79" w:rsidRPr="00A43421">
        <w:rPr>
          <w:rFonts w:ascii="Times New Roman" w:hAnsi="Times New Roman" w:cs="Times New Roman"/>
          <w:color w:val="000000" w:themeColor="text1"/>
          <w:sz w:val="24"/>
          <w:szCs w:val="24"/>
          <w:lang w:val="en-US" w:eastAsia="en-GB"/>
        </w:rPr>
        <w:t xml:space="preserve">. Information </w:t>
      </w:r>
      <w:r w:rsidR="00530EA7" w:rsidRPr="00A43421">
        <w:rPr>
          <w:rFonts w:ascii="Times New Roman" w:hAnsi="Times New Roman" w:cs="Times New Roman"/>
          <w:color w:val="000000" w:themeColor="text1"/>
          <w:sz w:val="24"/>
          <w:szCs w:val="24"/>
          <w:lang w:val="en-US" w:eastAsia="en-GB"/>
        </w:rPr>
        <w:t>about</w:t>
      </w:r>
      <w:r w:rsidR="00B45C79" w:rsidRPr="00A43421">
        <w:rPr>
          <w:rFonts w:ascii="Times New Roman" w:hAnsi="Times New Roman" w:cs="Times New Roman"/>
          <w:color w:val="000000" w:themeColor="text1"/>
          <w:sz w:val="24"/>
          <w:szCs w:val="24"/>
          <w:lang w:val="en-US" w:eastAsia="en-GB"/>
        </w:rPr>
        <w:t xml:space="preserve"> supermarket foods was obtained from manufacturers’ websites. Composite items were analysed by divi</w:t>
      </w:r>
      <w:r w:rsidR="0007565F" w:rsidRPr="00A43421">
        <w:rPr>
          <w:rFonts w:ascii="Times New Roman" w:hAnsi="Times New Roman" w:cs="Times New Roman"/>
          <w:color w:val="000000" w:themeColor="text1"/>
          <w:sz w:val="24"/>
          <w:szCs w:val="24"/>
          <w:lang w:val="en-US" w:eastAsia="en-GB"/>
        </w:rPr>
        <w:t>di</w:t>
      </w:r>
      <w:r w:rsidR="00B45C79" w:rsidRPr="00A43421">
        <w:rPr>
          <w:rFonts w:ascii="Times New Roman" w:hAnsi="Times New Roman" w:cs="Times New Roman"/>
          <w:color w:val="000000" w:themeColor="text1"/>
          <w:sz w:val="24"/>
          <w:szCs w:val="24"/>
          <w:lang w:val="en-US" w:eastAsia="en-GB"/>
        </w:rPr>
        <w:t>ng the item into separate components. Food diaries were analysed using nutritional analysis software Dietplan 6 (Forestfield Software Limited</w:t>
      </w:r>
      <w:r w:rsidR="00530EA7" w:rsidRPr="00A43421">
        <w:rPr>
          <w:rFonts w:ascii="Times New Roman" w:hAnsi="Times New Roman" w:cs="Times New Roman"/>
          <w:color w:val="000000" w:themeColor="text1"/>
          <w:sz w:val="24"/>
          <w:szCs w:val="24"/>
          <w:lang w:val="en-US" w:eastAsia="en-GB"/>
        </w:rPr>
        <w:t xml:space="preserve">, Horsham, UK). Details </w:t>
      </w:r>
      <w:r w:rsidR="00372C6B" w:rsidRPr="00A43421">
        <w:rPr>
          <w:rFonts w:ascii="Times New Roman" w:hAnsi="Times New Roman" w:cs="Times New Roman"/>
          <w:color w:val="000000" w:themeColor="text1"/>
          <w:sz w:val="24"/>
          <w:szCs w:val="24"/>
          <w:lang w:val="en-US" w:eastAsia="en-GB"/>
        </w:rPr>
        <w:t>of</w:t>
      </w:r>
      <w:r w:rsidR="00530EA7" w:rsidRPr="00A43421">
        <w:rPr>
          <w:rFonts w:ascii="Times New Roman" w:hAnsi="Times New Roman" w:cs="Times New Roman"/>
          <w:color w:val="000000" w:themeColor="text1"/>
          <w:sz w:val="24"/>
          <w:szCs w:val="24"/>
          <w:lang w:val="en-US" w:eastAsia="en-GB"/>
        </w:rPr>
        <w:t xml:space="preserve"> dietary supplements and f</w:t>
      </w:r>
      <w:r w:rsidR="00B45C79" w:rsidRPr="00A43421">
        <w:rPr>
          <w:rFonts w:ascii="Times New Roman" w:hAnsi="Times New Roman" w:cs="Times New Roman"/>
          <w:color w:val="000000" w:themeColor="text1"/>
          <w:sz w:val="24"/>
          <w:szCs w:val="24"/>
          <w:lang w:val="en-US" w:eastAsia="en-GB"/>
        </w:rPr>
        <w:t xml:space="preserve">oods not </w:t>
      </w:r>
      <w:r w:rsidR="00530EA7" w:rsidRPr="00A43421">
        <w:rPr>
          <w:rFonts w:ascii="Times New Roman" w:hAnsi="Times New Roman" w:cs="Times New Roman"/>
          <w:color w:val="000000" w:themeColor="text1"/>
          <w:sz w:val="24"/>
          <w:szCs w:val="24"/>
          <w:lang w:val="en-US" w:eastAsia="en-GB"/>
        </w:rPr>
        <w:t>in</w:t>
      </w:r>
      <w:r w:rsidR="00B45C79" w:rsidRPr="00A43421">
        <w:rPr>
          <w:rFonts w:ascii="Times New Roman" w:hAnsi="Times New Roman" w:cs="Times New Roman"/>
          <w:color w:val="000000" w:themeColor="text1"/>
          <w:sz w:val="24"/>
          <w:szCs w:val="24"/>
          <w:lang w:val="en-US" w:eastAsia="en-GB"/>
        </w:rPr>
        <w:t xml:space="preserve"> the database were obtained from the manufacturers’ websites. </w:t>
      </w:r>
      <w:r w:rsidR="00B45C79" w:rsidRPr="00A43421">
        <w:rPr>
          <w:rFonts w:ascii="Times New Roman" w:hAnsi="Times New Roman" w:cs="Times New Roman"/>
          <w:color w:val="000000" w:themeColor="text1"/>
          <w:sz w:val="24"/>
          <w:szCs w:val="24"/>
        </w:rPr>
        <w:t xml:space="preserve">Intake was compared to Estimated Average Requirements (EAR) and Recommended Nutrients Intakes (RNI) for macro and micronutrients </w:t>
      </w:r>
      <w:r w:rsidR="00451981"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"author" : [ { "dropping-particle" : "", "family" : "Department of Health", "given" : "", "non-dropping-particle" : "", "parse-names" : false, "suffix" : "" } ], "id" : "ITEM-1", "issued" : { "date-parts" : [ [ "1991" ] ] }, "publisher-place" : "United Kingdom", "title" : "Dietary Reference Values for Food Energy and Nutrients for the United Kingdom", "type" : "report" }, "uris" : [ "http://www.mendeley.com/documents/?uuid=1ac57b7e-f0b4-44a0-a2d6-4bfbe6348aef" ] } ], "mendeley" : { "formattedCitation" : "(37)", "plainTextFormattedCitation" : "(37)", "previouslyFormattedCitation" : "(37)" }, "properties" : { "noteIndex" : 0 }, "schema" : "https://github.com/citation-style-language/schema/raw/master/csl-citation.json" }</w:instrText>
      </w:r>
      <w:r w:rsidR="00451981"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(37)</w:t>
      </w:r>
      <w:r w:rsidR="00451981" w:rsidRPr="00A43421">
        <w:rPr>
          <w:rFonts w:ascii="Times New Roman" w:hAnsi="Times New Roman" w:cs="Times New Roman"/>
          <w:color w:val="000000" w:themeColor="text1"/>
          <w:sz w:val="24"/>
          <w:szCs w:val="24"/>
          <w:vertAlign w:val="superscript"/>
        </w:rPr>
        <w:fldChar w:fldCharType="end"/>
      </w:r>
      <w:r w:rsidR="00451981" w:rsidRPr="00A43421">
        <w:rPr>
          <w:rFonts w:ascii="Times New Roman" w:hAnsi="Times New Roman" w:cs="Times New Roman"/>
          <w:color w:val="000000" w:themeColor="text1"/>
          <w:sz w:val="24"/>
          <w:szCs w:val="24"/>
        </w:rPr>
        <w:t>.</w:t>
      </w:r>
      <w:bookmarkStart w:id="8" w:name="_Toc437506185"/>
      <w:bookmarkStart w:id="9" w:name="_Toc437506202"/>
    </w:p>
    <w:p w14:paraId="1B8E4769" w14:textId="77777777" w:rsidR="008132A4" w:rsidRDefault="00044ACE" w:rsidP="008132A4">
      <w:pPr>
        <w:widowControl w:val="0"/>
        <w:autoSpaceDE w:val="0"/>
        <w:autoSpaceDN w:val="0"/>
        <w:adjustRightInd w:val="0"/>
        <w:spacing w:after="240"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Food groups</w:t>
      </w:r>
    </w:p>
    <w:p w14:paraId="70EA0F6B" w14:textId="3C5641D0" w:rsidR="004201B4" w:rsidRPr="00A43421" w:rsidRDefault="00044ACE" w:rsidP="008132A4">
      <w:pPr>
        <w:widowControl w:val="0"/>
        <w:autoSpaceDE w:val="0"/>
        <w:autoSpaceDN w:val="0"/>
        <w:adjustRightInd w:val="0"/>
        <w:spacing w:after="240"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Frequency of intake of d</w:t>
      </w:r>
      <w:r w:rsidR="00D42FF8" w:rsidRPr="00A43421">
        <w:rPr>
          <w:rFonts w:ascii="Times New Roman" w:hAnsi="Times New Roman" w:cs="Times New Roman"/>
          <w:color w:val="000000" w:themeColor="text1"/>
          <w:sz w:val="24"/>
          <w:szCs w:val="24"/>
        </w:rPr>
        <w:t xml:space="preserve">airy products, dairy substitutes </w:t>
      </w:r>
      <w:r w:rsidRPr="00A43421">
        <w:rPr>
          <w:rFonts w:ascii="Times New Roman" w:hAnsi="Times New Roman" w:cs="Times New Roman"/>
          <w:color w:val="000000" w:themeColor="text1"/>
          <w:sz w:val="24"/>
          <w:szCs w:val="24"/>
        </w:rPr>
        <w:t xml:space="preserve">(i.e. soya milk), fruit, vegetables, chocolate and non-chocolate confectionary were calculated from the </w:t>
      </w:r>
      <w:r w:rsidR="00D42FF8" w:rsidRPr="00A43421">
        <w:rPr>
          <w:rFonts w:ascii="Times New Roman" w:hAnsi="Times New Roman" w:cs="Times New Roman"/>
          <w:color w:val="000000" w:themeColor="text1"/>
          <w:sz w:val="24"/>
          <w:szCs w:val="24"/>
        </w:rPr>
        <w:t>diaries, using p</w:t>
      </w:r>
      <w:r w:rsidR="004201B4" w:rsidRPr="00A43421">
        <w:rPr>
          <w:rFonts w:ascii="Times New Roman" w:hAnsi="Times New Roman" w:cs="Times New Roman"/>
          <w:color w:val="000000" w:themeColor="text1"/>
          <w:sz w:val="24"/>
          <w:szCs w:val="24"/>
        </w:rPr>
        <w:t>ublished age appropriate p</w:t>
      </w:r>
      <w:r w:rsidRPr="00A43421">
        <w:rPr>
          <w:rFonts w:ascii="Times New Roman" w:hAnsi="Times New Roman" w:cs="Times New Roman"/>
          <w:color w:val="000000" w:themeColor="text1"/>
          <w:sz w:val="24"/>
          <w:szCs w:val="24"/>
        </w:rPr>
        <w:t xml:space="preserve">ortion sizes </w:t>
      </w:r>
      <w:r w:rsidR="004201B4"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"10.1017/S1368980012001140", "ISBN" : "1475-2727 (Electronic)\\r1368-9800 (Linking)", "ISSN" : "1368-9800", "PMID" : "22575382", "abstract" : "OBJECTIVE: To produce study-specific portion sizes for 11-year-old children in a population-based birth cohort and to compare these study-specific portion sizes with previously published children's portion sizes, to assess their relevance today. DESIGN: Two multiple-pass 24 h dietary recalls were taken. The Food Standard Agency's photographic food atlas was used to quantify intakes. Study-specific food portion sizes were calculated for each food group. Portion sizes were calculated for all children and separately for boys and girls. The nutrient intake from the 24 h dietary recalls was analysed using study-specific and published portion sizes for individual participants. Agreement was assessed using Pearson's correlation, intra-class correlation coefficients and the Bland-Altman method. SETTING: Birth cohort study, UK. SUBJECTS: Children (mean age 11.3 years, n 264) and parents/guardians. RESULTS: A total of 124 food portion sizes were calculated. Differences in portion weights between boys and girls were seen only for seven food items. There was a significant positive relationship (P &lt; 0.001) between intakes of each nutrient as determined by the two sets of portion sizes. Correlation coefficients ranged from 0.77 (protein) to 0.98 (beta-carotene). The intra-class correlation coefficients showed good agreement between nutrient intakes determined by the study-specific and published portion sizes (P &lt; 0.001). CONCLUSIONS: Nutrient intakes calculated using portion sizes from our population were similar to those calculated from portion size data collected in a national survey, despite being collected over a decade later. The present study adds to the small amount of evidence regarding portion sizes in UK children and shows agreement with previously published paediatric portion sizes.", "author" : [ { "dropping-particle" : "", "family" : "Patel", "given" : "Sumaiya", "non-dropping-particle" : "", "parse-names" : false, "suffix" : "" }, { "dropping-particle" : "", "family" : "Vyas", "given" : "Avni", "non-dropping-particle" : "", "parse-names" : false, "suffix" : "" }, { "dropping-particle" : "", "family" : "Custovic", "given" : "Adnan", "non-dropping-particle" : "", "parse-names" : false, "suffix" : "" }, { "dropping-particle" : "", "family" : "Murray", "given" : "Clare S", "non-dropping-particle" : "", "parse-names" : false, "suffix" : "" } ], "container-title" : "Public Health Nutrition", "id" : "ITEM-1", "issued" : { "date-parts" : [ [ "2012" ] ] }, "page" : "1-9", "title" : "Estimated portion sizes in a school-aged population", "type" : "article" }, "uris" : [ "http://www.mendeley.com/documents/?uuid=daaf0e3e-32c2-4b60-bcf7-2bed19e5c9b0" ] } ], "mendeley" : { "formattedCitation" : "(36)", "plainTextFormattedCitation" : "(36)", "previouslyFormattedCitation" : "(36)" }, "properties" : { "noteIndex" : 0 }, "schema" : "https://github.com/citation-style-language/schema/raw/master/csl-citation.json" }</w:instrText>
      </w:r>
      <w:r w:rsidR="004201B4"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(36)</w:t>
      </w:r>
      <w:r w:rsidR="004201B4" w:rsidRPr="00A43421">
        <w:rPr>
          <w:rFonts w:ascii="Times New Roman" w:hAnsi="Times New Roman" w:cs="Times New Roman"/>
          <w:color w:val="000000" w:themeColor="text1"/>
          <w:sz w:val="24"/>
          <w:szCs w:val="24"/>
          <w:vertAlign w:val="superscript"/>
        </w:rPr>
        <w:fldChar w:fldCharType="end"/>
      </w:r>
      <w:r w:rsidR="004201B4" w:rsidRPr="00A43421">
        <w:rPr>
          <w:rFonts w:ascii="Times New Roman" w:hAnsi="Times New Roman" w:cs="Times New Roman"/>
          <w:color w:val="000000" w:themeColor="text1"/>
          <w:sz w:val="24"/>
          <w:szCs w:val="24"/>
        </w:rPr>
        <w:t>.</w:t>
      </w:r>
    </w:p>
    <w:p w14:paraId="08452F1F" w14:textId="5E5E6508" w:rsidR="00E22346" w:rsidRPr="00A43421" w:rsidRDefault="00E22346" w:rsidP="004201B4">
      <w:pPr>
        <w:pStyle w:val="Heading3"/>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Growth</w:t>
      </w:r>
      <w:bookmarkEnd w:id="8"/>
    </w:p>
    <w:p w14:paraId="612D6717" w14:textId="62C88F92" w:rsidR="00E22346" w:rsidRPr="00A43421" w:rsidRDefault="00E22346" w:rsidP="00E22346">
      <w:pPr>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Weight was measured using</w:t>
      </w:r>
      <w:r w:rsidR="00451981" w:rsidRPr="00A43421">
        <w:rPr>
          <w:rFonts w:ascii="Times New Roman" w:hAnsi="Times New Roman" w:cs="Times New Roman"/>
          <w:color w:val="000000" w:themeColor="text1"/>
          <w:sz w:val="24"/>
          <w:szCs w:val="24"/>
        </w:rPr>
        <w:t xml:space="preserve"> an</w:t>
      </w:r>
      <w:r w:rsidRPr="00A43421">
        <w:rPr>
          <w:rFonts w:ascii="Times New Roman" w:hAnsi="Times New Roman" w:cs="Times New Roman"/>
          <w:color w:val="000000" w:themeColor="text1"/>
          <w:sz w:val="24"/>
          <w:szCs w:val="24"/>
        </w:rPr>
        <w:t xml:space="preserve"> electronic scale in kg to one decimal place. Height was measured using a stadiometer in cm to one decimal place. Weight for age percentile was calculated </w:t>
      </w:r>
      <w:r w:rsidR="0007565F" w:rsidRPr="00A43421">
        <w:rPr>
          <w:rFonts w:ascii="Times New Roman" w:hAnsi="Times New Roman" w:cs="Times New Roman"/>
          <w:color w:val="000000" w:themeColor="text1"/>
          <w:sz w:val="24"/>
          <w:szCs w:val="24"/>
        </w:rPr>
        <w:t>using a UK growth chart</w:t>
      </w:r>
      <w:r w:rsidR="001F664C" w:rsidRPr="00A43421">
        <w:rPr>
          <w:rFonts w:ascii="Times New Roman" w:hAnsi="Times New Roman" w:cs="Times New Roman"/>
          <w:color w:val="000000" w:themeColor="text1"/>
          <w:sz w:val="24"/>
          <w:szCs w:val="24"/>
        </w:rPr>
        <w:t xml:space="preserve"> </w:t>
      </w:r>
      <w:r w:rsidR="001F664C"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"author" : [ { "dropping-particle" : "", "family" : "Child Growth Foundation", "given" : "", "non-dropping-particle" : "", "parse-names" : false, "suffix" : "" } ], "id" : "ITEM-1", "issued" : { "date-parts" : [ [ "2009" ] ] }, "publisher-place" : "London", "title" : "4-18 years growth and BMI chart", "type" : "report" }, "uris" : [ "http://www.mendeley.com/documents/?uuid=ee8b4296-5fd6-461f-972a-2a3f7a85b6fa" ] } ], "mendeley" : { "formattedCitation" : "(38)", "plainTextFormattedCitation" : "(38)", "previouslyFormattedCitation" : "(38)" }, "properties" : { "noteIndex" : 0 }, "schema" : "https://github.com/citation-style-language/schema/raw/master/csl-citation.json" }</w:instrText>
      </w:r>
      <w:r w:rsidR="001F664C"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(38)</w:t>
      </w:r>
      <w:r w:rsidR="001F664C" w:rsidRPr="00A43421">
        <w:rPr>
          <w:rFonts w:ascii="Times New Roman" w:hAnsi="Times New Roman" w:cs="Times New Roman"/>
          <w:color w:val="000000" w:themeColor="text1"/>
          <w:sz w:val="24"/>
          <w:szCs w:val="24"/>
          <w:vertAlign w:val="superscript"/>
        </w:rPr>
        <w:fldChar w:fldCharType="end"/>
      </w:r>
      <w:r w:rsidRPr="00A43421">
        <w:rPr>
          <w:rFonts w:ascii="Times New Roman" w:hAnsi="Times New Roman" w:cs="Times New Roman"/>
          <w:color w:val="000000" w:themeColor="text1"/>
          <w:sz w:val="24"/>
          <w:szCs w:val="24"/>
        </w:rPr>
        <w:t xml:space="preserve">. </w:t>
      </w:r>
      <w:r w:rsidR="00B02029" w:rsidRPr="00A43421">
        <w:rPr>
          <w:rFonts w:ascii="Times New Roman" w:hAnsi="Times New Roman" w:cs="Times New Roman"/>
          <w:color w:val="000000" w:themeColor="text1"/>
          <w:sz w:val="24"/>
          <w:szCs w:val="24"/>
        </w:rPr>
        <w:t>B</w:t>
      </w:r>
      <w:r w:rsidR="00D42FF8" w:rsidRPr="00A43421">
        <w:rPr>
          <w:rFonts w:ascii="Times New Roman" w:hAnsi="Times New Roman" w:cs="Times New Roman"/>
          <w:color w:val="000000" w:themeColor="text1"/>
          <w:sz w:val="24"/>
          <w:szCs w:val="24"/>
        </w:rPr>
        <w:t xml:space="preserve">ody </w:t>
      </w:r>
      <w:r w:rsidR="00B02029" w:rsidRPr="00A43421">
        <w:rPr>
          <w:rFonts w:ascii="Times New Roman" w:hAnsi="Times New Roman" w:cs="Times New Roman"/>
          <w:color w:val="000000" w:themeColor="text1"/>
          <w:sz w:val="24"/>
          <w:szCs w:val="24"/>
        </w:rPr>
        <w:t>M</w:t>
      </w:r>
      <w:r w:rsidR="00D42FF8" w:rsidRPr="00A43421">
        <w:rPr>
          <w:rFonts w:ascii="Times New Roman" w:hAnsi="Times New Roman" w:cs="Times New Roman"/>
          <w:color w:val="000000" w:themeColor="text1"/>
          <w:sz w:val="24"/>
          <w:szCs w:val="24"/>
        </w:rPr>
        <w:t xml:space="preserve">ass </w:t>
      </w:r>
      <w:r w:rsidR="00B02029" w:rsidRPr="00A43421">
        <w:rPr>
          <w:rFonts w:ascii="Times New Roman" w:hAnsi="Times New Roman" w:cs="Times New Roman"/>
          <w:color w:val="000000" w:themeColor="text1"/>
          <w:sz w:val="24"/>
          <w:szCs w:val="24"/>
        </w:rPr>
        <w:t>I</w:t>
      </w:r>
      <w:r w:rsidR="00D42FF8" w:rsidRPr="00A43421">
        <w:rPr>
          <w:rFonts w:ascii="Times New Roman" w:hAnsi="Times New Roman" w:cs="Times New Roman"/>
          <w:color w:val="000000" w:themeColor="text1"/>
          <w:sz w:val="24"/>
          <w:szCs w:val="24"/>
        </w:rPr>
        <w:t xml:space="preserve">ndex </w:t>
      </w:r>
      <w:r w:rsidR="00B02029" w:rsidRPr="00A43421">
        <w:rPr>
          <w:rFonts w:ascii="Times New Roman" w:hAnsi="Times New Roman" w:cs="Times New Roman"/>
          <w:color w:val="000000" w:themeColor="text1"/>
          <w:sz w:val="24"/>
          <w:szCs w:val="24"/>
        </w:rPr>
        <w:t xml:space="preserve">percentile </w:t>
      </w:r>
      <w:r w:rsidR="00D42FF8" w:rsidRPr="00A43421">
        <w:rPr>
          <w:rFonts w:ascii="Times New Roman" w:hAnsi="Times New Roman" w:cs="Times New Roman"/>
          <w:color w:val="000000" w:themeColor="text1"/>
          <w:sz w:val="24"/>
          <w:szCs w:val="24"/>
        </w:rPr>
        <w:t xml:space="preserve">(BMI%) </w:t>
      </w:r>
      <w:r w:rsidR="00B02029" w:rsidRPr="00A43421">
        <w:rPr>
          <w:rFonts w:ascii="Times New Roman" w:hAnsi="Times New Roman" w:cs="Times New Roman"/>
          <w:color w:val="000000" w:themeColor="text1"/>
          <w:sz w:val="24"/>
          <w:szCs w:val="24"/>
        </w:rPr>
        <w:t>was ca</w:t>
      </w:r>
      <w:r w:rsidR="00185688" w:rsidRPr="00A43421">
        <w:rPr>
          <w:rFonts w:ascii="Times New Roman" w:hAnsi="Times New Roman" w:cs="Times New Roman"/>
          <w:color w:val="000000" w:themeColor="text1"/>
          <w:sz w:val="24"/>
          <w:szCs w:val="24"/>
        </w:rPr>
        <w:t xml:space="preserve">lculated and plotted on </w:t>
      </w:r>
      <w:r w:rsidR="00D42FF8" w:rsidRPr="00A43421">
        <w:rPr>
          <w:rFonts w:ascii="Times New Roman" w:hAnsi="Times New Roman" w:cs="Times New Roman"/>
          <w:color w:val="000000" w:themeColor="text1"/>
          <w:sz w:val="24"/>
          <w:szCs w:val="24"/>
        </w:rPr>
        <w:t xml:space="preserve">a </w:t>
      </w:r>
      <w:r w:rsidR="00185688" w:rsidRPr="00A43421">
        <w:rPr>
          <w:rFonts w:ascii="Times New Roman" w:hAnsi="Times New Roman" w:cs="Times New Roman"/>
          <w:color w:val="000000" w:themeColor="text1"/>
          <w:sz w:val="24"/>
          <w:szCs w:val="24"/>
        </w:rPr>
        <w:t>standard</w:t>
      </w:r>
      <w:r w:rsidR="00B02029" w:rsidRPr="00A43421">
        <w:rPr>
          <w:rFonts w:ascii="Times New Roman" w:hAnsi="Times New Roman" w:cs="Times New Roman"/>
          <w:color w:val="000000" w:themeColor="text1"/>
          <w:sz w:val="24"/>
          <w:szCs w:val="24"/>
        </w:rPr>
        <w:t xml:space="preserve"> UK chart</w:t>
      </w:r>
      <w:r w:rsidR="00D42FF8" w:rsidRPr="00A43421">
        <w:rPr>
          <w:rFonts w:ascii="Times New Roman" w:hAnsi="Times New Roman" w:cs="Times New Roman"/>
          <w:color w:val="000000" w:themeColor="text1"/>
          <w:sz w:val="24"/>
          <w:szCs w:val="24"/>
        </w:rPr>
        <w:t xml:space="preserve">. Overweight and obesity were defined as BMI% </w:t>
      </w:r>
      <w:r w:rsidR="00B02029" w:rsidRPr="00A43421">
        <w:rPr>
          <w:rFonts w:ascii="Times New Roman" w:hAnsi="Times New Roman" w:cs="Times New Roman"/>
          <w:color w:val="000000" w:themeColor="text1"/>
          <w:sz w:val="24"/>
          <w:szCs w:val="24"/>
        </w:rPr>
        <w:t>&gt; 91</w:t>
      </w:r>
      <w:r w:rsidR="00B02029" w:rsidRPr="00A43421">
        <w:rPr>
          <w:rFonts w:ascii="Times New Roman" w:hAnsi="Times New Roman" w:cs="Times New Roman"/>
          <w:color w:val="000000" w:themeColor="text1"/>
          <w:sz w:val="24"/>
          <w:szCs w:val="24"/>
          <w:vertAlign w:val="superscript"/>
        </w:rPr>
        <w:t>st</w:t>
      </w:r>
      <w:r w:rsidR="00D42FF8" w:rsidRPr="00A43421">
        <w:rPr>
          <w:rFonts w:ascii="Times New Roman" w:hAnsi="Times New Roman" w:cs="Times New Roman"/>
          <w:color w:val="000000" w:themeColor="text1"/>
          <w:sz w:val="24"/>
          <w:szCs w:val="24"/>
        </w:rPr>
        <w:t xml:space="preserve"> and</w:t>
      </w:r>
      <w:r w:rsidR="00B02029" w:rsidRPr="00A43421">
        <w:rPr>
          <w:rFonts w:ascii="Times New Roman" w:hAnsi="Times New Roman" w:cs="Times New Roman"/>
          <w:color w:val="000000" w:themeColor="text1"/>
          <w:sz w:val="24"/>
          <w:szCs w:val="24"/>
        </w:rPr>
        <w:t xml:space="preserve"> &gt; 98</w:t>
      </w:r>
      <w:r w:rsidR="00B02029" w:rsidRPr="00A43421">
        <w:rPr>
          <w:rFonts w:ascii="Times New Roman" w:hAnsi="Times New Roman" w:cs="Times New Roman"/>
          <w:color w:val="000000" w:themeColor="text1"/>
          <w:sz w:val="24"/>
          <w:szCs w:val="24"/>
          <w:vertAlign w:val="superscript"/>
        </w:rPr>
        <w:t>th</w:t>
      </w:r>
      <w:r w:rsidR="00D42FF8" w:rsidRPr="00A43421">
        <w:rPr>
          <w:rFonts w:ascii="Times New Roman" w:hAnsi="Times New Roman" w:cs="Times New Roman"/>
          <w:color w:val="000000" w:themeColor="text1"/>
          <w:sz w:val="24"/>
          <w:szCs w:val="24"/>
          <w:vertAlign w:val="superscript"/>
        </w:rPr>
        <w:t xml:space="preserve"> </w:t>
      </w:r>
      <w:r w:rsidR="00D42FF8" w:rsidRPr="00A43421">
        <w:rPr>
          <w:rFonts w:ascii="Times New Roman" w:hAnsi="Times New Roman" w:cs="Times New Roman"/>
          <w:color w:val="000000" w:themeColor="text1"/>
          <w:sz w:val="24"/>
          <w:szCs w:val="24"/>
        </w:rPr>
        <w:t>respectively</w:t>
      </w:r>
      <w:r w:rsidR="00244B00"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"10.1136/bmj.320.7244.1240", "ISBN" : "0959-8138 (Print)", "ISSN" : "0959-8138", "PMID" : "10797032", "abstract" : "OBJECTIVE: To develop an internationally acceptable definition of child overweight and obesity, specifying the measurement, the reference population, and the age and sex specific cut off points.\\n\\nDESIGN: International survey of six large nationally representative cross sectional growth studies.\\n\\nSETTING: Brazil, Great Britain, Hong Kong, the Netherlands, Singapore, and the United States.\\n\\nSUBJECTS: 97 876 males and 94 851 females from birth to 25 years of age.\\n\\nMAIN OUTCOME MEASURE: Body mass index (weight/height(2)).\\n\\nRESULTS: For each of the surveys, centile curves were drawn that at age 18 years passed through the widely used cut off points of 25 and 30 kg/m(2) for adult overweight and obesity. The resulting curves were averaged to provide age and sex specific cut off points from 2-18 years.\\n\\nCONCLUSIONS: The proposed cut off points, which are less arbitrary and more internationally based than current alternatives, should help to provide internationally comparable prevalence rates of overweight and obesity in children.\\n\\nThis study aimed to develop an internationally acceptable definition of child overweight and obesity, specifying the measurement, reference population, and age and sex specific cut off points. Data on body mass index (weight/height) were obtained from 6 large nationally representative cross sectional surveys on growth from Brazil, Great Britain, Hong Kong, the Netherlands, Singapore, and the US. The study included 97,876 males and 94,851 females from birth to 25 years of age. For each of the surveys, centile curves were drawn that at age 18 years passed through the widely used cut-off points of 25 and 30 kg/sq. m for adult weight and obesity. The resulting curves were averaged to provide age- and sex-specific cut-off points from 2 to 18 years. The proposed cut off points, which are less arbitrary and more internationally based than current alternatives, should help to provide internationally comparable prevalence rates of overweight and obesity in children.", "author" : [ { "dropping-particle" : "", "family" : "Cole", "given" : "T J", "non-dropping-particle" : "", "parse-names" : false, "suffix" : "" }, { "dropping-particle" : "", "family" : "Bellizzi", "given" : "M C", "non-dropping-particle" : "", "parse-names" : false, "suffix" : "" }, { "dropping-particle" : "", "family" : "Flegal", "given" : "K M", "non-dropping-particle" : "", "parse-names" : false, "suffix" : "" }, { "dropping-particle" : "", "family" : "Dietz", "given" : "W H", "non-dropping-particle" : "", "parse-names" : false, "suffix" : "" } ], "container-title" : "BMJ (Clinical research ed.)", "id" : "ITEM-1", "issue" : "7244", "issued" : { "date-parts" : [ [ "2000" ] ] }, "page" : "1240-3", "title" : "Establishing a standard definition for child overweight and obesity worldwide: international survey.", "type" : "article-journal", "volume" : "320" }, "uris" : [ "http://www.mendeley.com/documents/?uuid=a13fb494-a38b-4b1b-84b3-d07b5f7b6fbd" ] } ], "mendeley" : { "formattedCitation" : "(39)", "plainTextFormattedCitation" : "(39)", "previouslyFormattedCitation" : "(39)" }, "properties" : { "noteIndex" : 0 }, "schema" : "https://github.com/citation-style-language/schema/raw/master/csl-citation.json" }</w:instrText>
      </w:r>
      <w:r w:rsidR="00244B00"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(39)</w:t>
      </w:r>
      <w:r w:rsidR="00244B00" w:rsidRPr="00A43421">
        <w:rPr>
          <w:rFonts w:ascii="Times New Roman" w:hAnsi="Times New Roman" w:cs="Times New Roman"/>
          <w:color w:val="000000" w:themeColor="text1"/>
          <w:sz w:val="24"/>
          <w:szCs w:val="24"/>
          <w:vertAlign w:val="superscript"/>
        </w:rPr>
        <w:fldChar w:fldCharType="end"/>
      </w:r>
      <w:r w:rsidR="00B02029" w:rsidRPr="00A43421">
        <w:rPr>
          <w:rFonts w:ascii="Times New Roman" w:hAnsi="Times New Roman" w:cs="Times New Roman"/>
          <w:color w:val="000000" w:themeColor="text1"/>
          <w:sz w:val="24"/>
          <w:szCs w:val="24"/>
        </w:rPr>
        <w:t>.</w:t>
      </w:r>
      <w:r w:rsidR="009E743B" w:rsidRPr="00A43421">
        <w:rPr>
          <w:rFonts w:ascii="Times New Roman" w:hAnsi="Times New Roman" w:cs="Times New Roman"/>
          <w:color w:val="000000" w:themeColor="text1"/>
          <w:sz w:val="24"/>
          <w:szCs w:val="24"/>
        </w:rPr>
        <w:t xml:space="preserve"> </w:t>
      </w:r>
      <w:r w:rsidRPr="00A43421">
        <w:rPr>
          <w:rFonts w:ascii="Times New Roman" w:hAnsi="Times New Roman" w:cs="Times New Roman"/>
          <w:color w:val="000000" w:themeColor="text1"/>
          <w:sz w:val="24"/>
          <w:szCs w:val="24"/>
        </w:rPr>
        <w:t>Waist circumf</w:t>
      </w:r>
      <w:r w:rsidR="00213E2C" w:rsidRPr="00A43421">
        <w:rPr>
          <w:rFonts w:ascii="Times New Roman" w:hAnsi="Times New Roman" w:cs="Times New Roman"/>
          <w:color w:val="000000" w:themeColor="text1"/>
          <w:sz w:val="24"/>
          <w:szCs w:val="24"/>
        </w:rPr>
        <w:t>erence was measured in cm to one</w:t>
      </w:r>
      <w:r w:rsidRPr="00A43421">
        <w:rPr>
          <w:rFonts w:ascii="Times New Roman" w:hAnsi="Times New Roman" w:cs="Times New Roman"/>
          <w:color w:val="000000" w:themeColor="text1"/>
          <w:sz w:val="24"/>
          <w:szCs w:val="24"/>
        </w:rPr>
        <w:t xml:space="preserve"> decimal place and plotted on a UK centile chart. It was measured </w:t>
      </w:r>
      <w:r w:rsidRPr="00A43421">
        <w:rPr>
          <w:rFonts w:ascii="Times New Roman" w:hAnsi="Times New Roman" w:cs="Times New Roman"/>
          <w:color w:val="000000" w:themeColor="text1"/>
          <w:sz w:val="24"/>
          <w:szCs w:val="24"/>
          <w:lang w:val="en-US" w:eastAsia="en-GB"/>
        </w:rPr>
        <w:t>as the “narrowest waist”,</w:t>
      </w:r>
      <w:r w:rsidR="0007565F" w:rsidRPr="00A43421">
        <w:rPr>
          <w:rFonts w:ascii="Times New Roman" w:hAnsi="Times New Roman" w:cs="Times New Roman"/>
          <w:color w:val="000000" w:themeColor="text1"/>
          <w:sz w:val="24"/>
          <w:szCs w:val="24"/>
          <w:lang w:val="en-US" w:eastAsia="en-GB"/>
        </w:rPr>
        <w:t xml:space="preserve"> which</w:t>
      </w:r>
      <w:r w:rsidRPr="00A43421">
        <w:rPr>
          <w:rFonts w:ascii="Times New Roman" w:hAnsi="Times New Roman" w:cs="Times New Roman"/>
          <w:color w:val="000000" w:themeColor="text1"/>
          <w:sz w:val="24"/>
          <w:szCs w:val="24"/>
          <w:lang w:val="en-US" w:eastAsia="en-GB"/>
        </w:rPr>
        <w:t xml:space="preserve"> </w:t>
      </w:r>
      <w:r w:rsidR="0007565F" w:rsidRPr="00A43421">
        <w:rPr>
          <w:rFonts w:ascii="Times New Roman" w:hAnsi="Times New Roman" w:cs="Times New Roman"/>
          <w:color w:val="000000" w:themeColor="text1"/>
          <w:sz w:val="24"/>
          <w:szCs w:val="24"/>
          <w:lang w:val="en-US" w:eastAsia="en-GB"/>
        </w:rPr>
        <w:t xml:space="preserve">is </w:t>
      </w:r>
      <w:r w:rsidRPr="00A43421">
        <w:rPr>
          <w:rFonts w:ascii="Times New Roman" w:hAnsi="Times New Roman" w:cs="Times New Roman"/>
          <w:color w:val="000000" w:themeColor="text1"/>
          <w:sz w:val="24"/>
          <w:szCs w:val="24"/>
          <w:lang w:val="en-US" w:eastAsia="en-GB"/>
        </w:rPr>
        <w:t xml:space="preserve">the most </w:t>
      </w:r>
      <w:r w:rsidR="00FA2BBA" w:rsidRPr="00A43421">
        <w:rPr>
          <w:rFonts w:ascii="Times New Roman" w:hAnsi="Times New Roman" w:cs="Times New Roman"/>
          <w:color w:val="000000" w:themeColor="text1"/>
          <w:sz w:val="24"/>
          <w:szCs w:val="24"/>
          <w:lang w:val="en-US" w:eastAsia="en-GB"/>
        </w:rPr>
        <w:t>frequently recommended site</w:t>
      </w:r>
      <w:r w:rsidRPr="00A43421">
        <w:rPr>
          <w:rFonts w:ascii="Times New Roman" w:hAnsi="Times New Roman" w:cs="Times New Roman"/>
          <w:color w:val="000000" w:themeColor="text1"/>
          <w:sz w:val="24"/>
          <w:szCs w:val="24"/>
          <w:vertAlign w:val="superscript"/>
          <w:lang w:val="en-US" w:eastAsia="en-GB"/>
        </w:rPr>
        <w:fldChar w:fldCharType="begin" w:fldLock="1"/>
      </w:r>
      <w:r w:rsidR="001B2983" w:rsidRPr="00A43421">
        <w:rPr>
          <w:rFonts w:ascii="Times New Roman" w:hAnsi="Times New Roman" w:cs="Times New Roman"/>
          <w:color w:val="000000" w:themeColor="text1"/>
          <w:sz w:val="24"/>
          <w:szCs w:val="24"/>
          <w:vertAlign w:val="superscript"/>
          <w:lang w:val="en-US" w:eastAsia="en-GB"/>
        </w:rPr>
        <w:instrText>ADDIN CSL_CITATION { "citationItems" : [ { "id" : "ITEM-1", "itemData" : { "ISBN" : "0002-9165 (Print)", "ISSN" : "00029165", "PMID" : "12540397", "abstract" : "BACKGROUND: Waist circumference (WC) is now accepted as a practical measure of adipose tissue distribution. Four body sites for WC measurements are commonly used, as follows: immediately below the lowest ribs (WC1), the narrowest waist (WC2), the midpoint between the lowest rib and the iliac crest (WC3), and immediately above the iliac crest (WC4). OBJECTIVE: We sought to compare the magnitude and reliability of WC measured at these 4 sites in males and females. DESIGN: WC was measured at each site 1 time in all subjects [49 males and 62 females, aged 7-83 y, with a body mass index (in kg/m(2)) of 9-43] and 3 times in a subgroup (n = 93) by one experienced observer using a heavy-duty inelastic tape. Body fat was measured in a subgroup (n = 74) with the use of dual-energy X-ray absorptiometry. RESULTS: The mean values of WC were WC2 &lt; WC1 &lt; WC3 &lt; WC4 (P &lt; 0.01) in females and WC2 &lt; WC1, WC3, and WC4 (P &lt; 0.01) in males. For all 4 sites, measurement reproducibility was high, with intraclass correlation (r) values &gt; 0.99. WC values were significantly correlated with fatness; correlations with trunk fat were higher than correlations with total body fat in both sexes. CONCLUSIONS: WC values at the 4 commonly used anatomic sites differ in magnitude depending on sex, are highly reproducible, and are correlated with total body and trunk adiposity in a sex-dependent manner. These observations have implications for the use of WC measurements in clinical practice and patient-oriented research.", "author" : [ { "dropping-particle" : "", "family" : "Wang", "given" : "Jack", "non-dropping-particle" : "", "parse-names" : false, "suffix" : "" }, { "dropping-particle" : "", "family" : "Thornton", "given" : "John C.", "non-dropping-particle" : "", "parse-names" : false, "suffix" : "" }, { "dropping-particle" : "", "family" : "Bari", "given" : "Salina", "non-dropping-particle" : "", "parse-names" : false, "suffix" : "" }, { "dropping-particle" : "", "family" : "Williamson", "given" : "Bennett", "non-dropping-particle" : "", "parse-names" : false, "suffix" : "" }, { "dropping-particle" : "", "family" : "Gallagher", "given" : "Dympna", "non-dropping-particle" : "", "parse-names" : false, "suffix" : "" }, { "dropping-particle" : "", "family" : "Heymsfield", "given" : "Steven B.", "non-dropping-particle" : "", "parse-names" : false, "suffix" : "" }, { "dropping-particle" : "", "family" : "Horlick", "given" : "Mary", "non-dropping-particle" : "", "parse-names" : false, "suffix" : "" }, { "dropping-particle" : "", "family" : "Kotler", "given" : "Donald", "non-dropping-particle" : "", "parse-names" : false, "suffix" : "" }, { "dropping-particle" : "", "family" : "Laferr\u00e8re", "given" : "Blandine", "non-dropping-particle" : "", "parse-names" : false, "suffix" : "" }, { "dropping-particle" : "", "family" : "Mayer", "given" : "Laurel", "non-dropping-particle" : "", "parse-names" : false, "suffix" : "" }, { "dropping-particle" : "", "family" : "Xavier Pi-Sunyer", "given" : "F.", "non-dropping-particle" : "", "parse-names" : false, "suffix" : "" }, { "dropping-particle" : "", "family" : "Pierson", "given" : "Richard N.", "non-dropping-particle" : "", "parse-names" : false, "suffix" : "" } ], "container-title" : "American Journal of Clinical Nutrition", "id" : "ITEM-1", "issue" : "2", "issued" : { "date-parts" : [ [ "2003" ] ] }, "page" : "379-384", "title" : "Comparisons of waist circumferences measured at 4 sites", "type" : "article-journal", "volume" : "77" }, "uris" : [ "http://www.mendeley.com/documents/?uuid=84b8db29-f04e-4583-b0d8-7d743a09e3fa" ] } ], "mendeley" : { "formattedCitation" : "(40)", "plainTextFormattedCitation" : "(40)", "previouslyFormattedCitation" : "(40)" }, "properties" : { "noteIndex" : 0 }, "schema" : "https://github.com/citation-style-language/schema/raw/master/csl-citation.json" }</w:instrText>
      </w:r>
      <w:r w:rsidRPr="00A43421">
        <w:rPr>
          <w:rFonts w:ascii="Times New Roman" w:hAnsi="Times New Roman" w:cs="Times New Roman"/>
          <w:color w:val="000000" w:themeColor="text1"/>
          <w:sz w:val="24"/>
          <w:szCs w:val="24"/>
          <w:vertAlign w:val="superscript"/>
          <w:lang w:val="en-US" w:eastAsia="en-GB"/>
        </w:rPr>
        <w:fldChar w:fldCharType="separate"/>
      </w:r>
      <w:r w:rsidR="001B2983" w:rsidRPr="00A43421">
        <w:rPr>
          <w:rFonts w:ascii="Times New Roman" w:hAnsi="Times New Roman" w:cs="Times New Roman"/>
          <w:noProof/>
          <w:color w:val="000000" w:themeColor="text1"/>
          <w:sz w:val="24"/>
          <w:szCs w:val="24"/>
          <w:vertAlign w:val="superscript"/>
          <w:lang w:val="en-US" w:eastAsia="en-GB"/>
        </w:rPr>
        <w:t>(40)</w:t>
      </w:r>
      <w:r w:rsidRPr="00A43421">
        <w:rPr>
          <w:rFonts w:ascii="Times New Roman" w:hAnsi="Times New Roman" w:cs="Times New Roman"/>
          <w:color w:val="000000" w:themeColor="text1"/>
          <w:sz w:val="24"/>
          <w:szCs w:val="24"/>
          <w:vertAlign w:val="superscript"/>
          <w:lang w:val="en-US" w:eastAsia="en-GB"/>
        </w:rPr>
        <w:fldChar w:fldCharType="end"/>
      </w:r>
      <w:r w:rsidRPr="00A43421">
        <w:rPr>
          <w:rFonts w:ascii="Times New Roman" w:hAnsi="Times New Roman" w:cs="Times New Roman"/>
          <w:color w:val="000000" w:themeColor="text1"/>
          <w:sz w:val="24"/>
          <w:szCs w:val="24"/>
          <w:lang w:val="en-US" w:eastAsia="en-GB"/>
        </w:rPr>
        <w:t xml:space="preserve">. </w:t>
      </w:r>
      <w:r w:rsidRPr="00A43421">
        <w:rPr>
          <w:rFonts w:ascii="Times New Roman" w:hAnsi="Times New Roman" w:cs="Times New Roman"/>
          <w:color w:val="000000" w:themeColor="text1"/>
          <w:sz w:val="24"/>
          <w:szCs w:val="24"/>
        </w:rPr>
        <w:t>All measurements were conducted by the same researcher.</w:t>
      </w:r>
    </w:p>
    <w:p w14:paraId="25D8CB5A" w14:textId="463391E9" w:rsidR="00B45C79" w:rsidRPr="00A43421" w:rsidRDefault="00B45C79" w:rsidP="00E22346">
      <w:pPr>
        <w:rPr>
          <w:rFonts w:ascii="Times New Roman" w:eastAsia="MS Gothic" w:hAnsi="Times New Roman" w:cs="Times New Roman"/>
          <w:b/>
          <w:bCs/>
          <w:iCs/>
          <w:color w:val="000000" w:themeColor="text1"/>
          <w:sz w:val="24"/>
          <w:szCs w:val="24"/>
          <w:lang w:val="en-US"/>
        </w:rPr>
      </w:pPr>
      <w:r w:rsidRPr="00A43421">
        <w:rPr>
          <w:rFonts w:ascii="Times New Roman" w:hAnsi="Times New Roman" w:cs="Times New Roman"/>
          <w:color w:val="000000" w:themeColor="text1"/>
          <w:sz w:val="24"/>
          <w:szCs w:val="24"/>
        </w:rPr>
        <w:t>Statistical analyses</w:t>
      </w:r>
      <w:bookmarkEnd w:id="9"/>
    </w:p>
    <w:p w14:paraId="08FE080D" w14:textId="648EB6E0" w:rsidR="004A24F4" w:rsidRPr="00A43421" w:rsidRDefault="00B45C79" w:rsidP="004A24F4">
      <w:pPr>
        <w:autoSpaceDE w:val="0"/>
        <w:autoSpaceDN w:val="0"/>
        <w:adjustRightInd w:val="0"/>
        <w:spacing w:after="0"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 xml:space="preserve">Data was analysed using SPSS software (IBM, version 20). Descriptive statistics were calculated for all variables. </w:t>
      </w:r>
      <w:r w:rsidR="0007565F" w:rsidRPr="00A43421">
        <w:rPr>
          <w:rFonts w:ascii="Times New Roman" w:hAnsi="Times New Roman" w:cs="Times New Roman"/>
          <w:color w:val="000000" w:themeColor="text1"/>
          <w:sz w:val="24"/>
          <w:szCs w:val="24"/>
        </w:rPr>
        <w:t>D</w:t>
      </w:r>
      <w:r w:rsidRPr="00A43421">
        <w:rPr>
          <w:rFonts w:ascii="Times New Roman" w:hAnsi="Times New Roman" w:cs="Times New Roman"/>
          <w:color w:val="000000" w:themeColor="text1"/>
          <w:sz w:val="24"/>
          <w:szCs w:val="24"/>
        </w:rPr>
        <w:t xml:space="preserve">ifferences between the CME and control groups were compared using </w:t>
      </w:r>
      <w:r w:rsidR="00213E2C" w:rsidRPr="00A43421">
        <w:rPr>
          <w:rFonts w:ascii="Times New Roman" w:hAnsi="Times New Roman" w:cs="Times New Roman"/>
          <w:color w:val="000000" w:themeColor="text1"/>
          <w:sz w:val="24"/>
          <w:szCs w:val="24"/>
        </w:rPr>
        <w:t xml:space="preserve">an independent t-test, </w:t>
      </w:r>
      <w:r w:rsidRPr="00A43421">
        <w:rPr>
          <w:rFonts w:ascii="Times New Roman" w:hAnsi="Times New Roman" w:cs="Times New Roman"/>
          <w:color w:val="000000" w:themeColor="text1"/>
          <w:sz w:val="24"/>
          <w:szCs w:val="24"/>
        </w:rPr>
        <w:t>Mann Whitney</w:t>
      </w:r>
      <w:r w:rsidR="009E743B" w:rsidRPr="00A43421">
        <w:rPr>
          <w:rFonts w:ascii="Times New Roman" w:hAnsi="Times New Roman" w:cs="Times New Roman"/>
          <w:color w:val="000000" w:themeColor="text1"/>
          <w:sz w:val="24"/>
          <w:szCs w:val="24"/>
        </w:rPr>
        <w:t xml:space="preserve"> or</w:t>
      </w:r>
      <w:r w:rsidR="0007565F" w:rsidRPr="00A43421">
        <w:rPr>
          <w:rFonts w:ascii="Times New Roman" w:hAnsi="Times New Roman" w:cs="Times New Roman"/>
          <w:color w:val="000000" w:themeColor="text1"/>
          <w:sz w:val="24"/>
          <w:szCs w:val="24"/>
        </w:rPr>
        <w:t xml:space="preserve"> </w:t>
      </w:r>
      <w:r w:rsidRPr="00A43421">
        <w:rPr>
          <w:rFonts w:ascii="Times New Roman" w:hAnsi="Times New Roman" w:cs="Times New Roman"/>
          <w:color w:val="000000" w:themeColor="text1"/>
          <w:sz w:val="24"/>
          <w:szCs w:val="24"/>
        </w:rPr>
        <w:t>X</w:t>
      </w:r>
      <w:r w:rsidRPr="00A43421">
        <w:rPr>
          <w:rFonts w:ascii="Times New Roman" w:hAnsi="Times New Roman" w:cs="Times New Roman"/>
          <w:color w:val="000000" w:themeColor="text1"/>
          <w:sz w:val="24"/>
          <w:szCs w:val="24"/>
          <w:vertAlign w:val="superscript"/>
        </w:rPr>
        <w:t xml:space="preserve">2 </w:t>
      </w:r>
      <w:r w:rsidRPr="00A43421">
        <w:rPr>
          <w:rFonts w:ascii="Times New Roman" w:hAnsi="Times New Roman" w:cs="Times New Roman"/>
          <w:color w:val="000000" w:themeColor="text1"/>
          <w:sz w:val="24"/>
          <w:szCs w:val="24"/>
        </w:rPr>
        <w:t>test.</w:t>
      </w:r>
      <w:r w:rsidRPr="00A43421">
        <w:rPr>
          <w:rFonts w:ascii="Times New Roman" w:hAnsi="Times New Roman" w:cs="Times New Roman"/>
          <w:color w:val="000000" w:themeColor="text1"/>
          <w:sz w:val="24"/>
          <w:szCs w:val="24"/>
          <w:vertAlign w:val="superscript"/>
        </w:rPr>
        <w:t xml:space="preserve"> </w:t>
      </w:r>
      <w:r w:rsidR="00213E2C" w:rsidRPr="00A43421">
        <w:rPr>
          <w:rFonts w:ascii="Times New Roman" w:hAnsi="Times New Roman" w:cs="Times New Roman"/>
          <w:color w:val="000000" w:themeColor="text1"/>
          <w:sz w:val="24"/>
          <w:szCs w:val="24"/>
        </w:rPr>
        <w:t xml:space="preserve">A </w:t>
      </w:r>
      <w:r w:rsidRPr="00A43421">
        <w:rPr>
          <w:rFonts w:ascii="Times New Roman" w:hAnsi="Times New Roman" w:cs="Times New Roman"/>
          <w:color w:val="000000" w:themeColor="text1"/>
          <w:sz w:val="24"/>
          <w:szCs w:val="24"/>
        </w:rPr>
        <w:t>two way Analysis of Variance (ANOVA) test</w:t>
      </w:r>
      <w:r w:rsidR="00213E2C" w:rsidRPr="00A43421">
        <w:rPr>
          <w:rFonts w:ascii="Times New Roman" w:hAnsi="Times New Roman" w:cs="Times New Roman"/>
          <w:color w:val="000000" w:themeColor="text1"/>
          <w:sz w:val="24"/>
          <w:szCs w:val="24"/>
        </w:rPr>
        <w:t xml:space="preserve"> was</w:t>
      </w:r>
      <w:r w:rsidR="009E743B" w:rsidRPr="00A43421">
        <w:rPr>
          <w:rFonts w:ascii="Times New Roman" w:hAnsi="Times New Roman" w:cs="Times New Roman"/>
          <w:color w:val="000000" w:themeColor="text1"/>
          <w:sz w:val="24"/>
          <w:szCs w:val="24"/>
        </w:rPr>
        <w:t xml:space="preserve"> undertaken to compare </w:t>
      </w:r>
      <w:r w:rsidR="00011B58" w:rsidRPr="00A43421">
        <w:rPr>
          <w:rFonts w:ascii="Times New Roman" w:hAnsi="Times New Roman" w:cs="Times New Roman"/>
          <w:color w:val="000000" w:themeColor="text1"/>
          <w:sz w:val="24"/>
          <w:szCs w:val="24"/>
        </w:rPr>
        <w:t xml:space="preserve">intake of micronutrient between </w:t>
      </w:r>
      <w:r w:rsidR="009E743B" w:rsidRPr="00A43421">
        <w:rPr>
          <w:rFonts w:ascii="Times New Roman" w:hAnsi="Times New Roman" w:cs="Times New Roman"/>
          <w:color w:val="000000" w:themeColor="text1"/>
          <w:sz w:val="24"/>
          <w:szCs w:val="24"/>
        </w:rPr>
        <w:t>groups</w:t>
      </w:r>
      <w:r w:rsidRPr="00A43421">
        <w:rPr>
          <w:rFonts w:ascii="Times New Roman" w:hAnsi="Times New Roman" w:cs="Times New Roman"/>
          <w:color w:val="000000" w:themeColor="text1"/>
          <w:sz w:val="24"/>
          <w:szCs w:val="24"/>
        </w:rPr>
        <w:t xml:space="preserve"> whilst controlling for </w:t>
      </w:r>
      <w:r w:rsidR="00493720" w:rsidRPr="00A43421">
        <w:rPr>
          <w:rFonts w:ascii="Times New Roman" w:hAnsi="Times New Roman" w:cs="Times New Roman"/>
          <w:color w:val="000000" w:themeColor="text1"/>
          <w:sz w:val="24"/>
          <w:szCs w:val="24"/>
        </w:rPr>
        <w:t>gender</w:t>
      </w:r>
      <w:r w:rsidRPr="00A43421">
        <w:rPr>
          <w:rFonts w:ascii="Times New Roman" w:hAnsi="Times New Roman" w:cs="Times New Roman"/>
          <w:color w:val="000000" w:themeColor="text1"/>
          <w:sz w:val="24"/>
          <w:szCs w:val="24"/>
        </w:rPr>
        <w:t>. The significance level was set at 0.05 for all analyses.</w:t>
      </w:r>
    </w:p>
    <w:p w14:paraId="148791B9" w14:textId="77777777" w:rsidR="00213E2C" w:rsidRPr="00A43421" w:rsidRDefault="00213E2C" w:rsidP="004A24F4">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FEE261F" w14:textId="4E4246A5" w:rsidR="00E22346" w:rsidRPr="00A43421" w:rsidRDefault="00E22346" w:rsidP="00530EA7">
      <w:pPr>
        <w:autoSpaceDE w:val="0"/>
        <w:autoSpaceDN w:val="0"/>
        <w:adjustRightInd w:val="0"/>
        <w:spacing w:after="0" w:line="360" w:lineRule="auto"/>
        <w:jc w:val="both"/>
        <w:rPr>
          <w:rFonts w:ascii="Times New Roman" w:hAnsi="Times New Roman" w:cs="Times New Roman"/>
          <w:i/>
          <w:color w:val="000000" w:themeColor="text1"/>
          <w:sz w:val="24"/>
          <w:szCs w:val="24"/>
        </w:rPr>
      </w:pPr>
      <w:r w:rsidRPr="00A43421">
        <w:rPr>
          <w:rFonts w:ascii="Times New Roman" w:hAnsi="Times New Roman" w:cs="Times New Roman"/>
          <w:color w:val="000000" w:themeColor="text1"/>
          <w:sz w:val="24"/>
          <w:szCs w:val="24"/>
        </w:rPr>
        <w:t xml:space="preserve">Sample size </w:t>
      </w:r>
      <w:r w:rsidR="00097F16" w:rsidRPr="00A43421">
        <w:rPr>
          <w:rFonts w:ascii="Times New Roman" w:hAnsi="Times New Roman" w:cs="Times New Roman"/>
          <w:color w:val="000000" w:themeColor="text1"/>
          <w:sz w:val="24"/>
          <w:szCs w:val="24"/>
        </w:rPr>
        <w:t>was calculated</w:t>
      </w:r>
      <w:r w:rsidRPr="00A43421">
        <w:rPr>
          <w:rFonts w:ascii="Times New Roman" w:hAnsi="Times New Roman" w:cs="Times New Roman"/>
          <w:color w:val="000000" w:themeColor="text1"/>
          <w:sz w:val="24"/>
          <w:szCs w:val="24"/>
        </w:rPr>
        <w:t xml:space="preserve"> on the basis of a detecting</w:t>
      </w:r>
      <w:r w:rsidR="004A24F4" w:rsidRPr="00A43421">
        <w:rPr>
          <w:rFonts w:ascii="Times New Roman" w:hAnsi="Times New Roman" w:cs="Times New Roman"/>
          <w:color w:val="000000" w:themeColor="text1"/>
          <w:sz w:val="24"/>
          <w:szCs w:val="24"/>
        </w:rPr>
        <w:t xml:space="preserve"> </w:t>
      </w:r>
      <w:r w:rsidRPr="00A43421">
        <w:rPr>
          <w:rFonts w:ascii="Times New Roman" w:hAnsi="Times New Roman" w:cs="Times New Roman"/>
          <w:color w:val="000000" w:themeColor="text1"/>
          <w:sz w:val="24"/>
          <w:szCs w:val="24"/>
        </w:rPr>
        <w:t xml:space="preserve">a </w:t>
      </w:r>
      <w:r w:rsidR="00097F16" w:rsidRPr="00A43421">
        <w:rPr>
          <w:rFonts w:ascii="Times New Roman" w:hAnsi="Times New Roman" w:cs="Times New Roman"/>
          <w:color w:val="000000" w:themeColor="text1"/>
          <w:sz w:val="24"/>
          <w:szCs w:val="24"/>
        </w:rPr>
        <w:t>20%</w:t>
      </w:r>
      <w:r w:rsidRPr="00A43421">
        <w:rPr>
          <w:rFonts w:ascii="Times New Roman" w:hAnsi="Times New Roman" w:cs="Times New Roman"/>
          <w:color w:val="000000" w:themeColor="text1"/>
          <w:sz w:val="24"/>
          <w:szCs w:val="24"/>
        </w:rPr>
        <w:t xml:space="preserve"> difference in food </w:t>
      </w:r>
      <w:r w:rsidR="004A24F4" w:rsidRPr="00A43421">
        <w:rPr>
          <w:rFonts w:ascii="Times New Roman" w:hAnsi="Times New Roman" w:cs="Times New Roman"/>
          <w:color w:val="000000" w:themeColor="text1"/>
          <w:sz w:val="24"/>
          <w:szCs w:val="24"/>
        </w:rPr>
        <w:t>neophobia</w:t>
      </w:r>
      <w:r w:rsidRPr="00A43421">
        <w:rPr>
          <w:rFonts w:ascii="Times New Roman" w:hAnsi="Times New Roman" w:cs="Times New Roman"/>
          <w:color w:val="000000" w:themeColor="text1"/>
          <w:sz w:val="24"/>
          <w:szCs w:val="24"/>
        </w:rPr>
        <w:t xml:space="preserve"> scores with a ratio of 1:2 CME group: control</w:t>
      </w:r>
      <w:r w:rsidR="004A24F4" w:rsidRPr="00A43421">
        <w:rPr>
          <w:rFonts w:ascii="Times New Roman" w:hAnsi="Times New Roman" w:cs="Times New Roman"/>
          <w:color w:val="000000" w:themeColor="text1"/>
          <w:sz w:val="24"/>
          <w:szCs w:val="24"/>
        </w:rPr>
        <w:t xml:space="preserve"> </w:t>
      </w:r>
      <w:r w:rsidRPr="00A43421">
        <w:rPr>
          <w:rFonts w:ascii="Times New Roman" w:hAnsi="Times New Roman" w:cs="Times New Roman"/>
          <w:color w:val="000000" w:themeColor="text1"/>
          <w:sz w:val="24"/>
          <w:szCs w:val="24"/>
        </w:rPr>
        <w:t>group.</w:t>
      </w:r>
      <w:bookmarkStart w:id="10" w:name="_Toc437506190"/>
      <w:r w:rsidRPr="00A43421">
        <w:rPr>
          <w:rFonts w:ascii="Times New Roman" w:hAnsi="Times New Roman" w:cs="Times New Roman"/>
          <w:color w:val="000000" w:themeColor="text1"/>
          <w:sz w:val="24"/>
          <w:szCs w:val="24"/>
        </w:rPr>
        <w:t xml:space="preserve"> </w:t>
      </w:r>
      <w:bookmarkEnd w:id="10"/>
      <w:r w:rsidR="009E743B" w:rsidRPr="00A43421">
        <w:rPr>
          <w:rFonts w:ascii="Times New Roman" w:hAnsi="Times New Roman" w:cs="Times New Roman"/>
          <w:color w:val="000000" w:themeColor="text1"/>
          <w:sz w:val="24"/>
          <w:szCs w:val="24"/>
        </w:rPr>
        <w:t>Using</w:t>
      </w:r>
      <w:r w:rsidR="004A24F4" w:rsidRPr="00A43421">
        <w:rPr>
          <w:rFonts w:ascii="Times New Roman" w:hAnsi="Times New Roman" w:cs="Times New Roman"/>
          <w:color w:val="000000" w:themeColor="text1"/>
          <w:sz w:val="24"/>
          <w:szCs w:val="24"/>
        </w:rPr>
        <w:t xml:space="preserve"> a two tailed</w:t>
      </w:r>
      <w:r w:rsidR="00530EA7" w:rsidRPr="00A43421">
        <w:rPr>
          <w:rFonts w:ascii="Times New Roman" w:hAnsi="Times New Roman" w:cs="Times New Roman"/>
          <w:color w:val="000000" w:themeColor="text1"/>
          <w:sz w:val="24"/>
          <w:szCs w:val="24"/>
        </w:rPr>
        <w:t xml:space="preserve"> </w:t>
      </w:r>
      <w:r w:rsidR="009E743B" w:rsidRPr="00A43421">
        <w:rPr>
          <w:rFonts w:ascii="Times New Roman" w:hAnsi="Times New Roman" w:cs="Times New Roman"/>
          <w:color w:val="000000" w:themeColor="text1"/>
          <w:sz w:val="24"/>
          <w:szCs w:val="24"/>
        </w:rPr>
        <w:t>outcome, at 80% power and</w:t>
      </w:r>
      <w:r w:rsidR="004A24F4" w:rsidRPr="00A43421">
        <w:rPr>
          <w:rFonts w:ascii="Times New Roman" w:hAnsi="Times New Roman" w:cs="Times New Roman"/>
          <w:color w:val="000000" w:themeColor="text1"/>
          <w:sz w:val="24"/>
          <w:szCs w:val="24"/>
        </w:rPr>
        <w:t xml:space="preserve"> significance level of 0.05 indicated that </w:t>
      </w:r>
      <w:r w:rsidR="004A24F4" w:rsidRPr="00A43421">
        <w:rPr>
          <w:rFonts w:ascii="Times New Roman" w:hAnsi="Times New Roman" w:cs="Times New Roman"/>
          <w:color w:val="000000" w:themeColor="text1"/>
          <w:sz w:val="24"/>
          <w:szCs w:val="24"/>
          <w:lang w:eastAsia="en-GB"/>
        </w:rPr>
        <w:t xml:space="preserve">37 </w:t>
      </w:r>
      <w:r w:rsidR="00097F16" w:rsidRPr="00A43421">
        <w:rPr>
          <w:rFonts w:ascii="Times New Roman" w:hAnsi="Times New Roman" w:cs="Times New Roman"/>
          <w:color w:val="000000" w:themeColor="text1"/>
          <w:sz w:val="24"/>
          <w:szCs w:val="24"/>
          <w:lang w:eastAsia="en-GB"/>
        </w:rPr>
        <w:t xml:space="preserve">CME </w:t>
      </w:r>
      <w:r w:rsidR="004A24F4" w:rsidRPr="00A43421">
        <w:rPr>
          <w:rFonts w:ascii="Times New Roman" w:hAnsi="Times New Roman" w:cs="Times New Roman"/>
          <w:color w:val="000000" w:themeColor="text1"/>
          <w:sz w:val="24"/>
          <w:szCs w:val="24"/>
          <w:lang w:eastAsia="en-GB"/>
        </w:rPr>
        <w:t xml:space="preserve">and 74 </w:t>
      </w:r>
      <w:r w:rsidR="00097F16" w:rsidRPr="00A43421">
        <w:rPr>
          <w:rFonts w:ascii="Times New Roman" w:hAnsi="Times New Roman" w:cs="Times New Roman"/>
          <w:color w:val="000000" w:themeColor="text1"/>
          <w:sz w:val="24"/>
          <w:szCs w:val="24"/>
          <w:lang w:eastAsia="en-GB"/>
        </w:rPr>
        <w:t>control children</w:t>
      </w:r>
      <w:r w:rsidR="004A24F4" w:rsidRPr="00A43421">
        <w:rPr>
          <w:rFonts w:ascii="Times New Roman" w:hAnsi="Times New Roman" w:cs="Times New Roman"/>
          <w:color w:val="000000" w:themeColor="text1"/>
          <w:sz w:val="24"/>
          <w:szCs w:val="24"/>
          <w:lang w:eastAsia="en-GB"/>
        </w:rPr>
        <w:t xml:space="preserve"> </w:t>
      </w:r>
      <w:r w:rsidR="004A24F4" w:rsidRPr="00A43421">
        <w:rPr>
          <w:rFonts w:ascii="Times New Roman" w:hAnsi="Times New Roman" w:cs="Times New Roman"/>
          <w:color w:val="000000" w:themeColor="text1"/>
          <w:sz w:val="24"/>
          <w:szCs w:val="24"/>
        </w:rPr>
        <w:t>were required</w:t>
      </w:r>
      <w:r w:rsidR="004A24F4" w:rsidRPr="00A43421">
        <w:rPr>
          <w:rFonts w:ascii="Times New Roman" w:hAnsi="Times New Roman" w:cs="Times New Roman"/>
          <w:i/>
          <w:color w:val="000000" w:themeColor="text1"/>
          <w:sz w:val="24"/>
          <w:szCs w:val="24"/>
        </w:rPr>
        <w:t xml:space="preserve">. </w:t>
      </w:r>
    </w:p>
    <w:p w14:paraId="5526C7E6" w14:textId="77777777" w:rsidR="00B02029" w:rsidRPr="00A43421" w:rsidRDefault="00B02029" w:rsidP="009C1681">
      <w:pPr>
        <w:rPr>
          <w:rFonts w:ascii="Times New Roman" w:hAnsi="Times New Roman" w:cs="Times New Roman"/>
          <w:color w:val="000000" w:themeColor="text1"/>
          <w:sz w:val="24"/>
          <w:szCs w:val="24"/>
        </w:rPr>
      </w:pPr>
    </w:p>
    <w:p w14:paraId="0FD8DFDC" w14:textId="77777777" w:rsidR="00083A30" w:rsidRPr="00A43421" w:rsidRDefault="00083A30" w:rsidP="00083A30">
      <w:pPr>
        <w:spacing w:after="200"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This study and the preparation of the manuscript complies with STROBE guidelines for transparent and accurate reporting of observational studies.</w:t>
      </w:r>
    </w:p>
    <w:p w14:paraId="1558AA31" w14:textId="77777777" w:rsidR="00B45C79" w:rsidRPr="00A43421" w:rsidRDefault="00B45C79" w:rsidP="009C1681">
      <w:pPr>
        <w:rPr>
          <w:rFonts w:ascii="Times New Roman" w:hAnsi="Times New Roman" w:cs="Times New Roman"/>
          <w:color w:val="000000" w:themeColor="text1"/>
          <w:sz w:val="24"/>
          <w:szCs w:val="24"/>
        </w:rPr>
      </w:pPr>
      <w:r w:rsidRPr="00A43421">
        <w:rPr>
          <w:rFonts w:ascii="Times New Roman" w:hAnsi="Times New Roman" w:cs="Times New Roman"/>
          <w:b/>
          <w:color w:val="000000" w:themeColor="text1"/>
          <w:sz w:val="24"/>
          <w:szCs w:val="24"/>
        </w:rPr>
        <w:t>R</w:t>
      </w:r>
      <w:r w:rsidR="00872639" w:rsidRPr="00A43421">
        <w:rPr>
          <w:rFonts w:ascii="Times New Roman" w:hAnsi="Times New Roman" w:cs="Times New Roman"/>
          <w:b/>
          <w:color w:val="000000" w:themeColor="text1"/>
          <w:sz w:val="24"/>
          <w:szCs w:val="24"/>
        </w:rPr>
        <w:t>esults</w:t>
      </w:r>
    </w:p>
    <w:p w14:paraId="65661025" w14:textId="015FAA5A" w:rsidR="00153820" w:rsidRPr="00A43421" w:rsidRDefault="00044ACE" w:rsidP="00B83B81">
      <w:pPr>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 xml:space="preserve">101 participants were recruited, 28 in the CME and 73 in the control group. </w:t>
      </w:r>
      <w:r w:rsidR="00372C6B" w:rsidRPr="00A43421">
        <w:rPr>
          <w:rFonts w:ascii="Times New Roman" w:hAnsi="Times New Roman" w:cs="Times New Roman"/>
          <w:color w:val="000000" w:themeColor="text1"/>
          <w:sz w:val="24"/>
          <w:szCs w:val="24"/>
        </w:rPr>
        <w:t>Participant demographic characteristics</w:t>
      </w:r>
      <w:r w:rsidR="00B45F59" w:rsidRPr="00A43421">
        <w:rPr>
          <w:rFonts w:ascii="Times New Roman" w:hAnsi="Times New Roman" w:cs="Times New Roman"/>
          <w:color w:val="000000" w:themeColor="text1"/>
          <w:sz w:val="24"/>
          <w:szCs w:val="24"/>
        </w:rPr>
        <w:t xml:space="preserve"> are detailed in </w:t>
      </w:r>
      <w:r w:rsidR="00B55E7B" w:rsidRPr="00A43421">
        <w:rPr>
          <w:rFonts w:ascii="Times New Roman" w:hAnsi="Times New Roman" w:cs="Times New Roman"/>
          <w:color w:val="000000" w:themeColor="text1"/>
          <w:sz w:val="24"/>
          <w:szCs w:val="24"/>
        </w:rPr>
        <w:t>table</w:t>
      </w:r>
      <w:r w:rsidR="00304988" w:rsidRPr="00A43421">
        <w:rPr>
          <w:rFonts w:ascii="Times New Roman" w:hAnsi="Times New Roman" w:cs="Times New Roman"/>
          <w:color w:val="000000" w:themeColor="text1"/>
          <w:sz w:val="24"/>
          <w:szCs w:val="24"/>
        </w:rPr>
        <w:t xml:space="preserve"> 1</w:t>
      </w:r>
      <w:r w:rsidR="00530EA7" w:rsidRPr="00A43421">
        <w:rPr>
          <w:rFonts w:ascii="Times New Roman" w:hAnsi="Times New Roman" w:cs="Times New Roman"/>
          <w:color w:val="000000" w:themeColor="text1"/>
          <w:sz w:val="24"/>
          <w:szCs w:val="24"/>
        </w:rPr>
        <w:t xml:space="preserve">. </w:t>
      </w:r>
      <w:r w:rsidR="00B45F59" w:rsidRPr="00A43421">
        <w:rPr>
          <w:rFonts w:ascii="Times New Roman" w:hAnsi="Times New Roman" w:cs="Times New Roman"/>
          <w:color w:val="000000" w:themeColor="text1"/>
          <w:sz w:val="24"/>
          <w:szCs w:val="24"/>
        </w:rPr>
        <w:t xml:space="preserve">No significant difference was found between the CME and control groups for age, </w:t>
      </w:r>
      <w:r w:rsidR="009E743B" w:rsidRPr="00A43421">
        <w:rPr>
          <w:rFonts w:ascii="Times New Roman" w:hAnsi="Times New Roman" w:cs="Times New Roman"/>
          <w:color w:val="000000" w:themeColor="text1"/>
          <w:sz w:val="24"/>
          <w:szCs w:val="24"/>
        </w:rPr>
        <w:t xml:space="preserve">gender, </w:t>
      </w:r>
      <w:r w:rsidR="00B45F59" w:rsidRPr="00A43421">
        <w:rPr>
          <w:rFonts w:ascii="Times New Roman" w:hAnsi="Times New Roman" w:cs="Times New Roman"/>
          <w:color w:val="000000" w:themeColor="text1"/>
          <w:sz w:val="24"/>
          <w:szCs w:val="24"/>
        </w:rPr>
        <w:t>ethnicity, number of s</w:t>
      </w:r>
      <w:r w:rsidR="0074703C" w:rsidRPr="00A43421">
        <w:rPr>
          <w:rFonts w:ascii="Times New Roman" w:hAnsi="Times New Roman" w:cs="Times New Roman"/>
          <w:color w:val="000000" w:themeColor="text1"/>
          <w:sz w:val="24"/>
          <w:szCs w:val="24"/>
        </w:rPr>
        <w:t xml:space="preserve">iblings, parental education </w:t>
      </w:r>
      <w:r w:rsidR="00B45F59" w:rsidRPr="00A43421">
        <w:rPr>
          <w:rFonts w:ascii="Times New Roman" w:hAnsi="Times New Roman" w:cs="Times New Roman"/>
          <w:color w:val="000000" w:themeColor="text1"/>
          <w:sz w:val="24"/>
          <w:szCs w:val="24"/>
        </w:rPr>
        <w:t>or paternal food allergy history. Signifi</w:t>
      </w:r>
      <w:r w:rsidR="009E743B" w:rsidRPr="00A43421">
        <w:rPr>
          <w:rFonts w:ascii="Times New Roman" w:hAnsi="Times New Roman" w:cs="Times New Roman"/>
          <w:color w:val="000000" w:themeColor="text1"/>
          <w:sz w:val="24"/>
          <w:szCs w:val="24"/>
        </w:rPr>
        <w:t>cant differences were found for</w:t>
      </w:r>
      <w:r w:rsidR="00B45F59" w:rsidRPr="00A43421">
        <w:rPr>
          <w:rFonts w:ascii="Times New Roman" w:hAnsi="Times New Roman" w:cs="Times New Roman"/>
          <w:color w:val="000000" w:themeColor="text1"/>
          <w:sz w:val="24"/>
          <w:szCs w:val="24"/>
        </w:rPr>
        <w:t xml:space="preserve"> maternal and sibling food allergy history (</w:t>
      </w:r>
      <w:r w:rsidR="0074703C" w:rsidRPr="00A43421">
        <w:rPr>
          <w:rFonts w:ascii="Times New Roman" w:hAnsi="Times New Roman" w:cs="Times New Roman"/>
          <w:color w:val="000000" w:themeColor="text1"/>
          <w:sz w:val="24"/>
          <w:szCs w:val="24"/>
        </w:rPr>
        <w:t>p &lt; 0.05</w:t>
      </w:r>
      <w:r w:rsidR="00B45F59" w:rsidRPr="00A43421">
        <w:rPr>
          <w:rFonts w:ascii="Times New Roman" w:hAnsi="Times New Roman" w:cs="Times New Roman"/>
          <w:color w:val="000000" w:themeColor="text1"/>
          <w:sz w:val="24"/>
          <w:szCs w:val="24"/>
        </w:rPr>
        <w:t xml:space="preserve">), with those in the CME group having higher rates of both. </w:t>
      </w:r>
    </w:p>
    <w:p w14:paraId="109AA375" w14:textId="77777777" w:rsidR="008132A4" w:rsidRDefault="008132A4" w:rsidP="008132A4">
      <w:pPr>
        <w:rPr>
          <w:rFonts w:ascii="Times New Roman" w:hAnsi="Times New Roman" w:cs="Times New Roman"/>
          <w:sz w:val="24"/>
          <w:szCs w:val="24"/>
        </w:rPr>
      </w:pPr>
      <w:bookmarkStart w:id="11" w:name="_Toc304118777"/>
    </w:p>
    <w:p w14:paraId="0E130D39" w14:textId="77777777" w:rsidR="008132A4" w:rsidRDefault="008132A4" w:rsidP="008132A4">
      <w:pPr>
        <w:rPr>
          <w:rFonts w:ascii="Times New Roman" w:hAnsi="Times New Roman" w:cs="Times New Roman"/>
          <w:sz w:val="24"/>
          <w:szCs w:val="24"/>
        </w:rPr>
      </w:pPr>
    </w:p>
    <w:p w14:paraId="74DD5A8D" w14:textId="77777777" w:rsidR="008132A4" w:rsidRDefault="008132A4" w:rsidP="008132A4">
      <w:pPr>
        <w:rPr>
          <w:rFonts w:ascii="Times New Roman" w:hAnsi="Times New Roman" w:cs="Times New Roman"/>
          <w:sz w:val="24"/>
          <w:szCs w:val="24"/>
        </w:rPr>
      </w:pPr>
    </w:p>
    <w:p w14:paraId="221F5957" w14:textId="77777777" w:rsidR="008132A4" w:rsidRPr="00083A30" w:rsidRDefault="008132A4" w:rsidP="008132A4">
      <w:pPr>
        <w:rPr>
          <w:rFonts w:ascii="Times New Roman" w:hAnsi="Times New Roman" w:cs="Times New Roman"/>
          <w:sz w:val="24"/>
          <w:szCs w:val="24"/>
        </w:rPr>
      </w:pPr>
      <w:r w:rsidRPr="00083A30">
        <w:rPr>
          <w:rFonts w:ascii="Times New Roman" w:hAnsi="Times New Roman" w:cs="Times New Roman"/>
          <w:sz w:val="24"/>
          <w:szCs w:val="24"/>
        </w:rPr>
        <w:t>Table 1 Demographic characteristics of participants</w:t>
      </w:r>
      <w:bookmarkEnd w:id="11"/>
    </w:p>
    <w:tbl>
      <w:tblPr>
        <w:tblW w:w="909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20" w:firstRow="1" w:lastRow="0" w:firstColumn="0" w:lastColumn="0" w:noHBand="0" w:noVBand="0"/>
      </w:tblPr>
      <w:tblGrid>
        <w:gridCol w:w="3426"/>
        <w:gridCol w:w="1985"/>
        <w:gridCol w:w="1842"/>
        <w:gridCol w:w="1843"/>
      </w:tblGrid>
      <w:tr w:rsidR="008132A4" w:rsidRPr="00083A30" w14:paraId="310E655E" w14:textId="77777777" w:rsidTr="00330B87">
        <w:tc>
          <w:tcPr>
            <w:tcW w:w="3426" w:type="dxa"/>
          </w:tcPr>
          <w:p w14:paraId="27B3226B" w14:textId="77777777" w:rsidR="008132A4" w:rsidRPr="00083A30" w:rsidRDefault="008132A4" w:rsidP="00330B87">
            <w:pPr>
              <w:widowControl w:val="0"/>
              <w:autoSpaceDE w:val="0"/>
              <w:autoSpaceDN w:val="0"/>
              <w:adjustRightInd w:val="0"/>
              <w:spacing w:line="240" w:lineRule="auto"/>
              <w:rPr>
                <w:rFonts w:ascii="Times New Roman" w:hAnsi="Times New Roman" w:cs="Times New Roman"/>
                <w:b/>
                <w:bCs/>
                <w:color w:val="000000"/>
                <w:lang w:val="en-US" w:eastAsia="en-GB"/>
              </w:rPr>
            </w:pPr>
          </w:p>
        </w:tc>
        <w:tc>
          <w:tcPr>
            <w:tcW w:w="1985" w:type="dxa"/>
          </w:tcPr>
          <w:p w14:paraId="1E3C251C"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b/>
                <w:bCs/>
                <w:color w:val="000000"/>
                <w:lang w:val="en-US" w:eastAsia="en-GB"/>
              </w:rPr>
            </w:pPr>
            <w:r w:rsidRPr="00083A30">
              <w:rPr>
                <w:rFonts w:ascii="Times New Roman" w:hAnsi="Times New Roman" w:cs="Times New Roman"/>
                <w:bCs/>
                <w:color w:val="000000"/>
                <w:lang w:val="en-US" w:eastAsia="en-GB"/>
              </w:rPr>
              <w:t>All</w:t>
            </w:r>
          </w:p>
          <w:p w14:paraId="04686C88"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b/>
                <w:bCs/>
                <w:color w:val="000000"/>
                <w:lang w:val="en-US" w:eastAsia="en-GB"/>
              </w:rPr>
            </w:pPr>
            <w:r w:rsidRPr="00083A30">
              <w:rPr>
                <w:rFonts w:ascii="Times New Roman" w:hAnsi="Times New Roman" w:cs="Times New Roman"/>
                <w:bCs/>
                <w:color w:val="000000"/>
                <w:lang w:val="en-US" w:eastAsia="en-GB"/>
              </w:rPr>
              <w:t>(</w:t>
            </w:r>
            <w:r w:rsidRPr="00083A30">
              <w:rPr>
                <w:rFonts w:ascii="Times New Roman" w:hAnsi="Times New Roman" w:cs="Times New Roman"/>
                <w:bCs/>
                <w:i/>
                <w:color w:val="000000"/>
                <w:lang w:val="en-US" w:eastAsia="en-GB"/>
              </w:rPr>
              <w:t>N</w:t>
            </w:r>
            <w:r w:rsidRPr="00083A30">
              <w:rPr>
                <w:rFonts w:ascii="Times New Roman" w:hAnsi="Times New Roman" w:cs="Times New Roman"/>
                <w:bCs/>
                <w:color w:val="000000"/>
                <w:lang w:val="en-US" w:eastAsia="en-GB"/>
              </w:rPr>
              <w:t xml:space="preserve"> =101)</w:t>
            </w:r>
          </w:p>
        </w:tc>
        <w:tc>
          <w:tcPr>
            <w:tcW w:w="1842" w:type="dxa"/>
          </w:tcPr>
          <w:p w14:paraId="35184A37"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b/>
                <w:bCs/>
                <w:color w:val="000000"/>
                <w:lang w:val="en-US" w:eastAsia="en-GB"/>
              </w:rPr>
            </w:pPr>
            <w:r w:rsidRPr="00083A30">
              <w:rPr>
                <w:rFonts w:ascii="Times New Roman" w:hAnsi="Times New Roman" w:cs="Times New Roman"/>
                <w:bCs/>
                <w:color w:val="000000"/>
                <w:lang w:val="en-US" w:eastAsia="en-GB"/>
              </w:rPr>
              <w:t>CME group</w:t>
            </w:r>
          </w:p>
          <w:p w14:paraId="7FE3EB48"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b/>
                <w:bCs/>
                <w:color w:val="000000"/>
                <w:lang w:val="en-US" w:eastAsia="en-GB"/>
              </w:rPr>
            </w:pPr>
            <w:r w:rsidRPr="00083A30">
              <w:rPr>
                <w:rFonts w:ascii="Times New Roman" w:hAnsi="Times New Roman" w:cs="Times New Roman"/>
                <w:bCs/>
                <w:color w:val="000000"/>
                <w:lang w:val="en-US" w:eastAsia="en-GB"/>
              </w:rPr>
              <w:t>(</w:t>
            </w:r>
            <w:r w:rsidRPr="00083A30">
              <w:rPr>
                <w:rFonts w:ascii="Times New Roman" w:hAnsi="Times New Roman" w:cs="Times New Roman"/>
                <w:bCs/>
                <w:i/>
                <w:color w:val="000000"/>
                <w:lang w:val="en-US" w:eastAsia="en-GB"/>
              </w:rPr>
              <w:t>n</w:t>
            </w:r>
            <w:r w:rsidRPr="00083A30">
              <w:rPr>
                <w:rFonts w:ascii="Times New Roman" w:hAnsi="Times New Roman" w:cs="Times New Roman"/>
                <w:bCs/>
                <w:color w:val="000000"/>
                <w:lang w:val="en-US" w:eastAsia="en-GB"/>
              </w:rPr>
              <w:t xml:space="preserve"> =28)</w:t>
            </w:r>
          </w:p>
        </w:tc>
        <w:tc>
          <w:tcPr>
            <w:tcW w:w="1843" w:type="dxa"/>
          </w:tcPr>
          <w:p w14:paraId="65C6180C"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b/>
                <w:bCs/>
                <w:color w:val="000000"/>
                <w:lang w:val="en-US" w:eastAsia="en-GB"/>
              </w:rPr>
            </w:pPr>
            <w:r w:rsidRPr="00083A30">
              <w:rPr>
                <w:rFonts w:ascii="Times New Roman" w:hAnsi="Times New Roman" w:cs="Times New Roman"/>
                <w:bCs/>
                <w:color w:val="000000"/>
                <w:lang w:val="en-US" w:eastAsia="en-GB"/>
              </w:rPr>
              <w:t>Control group</w:t>
            </w:r>
          </w:p>
          <w:p w14:paraId="7B957DF7"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b/>
                <w:bCs/>
                <w:color w:val="000000"/>
                <w:lang w:val="en-US" w:eastAsia="en-GB"/>
              </w:rPr>
            </w:pPr>
            <w:r w:rsidRPr="00083A30">
              <w:rPr>
                <w:rFonts w:ascii="Times New Roman" w:hAnsi="Times New Roman" w:cs="Times New Roman"/>
                <w:bCs/>
                <w:color w:val="000000"/>
                <w:lang w:val="en-US" w:eastAsia="en-GB"/>
              </w:rPr>
              <w:t>(</w:t>
            </w:r>
            <w:r w:rsidRPr="00083A30">
              <w:rPr>
                <w:rFonts w:ascii="Times New Roman" w:hAnsi="Times New Roman" w:cs="Times New Roman"/>
                <w:bCs/>
                <w:i/>
                <w:color w:val="000000"/>
                <w:lang w:val="en-US" w:eastAsia="en-GB"/>
              </w:rPr>
              <w:t>n</w:t>
            </w:r>
            <w:r w:rsidRPr="00083A30">
              <w:rPr>
                <w:rFonts w:ascii="Times New Roman" w:hAnsi="Times New Roman" w:cs="Times New Roman"/>
                <w:bCs/>
                <w:color w:val="000000"/>
                <w:lang w:val="en-US" w:eastAsia="en-GB"/>
              </w:rPr>
              <w:t xml:space="preserve"> = 73)</w:t>
            </w:r>
          </w:p>
        </w:tc>
      </w:tr>
      <w:tr w:rsidR="008132A4" w:rsidRPr="00083A30" w14:paraId="1EC4CFF0" w14:textId="77777777" w:rsidTr="00330B87">
        <w:tc>
          <w:tcPr>
            <w:tcW w:w="3426" w:type="dxa"/>
          </w:tcPr>
          <w:p w14:paraId="10538BB6" w14:textId="77777777" w:rsidR="008132A4" w:rsidRPr="00083A30" w:rsidRDefault="008132A4" w:rsidP="00330B87">
            <w:pPr>
              <w:widowControl w:val="0"/>
              <w:autoSpaceDE w:val="0"/>
              <w:autoSpaceDN w:val="0"/>
              <w:adjustRightInd w:val="0"/>
              <w:spacing w:line="240" w:lineRule="auto"/>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 xml:space="preserve">Median age in years </w:t>
            </w:r>
          </w:p>
          <w:p w14:paraId="7023804F" w14:textId="77777777" w:rsidR="008132A4" w:rsidRPr="00083A30" w:rsidRDefault="008132A4" w:rsidP="00330B87">
            <w:pPr>
              <w:widowControl w:val="0"/>
              <w:autoSpaceDE w:val="0"/>
              <w:autoSpaceDN w:val="0"/>
              <w:adjustRightInd w:val="0"/>
              <w:spacing w:line="240" w:lineRule="auto"/>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(minimum-maximum)</w:t>
            </w:r>
          </w:p>
        </w:tc>
        <w:tc>
          <w:tcPr>
            <w:tcW w:w="1985" w:type="dxa"/>
          </w:tcPr>
          <w:p w14:paraId="1CFE4393"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 xml:space="preserve">11.5 </w:t>
            </w:r>
          </w:p>
          <w:p w14:paraId="61730F07"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(7.04 – 13.83)</w:t>
            </w:r>
          </w:p>
        </w:tc>
        <w:tc>
          <w:tcPr>
            <w:tcW w:w="1842" w:type="dxa"/>
          </w:tcPr>
          <w:p w14:paraId="16147B54"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 xml:space="preserve">11.33 </w:t>
            </w:r>
          </w:p>
          <w:p w14:paraId="2ACBFBB1"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(7.25 – 13.83)</w:t>
            </w:r>
          </w:p>
        </w:tc>
        <w:tc>
          <w:tcPr>
            <w:tcW w:w="1843" w:type="dxa"/>
          </w:tcPr>
          <w:p w14:paraId="6E837549"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11.58</w:t>
            </w:r>
          </w:p>
          <w:p w14:paraId="4437765E"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(7.04 – 12.44)</w:t>
            </w:r>
          </w:p>
        </w:tc>
      </w:tr>
      <w:tr w:rsidR="008132A4" w:rsidRPr="00083A30" w14:paraId="6873A9AF" w14:textId="77777777" w:rsidTr="00330B87">
        <w:tc>
          <w:tcPr>
            <w:tcW w:w="3426" w:type="dxa"/>
          </w:tcPr>
          <w:p w14:paraId="7F69F137" w14:textId="77777777" w:rsidR="008132A4" w:rsidRPr="00083A30" w:rsidRDefault="008132A4" w:rsidP="00330B87">
            <w:pPr>
              <w:widowControl w:val="0"/>
              <w:autoSpaceDE w:val="0"/>
              <w:autoSpaceDN w:val="0"/>
              <w:adjustRightInd w:val="0"/>
              <w:spacing w:line="240" w:lineRule="auto"/>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Male (%)</w:t>
            </w:r>
          </w:p>
        </w:tc>
        <w:tc>
          <w:tcPr>
            <w:tcW w:w="1985" w:type="dxa"/>
          </w:tcPr>
          <w:p w14:paraId="1E57D2AE"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53 (52.5)</w:t>
            </w:r>
          </w:p>
        </w:tc>
        <w:tc>
          <w:tcPr>
            <w:tcW w:w="1842" w:type="dxa"/>
          </w:tcPr>
          <w:p w14:paraId="2A3A0EE4"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12 (42.9)</w:t>
            </w:r>
          </w:p>
        </w:tc>
        <w:tc>
          <w:tcPr>
            <w:tcW w:w="1843" w:type="dxa"/>
          </w:tcPr>
          <w:p w14:paraId="105A04B7"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41 (56.2)</w:t>
            </w:r>
          </w:p>
        </w:tc>
      </w:tr>
      <w:tr w:rsidR="008132A4" w:rsidRPr="00083A30" w14:paraId="3A61A5B1" w14:textId="77777777" w:rsidTr="00330B87">
        <w:tc>
          <w:tcPr>
            <w:tcW w:w="3426" w:type="dxa"/>
          </w:tcPr>
          <w:p w14:paraId="38418A2C" w14:textId="77777777" w:rsidR="008132A4" w:rsidRPr="00083A30" w:rsidRDefault="008132A4" w:rsidP="00330B87">
            <w:pPr>
              <w:widowControl w:val="0"/>
              <w:autoSpaceDE w:val="0"/>
              <w:autoSpaceDN w:val="0"/>
              <w:adjustRightInd w:val="0"/>
              <w:spacing w:line="360" w:lineRule="auto"/>
              <w:rPr>
                <w:rFonts w:ascii="Times New Roman" w:hAnsi="Times New Roman" w:cs="Times New Roman"/>
                <w:color w:val="000000"/>
                <w:lang w:val="en-US" w:eastAsia="en-GB"/>
              </w:rPr>
            </w:pPr>
            <w:r w:rsidRPr="008132A4">
              <w:rPr>
                <w:rFonts w:ascii="Times New Roman" w:hAnsi="Times New Roman" w:cs="Times New Roman"/>
                <w:color w:val="000000" w:themeColor="text1"/>
                <w:lang w:val="en-US" w:eastAsia="en-GB"/>
              </w:rPr>
              <w:t>Median number of siblings (minimum-maximum)</w:t>
            </w:r>
          </w:p>
        </w:tc>
        <w:tc>
          <w:tcPr>
            <w:tcW w:w="1985" w:type="dxa"/>
          </w:tcPr>
          <w:p w14:paraId="455E8D88"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1 (0-5)</w:t>
            </w:r>
          </w:p>
        </w:tc>
        <w:tc>
          <w:tcPr>
            <w:tcW w:w="1842" w:type="dxa"/>
          </w:tcPr>
          <w:p w14:paraId="57686230"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1 (0-4)</w:t>
            </w:r>
          </w:p>
        </w:tc>
        <w:tc>
          <w:tcPr>
            <w:tcW w:w="1843" w:type="dxa"/>
          </w:tcPr>
          <w:p w14:paraId="5A8BA5BA"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1 (0.5)</w:t>
            </w:r>
          </w:p>
        </w:tc>
      </w:tr>
      <w:tr w:rsidR="008132A4" w:rsidRPr="00083A30" w14:paraId="5C288FFE" w14:textId="77777777" w:rsidTr="00330B87">
        <w:tc>
          <w:tcPr>
            <w:tcW w:w="3426" w:type="dxa"/>
          </w:tcPr>
          <w:p w14:paraId="4F1E37F7" w14:textId="77777777" w:rsidR="008132A4" w:rsidRPr="00083A30" w:rsidRDefault="008132A4" w:rsidP="00330B87">
            <w:pPr>
              <w:widowControl w:val="0"/>
              <w:autoSpaceDE w:val="0"/>
              <w:autoSpaceDN w:val="0"/>
              <w:adjustRightInd w:val="0"/>
              <w:spacing w:line="240" w:lineRule="auto"/>
              <w:rPr>
                <w:rFonts w:ascii="Times New Roman" w:hAnsi="Times New Roman" w:cs="Times New Roman"/>
                <w:i/>
                <w:color w:val="000000"/>
                <w:lang w:val="en-US" w:eastAsia="en-GB"/>
              </w:rPr>
            </w:pPr>
            <w:r w:rsidRPr="00083A30">
              <w:rPr>
                <w:rFonts w:ascii="Times New Roman" w:hAnsi="Times New Roman" w:cs="Times New Roman"/>
                <w:i/>
                <w:color w:val="000000"/>
                <w:lang w:val="en-US" w:eastAsia="en-GB"/>
              </w:rPr>
              <w:t>Ethnicity</w:t>
            </w:r>
          </w:p>
          <w:p w14:paraId="5555CF34" w14:textId="77777777" w:rsidR="008132A4" w:rsidRPr="00083A30" w:rsidRDefault="008132A4" w:rsidP="00330B87">
            <w:pPr>
              <w:widowControl w:val="0"/>
              <w:autoSpaceDE w:val="0"/>
              <w:autoSpaceDN w:val="0"/>
              <w:adjustRightInd w:val="0"/>
              <w:spacing w:line="240" w:lineRule="auto"/>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White British (%)</w:t>
            </w:r>
          </w:p>
        </w:tc>
        <w:tc>
          <w:tcPr>
            <w:tcW w:w="1985" w:type="dxa"/>
          </w:tcPr>
          <w:p w14:paraId="57FADAE0"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p>
          <w:p w14:paraId="4DABAD2C"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98 (97)</w:t>
            </w:r>
          </w:p>
        </w:tc>
        <w:tc>
          <w:tcPr>
            <w:tcW w:w="1842" w:type="dxa"/>
          </w:tcPr>
          <w:p w14:paraId="4E1F5D1B"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p>
          <w:p w14:paraId="2443B2C5"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28 (100)</w:t>
            </w:r>
          </w:p>
        </w:tc>
        <w:tc>
          <w:tcPr>
            <w:tcW w:w="1843" w:type="dxa"/>
          </w:tcPr>
          <w:p w14:paraId="542E00DD"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p>
          <w:p w14:paraId="03E3FB33"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70 (95.9)</w:t>
            </w:r>
          </w:p>
        </w:tc>
      </w:tr>
      <w:tr w:rsidR="008132A4" w:rsidRPr="00083A30" w14:paraId="3AB819E1" w14:textId="77777777" w:rsidTr="00330B87">
        <w:tc>
          <w:tcPr>
            <w:tcW w:w="3426" w:type="dxa"/>
          </w:tcPr>
          <w:p w14:paraId="1B28F385" w14:textId="77777777" w:rsidR="008132A4" w:rsidRPr="00083A30" w:rsidRDefault="008132A4" w:rsidP="00330B87">
            <w:pPr>
              <w:widowControl w:val="0"/>
              <w:autoSpaceDE w:val="0"/>
              <w:autoSpaceDN w:val="0"/>
              <w:adjustRightInd w:val="0"/>
              <w:spacing w:line="240" w:lineRule="auto"/>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Median maternal age in years</w:t>
            </w:r>
          </w:p>
          <w:p w14:paraId="0D12EC8B" w14:textId="77777777" w:rsidR="008132A4" w:rsidRPr="00083A30" w:rsidRDefault="008132A4" w:rsidP="00330B87">
            <w:pPr>
              <w:widowControl w:val="0"/>
              <w:autoSpaceDE w:val="0"/>
              <w:autoSpaceDN w:val="0"/>
              <w:adjustRightInd w:val="0"/>
              <w:spacing w:line="240" w:lineRule="auto"/>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(minimum-maximum)</w:t>
            </w:r>
          </w:p>
        </w:tc>
        <w:tc>
          <w:tcPr>
            <w:tcW w:w="1985" w:type="dxa"/>
          </w:tcPr>
          <w:p w14:paraId="2A093EF4"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42.5 (29-53)</w:t>
            </w:r>
          </w:p>
        </w:tc>
        <w:tc>
          <w:tcPr>
            <w:tcW w:w="1842" w:type="dxa"/>
          </w:tcPr>
          <w:p w14:paraId="3FC0E1CB"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43 (32-51)</w:t>
            </w:r>
          </w:p>
        </w:tc>
        <w:tc>
          <w:tcPr>
            <w:tcW w:w="1843" w:type="dxa"/>
          </w:tcPr>
          <w:p w14:paraId="65A309B4"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42 (29-53)</w:t>
            </w:r>
          </w:p>
        </w:tc>
      </w:tr>
      <w:tr w:rsidR="008132A4" w:rsidRPr="00083A30" w14:paraId="3187311B" w14:textId="77777777" w:rsidTr="00330B87">
        <w:tc>
          <w:tcPr>
            <w:tcW w:w="3426" w:type="dxa"/>
          </w:tcPr>
          <w:p w14:paraId="43C59E43" w14:textId="77777777" w:rsidR="008132A4" w:rsidRPr="00083A30" w:rsidRDefault="008132A4" w:rsidP="00330B87">
            <w:pPr>
              <w:widowControl w:val="0"/>
              <w:autoSpaceDE w:val="0"/>
              <w:autoSpaceDN w:val="0"/>
              <w:adjustRightInd w:val="0"/>
              <w:spacing w:line="240" w:lineRule="auto"/>
              <w:rPr>
                <w:rFonts w:ascii="Times New Roman" w:hAnsi="Times New Roman" w:cs="Times New Roman"/>
                <w:i/>
                <w:color w:val="000000"/>
                <w:lang w:val="en-US" w:eastAsia="en-GB"/>
              </w:rPr>
            </w:pPr>
            <w:r w:rsidRPr="00083A30">
              <w:rPr>
                <w:rFonts w:ascii="Times New Roman" w:hAnsi="Times New Roman" w:cs="Times New Roman"/>
                <w:i/>
                <w:color w:val="000000"/>
                <w:lang w:val="en-US" w:eastAsia="en-GB"/>
              </w:rPr>
              <w:t>Maternal education</w:t>
            </w:r>
          </w:p>
          <w:p w14:paraId="0F553BCC" w14:textId="77777777" w:rsidR="008132A4" w:rsidRPr="00083A30" w:rsidRDefault="008132A4" w:rsidP="00330B87">
            <w:pPr>
              <w:widowControl w:val="0"/>
              <w:autoSpaceDE w:val="0"/>
              <w:autoSpaceDN w:val="0"/>
              <w:adjustRightInd w:val="0"/>
              <w:spacing w:line="240" w:lineRule="auto"/>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None (%)</w:t>
            </w:r>
          </w:p>
          <w:p w14:paraId="53E3B136" w14:textId="77777777" w:rsidR="008132A4" w:rsidRPr="00083A30" w:rsidRDefault="008132A4" w:rsidP="00330B87">
            <w:pPr>
              <w:widowControl w:val="0"/>
              <w:autoSpaceDE w:val="0"/>
              <w:autoSpaceDN w:val="0"/>
              <w:adjustRightInd w:val="0"/>
              <w:spacing w:line="240" w:lineRule="auto"/>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GCSE /A-level or equivalent (%)</w:t>
            </w:r>
          </w:p>
          <w:p w14:paraId="611255FB" w14:textId="77777777" w:rsidR="008132A4" w:rsidRPr="00083A30" w:rsidRDefault="008132A4" w:rsidP="00330B87">
            <w:pPr>
              <w:widowControl w:val="0"/>
              <w:autoSpaceDE w:val="0"/>
              <w:autoSpaceDN w:val="0"/>
              <w:adjustRightInd w:val="0"/>
              <w:spacing w:line="240" w:lineRule="auto"/>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Graduate / Postgraduate (%)</w:t>
            </w:r>
          </w:p>
        </w:tc>
        <w:tc>
          <w:tcPr>
            <w:tcW w:w="1985" w:type="dxa"/>
          </w:tcPr>
          <w:p w14:paraId="17797792"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p>
          <w:p w14:paraId="29ECD968"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2 (2.0)</w:t>
            </w:r>
          </w:p>
          <w:p w14:paraId="7E5D3B8D"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62 (62.0)</w:t>
            </w:r>
          </w:p>
          <w:p w14:paraId="59C28915"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36 (36.0)</w:t>
            </w:r>
          </w:p>
        </w:tc>
        <w:tc>
          <w:tcPr>
            <w:tcW w:w="1842" w:type="dxa"/>
          </w:tcPr>
          <w:p w14:paraId="1711C405"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p>
          <w:p w14:paraId="1F99C20B"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0 (0.0)</w:t>
            </w:r>
          </w:p>
          <w:p w14:paraId="68B5EBBF"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20 (74.0)</w:t>
            </w:r>
          </w:p>
          <w:p w14:paraId="2621F0BB"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7 (25.9)</w:t>
            </w:r>
          </w:p>
        </w:tc>
        <w:tc>
          <w:tcPr>
            <w:tcW w:w="1843" w:type="dxa"/>
          </w:tcPr>
          <w:p w14:paraId="7F1CF073"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p>
          <w:p w14:paraId="144166AA"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2 (2.7)</w:t>
            </w:r>
          </w:p>
          <w:p w14:paraId="2C0C370A"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42 (57.5)</w:t>
            </w:r>
          </w:p>
          <w:p w14:paraId="6BA845B5"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29 (39.8)</w:t>
            </w:r>
          </w:p>
        </w:tc>
      </w:tr>
      <w:tr w:rsidR="008132A4" w:rsidRPr="00083A30" w14:paraId="0C19E6E7" w14:textId="77777777" w:rsidTr="00330B87">
        <w:tc>
          <w:tcPr>
            <w:tcW w:w="3426" w:type="dxa"/>
          </w:tcPr>
          <w:p w14:paraId="2A73B87E" w14:textId="77777777" w:rsidR="008132A4" w:rsidRPr="00083A30" w:rsidRDefault="008132A4" w:rsidP="00330B87">
            <w:pPr>
              <w:widowControl w:val="0"/>
              <w:autoSpaceDE w:val="0"/>
              <w:autoSpaceDN w:val="0"/>
              <w:adjustRightInd w:val="0"/>
              <w:spacing w:line="240" w:lineRule="auto"/>
              <w:rPr>
                <w:rFonts w:ascii="Times New Roman" w:hAnsi="Times New Roman" w:cs="Times New Roman"/>
                <w:i/>
                <w:color w:val="000000"/>
                <w:lang w:val="en-US" w:eastAsia="en-GB"/>
              </w:rPr>
            </w:pPr>
            <w:r w:rsidRPr="00083A30">
              <w:rPr>
                <w:rFonts w:ascii="Times New Roman" w:hAnsi="Times New Roman" w:cs="Times New Roman"/>
                <w:i/>
                <w:color w:val="000000"/>
                <w:lang w:val="en-US" w:eastAsia="en-GB"/>
              </w:rPr>
              <w:t>Family history of food allergy</w:t>
            </w:r>
          </w:p>
          <w:p w14:paraId="347991E4" w14:textId="77777777" w:rsidR="008132A4" w:rsidRPr="00083A30" w:rsidRDefault="008132A4" w:rsidP="00330B87">
            <w:pPr>
              <w:widowControl w:val="0"/>
              <w:autoSpaceDE w:val="0"/>
              <w:autoSpaceDN w:val="0"/>
              <w:adjustRightInd w:val="0"/>
              <w:spacing w:line="240" w:lineRule="auto"/>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Maternal (%)*</w:t>
            </w:r>
          </w:p>
          <w:p w14:paraId="36DEA2AF" w14:textId="77777777" w:rsidR="008132A4" w:rsidRPr="00083A30" w:rsidRDefault="008132A4" w:rsidP="00330B87">
            <w:pPr>
              <w:widowControl w:val="0"/>
              <w:autoSpaceDE w:val="0"/>
              <w:autoSpaceDN w:val="0"/>
              <w:adjustRightInd w:val="0"/>
              <w:spacing w:line="240" w:lineRule="auto"/>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Paternal (%)</w:t>
            </w:r>
          </w:p>
          <w:p w14:paraId="1613D8A9" w14:textId="77777777" w:rsidR="008132A4" w:rsidRPr="00083A30" w:rsidRDefault="008132A4" w:rsidP="00330B87">
            <w:pPr>
              <w:widowControl w:val="0"/>
              <w:autoSpaceDE w:val="0"/>
              <w:autoSpaceDN w:val="0"/>
              <w:adjustRightInd w:val="0"/>
              <w:spacing w:line="240" w:lineRule="auto"/>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Sibling (%)*</w:t>
            </w:r>
          </w:p>
        </w:tc>
        <w:tc>
          <w:tcPr>
            <w:tcW w:w="1985" w:type="dxa"/>
          </w:tcPr>
          <w:p w14:paraId="126B9102"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p>
          <w:p w14:paraId="43A6A363"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23 (22.5)</w:t>
            </w:r>
          </w:p>
          <w:p w14:paraId="6AD6E680"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16 (15.6)</w:t>
            </w:r>
          </w:p>
          <w:p w14:paraId="5155BF06"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18 (17.6)</w:t>
            </w:r>
          </w:p>
        </w:tc>
        <w:tc>
          <w:tcPr>
            <w:tcW w:w="1842" w:type="dxa"/>
          </w:tcPr>
          <w:p w14:paraId="618E3334"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p>
          <w:p w14:paraId="274F2C8E"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10 (35.7)*</w:t>
            </w:r>
          </w:p>
          <w:p w14:paraId="236D152F"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7 (25.9)</w:t>
            </w:r>
          </w:p>
          <w:p w14:paraId="2AD27E7F"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10 (35.7)*</w:t>
            </w:r>
          </w:p>
        </w:tc>
        <w:tc>
          <w:tcPr>
            <w:tcW w:w="1843" w:type="dxa"/>
          </w:tcPr>
          <w:p w14:paraId="684BA07B"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p>
          <w:p w14:paraId="3858806D"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13 (17.8)*</w:t>
            </w:r>
          </w:p>
          <w:p w14:paraId="3643A519"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9 (12.3)</w:t>
            </w:r>
          </w:p>
          <w:p w14:paraId="5C217F34" w14:textId="77777777" w:rsidR="008132A4" w:rsidRPr="00083A30" w:rsidRDefault="008132A4" w:rsidP="00330B87">
            <w:pPr>
              <w:widowControl w:val="0"/>
              <w:autoSpaceDE w:val="0"/>
              <w:autoSpaceDN w:val="0"/>
              <w:adjustRightInd w:val="0"/>
              <w:spacing w:line="240" w:lineRule="auto"/>
              <w:jc w:val="center"/>
              <w:rPr>
                <w:rFonts w:ascii="Times New Roman" w:hAnsi="Times New Roman" w:cs="Times New Roman"/>
                <w:color w:val="000000"/>
                <w:lang w:val="en-US" w:eastAsia="en-GB"/>
              </w:rPr>
            </w:pPr>
            <w:r w:rsidRPr="00083A30">
              <w:rPr>
                <w:rFonts w:ascii="Times New Roman" w:hAnsi="Times New Roman" w:cs="Times New Roman"/>
                <w:color w:val="000000"/>
                <w:lang w:val="en-US" w:eastAsia="en-GB"/>
              </w:rPr>
              <w:t>8 (11.0)*</w:t>
            </w:r>
          </w:p>
        </w:tc>
      </w:tr>
    </w:tbl>
    <w:p w14:paraId="58BBECCE" w14:textId="77777777" w:rsidR="008132A4" w:rsidRPr="00083A30" w:rsidRDefault="008132A4" w:rsidP="008132A4">
      <w:pPr>
        <w:rPr>
          <w:rFonts w:ascii="Times New Roman" w:hAnsi="Times New Roman" w:cs="Times New Roman"/>
          <w:sz w:val="24"/>
          <w:szCs w:val="24"/>
        </w:rPr>
      </w:pPr>
      <w:r w:rsidRPr="00083A30">
        <w:rPr>
          <w:rFonts w:ascii="Times New Roman" w:hAnsi="Times New Roman" w:cs="Times New Roman"/>
          <w:sz w:val="24"/>
          <w:szCs w:val="24"/>
        </w:rPr>
        <w:t>*p &lt; 0.05</w:t>
      </w:r>
    </w:p>
    <w:p w14:paraId="2D250F35" w14:textId="77777777" w:rsidR="008132A4" w:rsidRDefault="008132A4" w:rsidP="00B45F59">
      <w:pPr>
        <w:rPr>
          <w:rFonts w:ascii="Times New Roman" w:hAnsi="Times New Roman" w:cs="Times New Roman"/>
          <w:color w:val="000000" w:themeColor="text1"/>
          <w:sz w:val="24"/>
          <w:szCs w:val="24"/>
        </w:rPr>
      </w:pPr>
    </w:p>
    <w:p w14:paraId="15722BAD" w14:textId="77777777" w:rsidR="00B45F59" w:rsidRPr="00A43421" w:rsidRDefault="00B45F59" w:rsidP="00B45F59">
      <w:pPr>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Infant feeding and dietary exclusion</w:t>
      </w:r>
    </w:p>
    <w:p w14:paraId="5802483D" w14:textId="1DA5DD03" w:rsidR="00B45F59" w:rsidRPr="00A43421" w:rsidRDefault="00B45F59" w:rsidP="00B55E7B">
      <w:pPr>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 xml:space="preserve">Detailed infant feeding data has previously been published </w:t>
      </w:r>
      <w:r w:rsidR="0058311D" w:rsidRPr="00A43421">
        <w:rPr>
          <w:rFonts w:ascii="Times New Roman" w:hAnsi="Times New Roman" w:cs="Times New Roman"/>
          <w:color w:val="000000" w:themeColor="text1"/>
          <w:sz w:val="24"/>
          <w:szCs w:val="24"/>
          <w:vertAlign w:val="superscript"/>
        </w:rPr>
        <w:fldChar w:fldCharType="begin" w:fldLock="1"/>
      </w:r>
      <w:r w:rsidR="005D23CA" w:rsidRPr="00A43421">
        <w:rPr>
          <w:rFonts w:ascii="Times New Roman" w:hAnsi="Times New Roman" w:cs="Times New Roman"/>
          <w:color w:val="000000" w:themeColor="text1"/>
          <w:sz w:val="24"/>
          <w:szCs w:val="24"/>
          <w:vertAlign w:val="superscript"/>
        </w:rPr>
        <w:instrText>ADDIN CSL_CITATION { "citationItems" : [ { "id" : "ITEM-1", "itemData" : { "author" : [ { "dropping-particle" : "", "family" : "Maslin", "given" : "Kate", "non-dropping-particle" : "", "parse-names" : false, "suffix" : "" }, { "dropping-particle" : "", "family" : "Jane", "given" : "Grundy", "non-dropping-particle" : "", "parse-names" : false, "suffix" : "" }, { "dropping-particle" : "", "family" : "Glasbey", "given" : "Gillian", "non-dropping-particle" : "", "parse-names" : false, "suffix" : "" }, { "dropping-particle" : "", "family" : "Dean", "given" : "Tara", "non-dropping-particle" : "", "parse-names" : false, "suffix" : "" }, { "dropping-particle" : "", "family" : "Arshad", "given" : "Syed Hasan", "non-dropping-particle" : "", "parse-names" : false, "suffix" : "" }, { "dropping-particle" : "", "family" : "Grimshaw", "given" : "Kate E C", "non-dropping-particle" : "", "parse-names" : false, "suffix" : "" }, { "dropping-particle" : "", "family" : "Oliver", "given" : "Erin M.", "non-dropping-particle" : "", "parse-names" : false, "suffix" : "" }, { "dropping-particle" : "", "family" : "Roberts", "given" : "Graham", "non-dropping-particle" : "", "parse-names" : false, "suffix" : "" }, { "dropping-particle" : "", "family" : "Venter", "given" : "Carina", "non-dropping-particle" : "", "parse-names" : false, "suffix" : "" } ], "container-title" : "Paediatric Allergy and Immunology", "id" : "ITEM-1", "issued" : { "date-parts" : [ [ "2015" ] ] }, "title" : "Cows\u2019 milk exclusion diet during infancy: Is there a long term effect on children's eating behaviour and food preferences?\u201d", "type" : "article-journal", "volume" : "10.1111/pa" }, "uris" : [ "http://www.mendeley.com/documents/?uuid=3a25c13f-f281-4330-9b84-6c1690a3974c" ] } ], "mendeley" : { "formattedCitation" : "(17)", "plainTextFormattedCitation" : "(17)", "previouslyFormattedCitation" : "(17)" }, "properties" : { "noteIndex" : 0 }, "schema" : "https://github.com/citation-style-language/schema/raw/master/csl-citation.json" }</w:instrText>
      </w:r>
      <w:r w:rsidR="0058311D" w:rsidRPr="00A43421">
        <w:rPr>
          <w:rFonts w:ascii="Times New Roman" w:hAnsi="Times New Roman" w:cs="Times New Roman"/>
          <w:color w:val="000000" w:themeColor="text1"/>
          <w:sz w:val="24"/>
          <w:szCs w:val="24"/>
          <w:vertAlign w:val="superscript"/>
        </w:rPr>
        <w:fldChar w:fldCharType="separate"/>
      </w:r>
      <w:r w:rsidR="0082405F" w:rsidRPr="00A43421">
        <w:rPr>
          <w:rFonts w:ascii="Times New Roman" w:hAnsi="Times New Roman" w:cs="Times New Roman"/>
          <w:noProof/>
          <w:color w:val="000000" w:themeColor="text1"/>
          <w:sz w:val="24"/>
          <w:szCs w:val="24"/>
          <w:vertAlign w:val="superscript"/>
        </w:rPr>
        <w:t>(17)</w:t>
      </w:r>
      <w:r w:rsidR="0058311D" w:rsidRPr="00A43421">
        <w:rPr>
          <w:rFonts w:ascii="Times New Roman" w:hAnsi="Times New Roman" w:cs="Times New Roman"/>
          <w:color w:val="000000" w:themeColor="text1"/>
          <w:sz w:val="24"/>
          <w:szCs w:val="24"/>
          <w:vertAlign w:val="superscript"/>
        </w:rPr>
        <w:fldChar w:fldCharType="end"/>
      </w:r>
      <w:r w:rsidR="0058311D" w:rsidRPr="00A43421">
        <w:rPr>
          <w:rFonts w:ascii="Times New Roman" w:hAnsi="Times New Roman" w:cs="Times New Roman"/>
          <w:color w:val="000000" w:themeColor="text1"/>
          <w:sz w:val="24"/>
          <w:szCs w:val="24"/>
        </w:rPr>
        <w:t xml:space="preserve">. In brief, </w:t>
      </w:r>
      <w:r w:rsidR="0074703C" w:rsidRPr="00A43421">
        <w:rPr>
          <w:rFonts w:ascii="Times New Roman" w:hAnsi="Times New Roman" w:cs="Times New Roman"/>
          <w:color w:val="000000" w:themeColor="text1"/>
          <w:sz w:val="24"/>
          <w:szCs w:val="24"/>
        </w:rPr>
        <w:t>s</w:t>
      </w:r>
      <w:r w:rsidRPr="00A43421">
        <w:rPr>
          <w:rFonts w:ascii="Times New Roman" w:hAnsi="Times New Roman" w:cs="Times New Roman"/>
          <w:color w:val="000000" w:themeColor="text1"/>
          <w:sz w:val="24"/>
          <w:szCs w:val="24"/>
        </w:rPr>
        <w:t>ubstitute formula was initiated at a median age of 11.5 weeks (range 2-40)</w:t>
      </w:r>
      <w:r w:rsidR="0074703C" w:rsidRPr="00A43421">
        <w:rPr>
          <w:rFonts w:ascii="Times New Roman" w:hAnsi="Times New Roman" w:cs="Times New Roman"/>
          <w:color w:val="000000" w:themeColor="text1"/>
          <w:sz w:val="24"/>
          <w:szCs w:val="24"/>
        </w:rPr>
        <w:t xml:space="preserve"> in the CME group</w:t>
      </w:r>
      <w:r w:rsidRPr="00A43421">
        <w:rPr>
          <w:rFonts w:ascii="Times New Roman" w:hAnsi="Times New Roman" w:cs="Times New Roman"/>
          <w:color w:val="000000" w:themeColor="text1"/>
          <w:sz w:val="24"/>
          <w:szCs w:val="24"/>
        </w:rPr>
        <w:t>,</w:t>
      </w:r>
      <w:r w:rsidR="0058311D" w:rsidRPr="00A43421">
        <w:rPr>
          <w:rFonts w:ascii="Times New Roman" w:hAnsi="Times New Roman" w:cs="Times New Roman"/>
          <w:color w:val="000000" w:themeColor="text1"/>
          <w:sz w:val="24"/>
          <w:szCs w:val="24"/>
        </w:rPr>
        <w:t xml:space="preserve"> </w:t>
      </w:r>
      <w:r w:rsidRPr="00A43421">
        <w:rPr>
          <w:rFonts w:ascii="Times New Roman" w:hAnsi="Times New Roman" w:cs="Times New Roman"/>
          <w:color w:val="000000" w:themeColor="text1"/>
          <w:sz w:val="24"/>
          <w:szCs w:val="24"/>
        </w:rPr>
        <w:t xml:space="preserve">with a median duration of usage of 67.5 weeks (range 16-205). </w:t>
      </w:r>
      <w:r w:rsidR="0074703C" w:rsidRPr="00A43421">
        <w:rPr>
          <w:rFonts w:ascii="Times New Roman" w:hAnsi="Times New Roman" w:cs="Times New Roman"/>
          <w:color w:val="000000" w:themeColor="text1"/>
          <w:sz w:val="24"/>
          <w:szCs w:val="24"/>
        </w:rPr>
        <w:t>The majority of the CME group were fed soya formula</w:t>
      </w:r>
      <w:r w:rsidR="00044ACE" w:rsidRPr="00A43421">
        <w:rPr>
          <w:rFonts w:ascii="Times New Roman" w:hAnsi="Times New Roman" w:cs="Times New Roman"/>
          <w:color w:val="000000" w:themeColor="text1"/>
          <w:sz w:val="24"/>
          <w:szCs w:val="24"/>
        </w:rPr>
        <w:t xml:space="preserve"> (50%)</w:t>
      </w:r>
      <w:r w:rsidR="0074703C" w:rsidRPr="00A43421">
        <w:rPr>
          <w:rFonts w:ascii="Times New Roman" w:hAnsi="Times New Roman" w:cs="Times New Roman"/>
          <w:color w:val="000000" w:themeColor="text1"/>
          <w:sz w:val="24"/>
          <w:szCs w:val="24"/>
        </w:rPr>
        <w:t xml:space="preserve">, followed by </w:t>
      </w:r>
      <w:r w:rsidR="00044ACE" w:rsidRPr="00A43421">
        <w:rPr>
          <w:rFonts w:ascii="Times New Roman" w:hAnsi="Times New Roman" w:cs="Times New Roman"/>
          <w:color w:val="000000" w:themeColor="text1"/>
          <w:sz w:val="24"/>
          <w:szCs w:val="24"/>
        </w:rPr>
        <w:t xml:space="preserve">extensively hydrolysed casein formula (21.4%), extensively hydrolysed whey formula (17.8%) and </w:t>
      </w:r>
      <w:r w:rsidR="0074703C" w:rsidRPr="00A43421">
        <w:rPr>
          <w:rFonts w:ascii="Times New Roman" w:hAnsi="Times New Roman" w:cs="Times New Roman"/>
          <w:color w:val="000000" w:themeColor="text1"/>
          <w:sz w:val="24"/>
          <w:szCs w:val="24"/>
        </w:rPr>
        <w:t>amino acid formula</w:t>
      </w:r>
      <w:r w:rsidR="00044ACE" w:rsidRPr="00A43421">
        <w:rPr>
          <w:rFonts w:ascii="Times New Roman" w:hAnsi="Times New Roman" w:cs="Times New Roman"/>
          <w:color w:val="000000" w:themeColor="text1"/>
          <w:sz w:val="24"/>
          <w:szCs w:val="24"/>
        </w:rPr>
        <w:t xml:space="preserve"> (10.7%)</w:t>
      </w:r>
      <w:r w:rsidR="0074703C" w:rsidRPr="00A43421">
        <w:rPr>
          <w:rFonts w:ascii="Times New Roman" w:hAnsi="Times New Roman" w:cs="Times New Roman"/>
          <w:color w:val="000000" w:themeColor="text1"/>
          <w:sz w:val="24"/>
          <w:szCs w:val="24"/>
        </w:rPr>
        <w:t xml:space="preserve">. </w:t>
      </w:r>
      <w:r w:rsidR="0058311D" w:rsidRPr="00A43421">
        <w:rPr>
          <w:rFonts w:ascii="Times New Roman" w:hAnsi="Times New Roman" w:cs="Times New Roman"/>
          <w:color w:val="000000" w:themeColor="text1"/>
          <w:sz w:val="24"/>
          <w:szCs w:val="24"/>
        </w:rPr>
        <w:t xml:space="preserve">Within the CME group, </w:t>
      </w:r>
      <w:r w:rsidR="0074703C" w:rsidRPr="00A43421">
        <w:rPr>
          <w:rFonts w:ascii="Times New Roman" w:hAnsi="Times New Roman" w:cs="Times New Roman"/>
          <w:color w:val="000000" w:themeColor="text1"/>
          <w:sz w:val="24"/>
          <w:szCs w:val="24"/>
        </w:rPr>
        <w:t>50%</w:t>
      </w:r>
      <w:r w:rsidR="0058311D" w:rsidRPr="00A43421">
        <w:rPr>
          <w:rFonts w:ascii="Times New Roman" w:hAnsi="Times New Roman" w:cs="Times New Roman"/>
          <w:color w:val="000000" w:themeColor="text1"/>
          <w:sz w:val="24"/>
          <w:szCs w:val="24"/>
        </w:rPr>
        <w:t xml:space="preserve"> </w:t>
      </w:r>
      <w:r w:rsidR="00044ACE" w:rsidRPr="00A43421">
        <w:rPr>
          <w:rFonts w:ascii="Times New Roman" w:hAnsi="Times New Roman" w:cs="Times New Roman"/>
          <w:color w:val="000000" w:themeColor="text1"/>
          <w:sz w:val="24"/>
          <w:szCs w:val="24"/>
        </w:rPr>
        <w:t>excluded</w:t>
      </w:r>
      <w:r w:rsidR="009E743B" w:rsidRPr="00A43421">
        <w:rPr>
          <w:rFonts w:ascii="Times New Roman" w:hAnsi="Times New Roman" w:cs="Times New Roman"/>
          <w:color w:val="000000" w:themeColor="text1"/>
          <w:sz w:val="24"/>
          <w:szCs w:val="24"/>
        </w:rPr>
        <w:t xml:space="preserve"> only</w:t>
      </w:r>
      <w:r w:rsidR="00044ACE" w:rsidRPr="00A43421">
        <w:rPr>
          <w:rFonts w:ascii="Times New Roman" w:hAnsi="Times New Roman" w:cs="Times New Roman"/>
          <w:color w:val="000000" w:themeColor="text1"/>
          <w:sz w:val="24"/>
          <w:szCs w:val="24"/>
        </w:rPr>
        <w:t xml:space="preserve"> cows’ milk</w:t>
      </w:r>
      <w:r w:rsidR="0074703C" w:rsidRPr="00A43421">
        <w:rPr>
          <w:rFonts w:ascii="Times New Roman" w:hAnsi="Times New Roman" w:cs="Times New Roman"/>
          <w:color w:val="000000" w:themeColor="text1"/>
          <w:sz w:val="24"/>
          <w:szCs w:val="24"/>
        </w:rPr>
        <w:t xml:space="preserve"> </w:t>
      </w:r>
      <w:r w:rsidR="00044ACE" w:rsidRPr="00A43421">
        <w:rPr>
          <w:rFonts w:ascii="Times New Roman" w:hAnsi="Times New Roman" w:cs="Times New Roman"/>
          <w:color w:val="000000" w:themeColor="text1"/>
          <w:sz w:val="24"/>
          <w:szCs w:val="24"/>
        </w:rPr>
        <w:t>during infancy,</w:t>
      </w:r>
      <w:r w:rsidR="009E743B" w:rsidRPr="00A43421">
        <w:rPr>
          <w:rFonts w:ascii="Times New Roman" w:hAnsi="Times New Roman" w:cs="Times New Roman"/>
          <w:color w:val="000000" w:themeColor="text1"/>
          <w:sz w:val="24"/>
          <w:szCs w:val="24"/>
        </w:rPr>
        <w:t xml:space="preserve"> </w:t>
      </w:r>
      <w:r w:rsidR="0074703C" w:rsidRPr="00A43421">
        <w:rPr>
          <w:rFonts w:ascii="Times New Roman" w:hAnsi="Times New Roman" w:cs="Times New Roman"/>
          <w:color w:val="000000" w:themeColor="text1"/>
          <w:sz w:val="24"/>
          <w:szCs w:val="24"/>
        </w:rPr>
        <w:t>39.3%</w:t>
      </w:r>
      <w:r w:rsidR="0058311D" w:rsidRPr="00A43421">
        <w:rPr>
          <w:rFonts w:ascii="Times New Roman" w:hAnsi="Times New Roman" w:cs="Times New Roman"/>
          <w:color w:val="000000" w:themeColor="text1"/>
          <w:sz w:val="24"/>
          <w:szCs w:val="24"/>
        </w:rPr>
        <w:t xml:space="preserve"> </w:t>
      </w:r>
      <w:r w:rsidR="00044ACE" w:rsidRPr="00A43421">
        <w:rPr>
          <w:rFonts w:ascii="Times New Roman" w:hAnsi="Times New Roman" w:cs="Times New Roman"/>
          <w:color w:val="000000" w:themeColor="text1"/>
          <w:sz w:val="24"/>
          <w:szCs w:val="24"/>
        </w:rPr>
        <w:t xml:space="preserve">excluded two foods during infancy and 10.7% excluded </w:t>
      </w:r>
      <w:r w:rsidR="009E743B" w:rsidRPr="00A43421">
        <w:rPr>
          <w:rFonts w:ascii="Times New Roman" w:hAnsi="Times New Roman" w:cs="Times New Roman"/>
          <w:color w:val="000000" w:themeColor="text1"/>
          <w:sz w:val="24"/>
          <w:szCs w:val="24"/>
        </w:rPr>
        <w:t>three foods during infancy. A</w:t>
      </w:r>
      <w:r w:rsidR="00833279" w:rsidRPr="00A43421">
        <w:rPr>
          <w:rFonts w:ascii="Times New Roman" w:hAnsi="Times New Roman" w:cs="Times New Roman"/>
          <w:color w:val="000000" w:themeColor="text1"/>
          <w:sz w:val="24"/>
          <w:szCs w:val="24"/>
        </w:rPr>
        <w:t>ll</w:t>
      </w:r>
      <w:r w:rsidR="009E743B" w:rsidRPr="00A43421">
        <w:rPr>
          <w:rFonts w:ascii="Times New Roman" w:hAnsi="Times New Roman" w:cs="Times New Roman"/>
          <w:color w:val="000000" w:themeColor="text1"/>
          <w:sz w:val="24"/>
          <w:szCs w:val="24"/>
        </w:rPr>
        <w:t xml:space="preserve"> participants were consuming unrestricted diets at the time of the study.</w:t>
      </w:r>
    </w:p>
    <w:p w14:paraId="6A9A356F" w14:textId="77777777" w:rsidR="00B45C79" w:rsidRPr="00A43421" w:rsidRDefault="00B45C79" w:rsidP="00FD6C09">
      <w:pPr>
        <w:pStyle w:val="Heading4"/>
        <w:spacing w:line="360" w:lineRule="auto"/>
        <w:rPr>
          <w:rFonts w:ascii="Times New Roman" w:hAnsi="Times New Roman"/>
          <w:color w:val="000000" w:themeColor="text1"/>
          <w:sz w:val="24"/>
          <w:szCs w:val="24"/>
        </w:rPr>
      </w:pPr>
      <w:bookmarkStart w:id="12" w:name="_Toc437506217"/>
      <w:r w:rsidRPr="00A43421">
        <w:rPr>
          <w:rFonts w:ascii="Times New Roman" w:hAnsi="Times New Roman"/>
          <w:color w:val="000000" w:themeColor="text1"/>
          <w:sz w:val="24"/>
          <w:szCs w:val="24"/>
        </w:rPr>
        <w:t>Taste preference</w:t>
      </w:r>
      <w:bookmarkEnd w:id="12"/>
      <w:r w:rsidRPr="00A43421">
        <w:rPr>
          <w:rFonts w:ascii="Times New Roman" w:hAnsi="Times New Roman"/>
          <w:color w:val="000000" w:themeColor="text1"/>
          <w:sz w:val="24"/>
          <w:szCs w:val="24"/>
        </w:rPr>
        <w:t xml:space="preserve"> </w:t>
      </w:r>
    </w:p>
    <w:p w14:paraId="3271F2AD" w14:textId="1FD64676" w:rsidR="00244B00" w:rsidRPr="00A43421" w:rsidRDefault="00B45C79" w:rsidP="00FD6C09">
      <w:pPr>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 xml:space="preserve">Results of </w:t>
      </w:r>
      <w:r w:rsidR="00185688" w:rsidRPr="00A43421">
        <w:rPr>
          <w:rFonts w:ascii="Times New Roman" w:hAnsi="Times New Roman" w:cs="Times New Roman"/>
          <w:color w:val="000000" w:themeColor="text1"/>
          <w:sz w:val="24"/>
          <w:szCs w:val="24"/>
        </w:rPr>
        <w:t xml:space="preserve">the </w:t>
      </w:r>
      <w:r w:rsidRPr="00A43421">
        <w:rPr>
          <w:rFonts w:ascii="Times New Roman" w:hAnsi="Times New Roman" w:cs="Times New Roman"/>
          <w:color w:val="000000" w:themeColor="text1"/>
          <w:sz w:val="24"/>
          <w:szCs w:val="24"/>
        </w:rPr>
        <w:t>tast</w:t>
      </w:r>
      <w:r w:rsidR="00530EA7" w:rsidRPr="00A43421">
        <w:rPr>
          <w:rFonts w:ascii="Times New Roman" w:hAnsi="Times New Roman" w:cs="Times New Roman"/>
          <w:color w:val="000000" w:themeColor="text1"/>
          <w:sz w:val="24"/>
          <w:szCs w:val="24"/>
        </w:rPr>
        <w:t xml:space="preserve">e preference test are shown in </w:t>
      </w:r>
      <w:r w:rsidR="00B55E7B" w:rsidRPr="00A43421">
        <w:rPr>
          <w:rFonts w:ascii="Times New Roman" w:hAnsi="Times New Roman" w:cs="Times New Roman"/>
          <w:color w:val="000000" w:themeColor="text1"/>
          <w:sz w:val="24"/>
          <w:szCs w:val="24"/>
        </w:rPr>
        <w:t>figure 2</w:t>
      </w:r>
      <w:r w:rsidR="004A24F4" w:rsidRPr="00A43421">
        <w:rPr>
          <w:rFonts w:ascii="Times New Roman" w:hAnsi="Times New Roman" w:cs="Times New Roman"/>
          <w:color w:val="000000" w:themeColor="text1"/>
          <w:sz w:val="24"/>
          <w:szCs w:val="24"/>
        </w:rPr>
        <w:t xml:space="preserve">. The most preferred </w:t>
      </w:r>
      <w:r w:rsidR="001B605B" w:rsidRPr="00A43421">
        <w:rPr>
          <w:rFonts w:ascii="Times New Roman" w:hAnsi="Times New Roman" w:cs="Times New Roman"/>
          <w:color w:val="000000" w:themeColor="text1"/>
          <w:sz w:val="24"/>
          <w:szCs w:val="24"/>
        </w:rPr>
        <w:t>taste</w:t>
      </w:r>
      <w:r w:rsidR="004A24F4" w:rsidRPr="00A43421">
        <w:rPr>
          <w:rFonts w:ascii="Times New Roman" w:hAnsi="Times New Roman" w:cs="Times New Roman"/>
          <w:color w:val="000000" w:themeColor="text1"/>
          <w:sz w:val="24"/>
          <w:szCs w:val="24"/>
        </w:rPr>
        <w:t xml:space="preserve"> overall was </w:t>
      </w:r>
      <w:r w:rsidR="001B605B" w:rsidRPr="00A43421">
        <w:rPr>
          <w:rFonts w:ascii="Times New Roman" w:hAnsi="Times New Roman" w:cs="Times New Roman"/>
          <w:color w:val="000000" w:themeColor="text1"/>
          <w:sz w:val="24"/>
          <w:szCs w:val="24"/>
        </w:rPr>
        <w:t xml:space="preserve">plain </w:t>
      </w:r>
      <w:r w:rsidR="004A24F4" w:rsidRPr="00A43421">
        <w:rPr>
          <w:rFonts w:ascii="Times New Roman" w:hAnsi="Times New Roman" w:cs="Times New Roman"/>
          <w:color w:val="000000" w:themeColor="text1"/>
          <w:sz w:val="24"/>
          <w:szCs w:val="24"/>
        </w:rPr>
        <w:t>water, followed by sweet. Boys rated sweet</w:t>
      </w:r>
      <w:r w:rsidR="00530EA7" w:rsidRPr="00A43421">
        <w:rPr>
          <w:rFonts w:ascii="Times New Roman" w:hAnsi="Times New Roman" w:cs="Times New Roman"/>
          <w:color w:val="000000" w:themeColor="text1"/>
          <w:sz w:val="24"/>
          <w:szCs w:val="24"/>
        </w:rPr>
        <w:t>,</w:t>
      </w:r>
      <w:r w:rsidR="004A24F4" w:rsidRPr="00A43421">
        <w:rPr>
          <w:rFonts w:ascii="Times New Roman" w:hAnsi="Times New Roman" w:cs="Times New Roman"/>
          <w:color w:val="000000" w:themeColor="text1"/>
          <w:sz w:val="24"/>
          <w:szCs w:val="24"/>
        </w:rPr>
        <w:t xml:space="preserve"> umami and salty tastes significantly worse than girls</w:t>
      </w:r>
      <w:r w:rsidR="00530EA7" w:rsidRPr="00A43421">
        <w:rPr>
          <w:rFonts w:ascii="Times New Roman" w:hAnsi="Times New Roman" w:cs="Times New Roman"/>
          <w:color w:val="000000" w:themeColor="text1"/>
          <w:sz w:val="24"/>
          <w:szCs w:val="24"/>
        </w:rPr>
        <w:t xml:space="preserve"> (p &lt; 0.05)</w:t>
      </w:r>
      <w:r w:rsidR="00B55E7B" w:rsidRPr="00A43421">
        <w:rPr>
          <w:rFonts w:ascii="Times New Roman" w:hAnsi="Times New Roman" w:cs="Times New Roman"/>
          <w:color w:val="000000" w:themeColor="text1"/>
          <w:sz w:val="24"/>
          <w:szCs w:val="24"/>
        </w:rPr>
        <w:t>. The CME group rated bitter taste significantly better than the control group (p</w:t>
      </w:r>
      <w:r w:rsidR="00FA2BBA" w:rsidRPr="00A43421">
        <w:rPr>
          <w:rFonts w:ascii="Times New Roman" w:hAnsi="Times New Roman" w:cs="Times New Roman"/>
          <w:color w:val="000000" w:themeColor="text1"/>
          <w:sz w:val="24"/>
          <w:szCs w:val="24"/>
        </w:rPr>
        <w:t xml:space="preserve"> &lt; 0.05</w:t>
      </w:r>
      <w:r w:rsidR="00B55E7B" w:rsidRPr="00A43421">
        <w:rPr>
          <w:rFonts w:ascii="Times New Roman" w:hAnsi="Times New Roman" w:cs="Times New Roman"/>
          <w:color w:val="000000" w:themeColor="text1"/>
          <w:sz w:val="24"/>
          <w:szCs w:val="24"/>
        </w:rPr>
        <w:t xml:space="preserve">), but there was no difference between groups for other tastes. </w:t>
      </w:r>
      <w:r w:rsidR="0074703C" w:rsidRPr="00A43421">
        <w:rPr>
          <w:rFonts w:ascii="Times New Roman" w:hAnsi="Times New Roman" w:cs="Times New Roman"/>
          <w:color w:val="000000" w:themeColor="text1"/>
          <w:sz w:val="24"/>
          <w:szCs w:val="24"/>
        </w:rPr>
        <w:t>Within the CME group, bitter taste preference was not significantly correlated with age of introduction of substitute formula, duration of substitute formula usage, age of introduction of solids, duration of breastfeeding or number of foods excluded. Bitter taste preference did not differ per type of substitute formula used</w:t>
      </w:r>
      <w:r w:rsidR="009E743B" w:rsidRPr="00A43421">
        <w:rPr>
          <w:rFonts w:ascii="Times New Roman" w:hAnsi="Times New Roman" w:cs="Times New Roman"/>
          <w:color w:val="000000" w:themeColor="text1"/>
          <w:sz w:val="24"/>
          <w:szCs w:val="24"/>
        </w:rPr>
        <w:t xml:space="preserve">. </w:t>
      </w:r>
      <w:r w:rsidR="00B55E7B" w:rsidRPr="00A43421">
        <w:rPr>
          <w:rFonts w:ascii="Times New Roman" w:hAnsi="Times New Roman" w:cs="Times New Roman"/>
          <w:color w:val="000000" w:themeColor="text1"/>
          <w:sz w:val="24"/>
          <w:szCs w:val="24"/>
        </w:rPr>
        <w:t xml:space="preserve">There was no association found between taste preference and any growth measurement. </w:t>
      </w:r>
    </w:p>
    <w:p w14:paraId="403CA20C" w14:textId="77777777" w:rsidR="008132A4" w:rsidRDefault="008132A4" w:rsidP="00B83B81">
      <w:pPr>
        <w:pStyle w:val="Heading4"/>
        <w:spacing w:line="360" w:lineRule="auto"/>
        <w:rPr>
          <w:rFonts w:ascii="Times New Roman" w:hAnsi="Times New Roman"/>
          <w:color w:val="000000" w:themeColor="text1"/>
          <w:sz w:val="24"/>
          <w:szCs w:val="24"/>
        </w:rPr>
      </w:pPr>
      <w:bookmarkStart w:id="13" w:name="_Toc437506218"/>
      <w:r>
        <w:rPr>
          <w:noProof/>
          <w:lang w:eastAsia="zh-CN"/>
        </w:rPr>
        <w:drawing>
          <wp:inline distT="0" distB="0" distL="0" distR="0" wp14:anchorId="21B24137" wp14:editId="4E7C9AAB">
            <wp:extent cx="5429250" cy="3824288"/>
            <wp:effectExtent l="0" t="0" r="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084D3B" w14:textId="77777777" w:rsidR="008132A4" w:rsidRPr="00083A30" w:rsidRDefault="008132A4" w:rsidP="008132A4">
      <w:pPr>
        <w:spacing w:line="360" w:lineRule="auto"/>
        <w:jc w:val="both"/>
        <w:rPr>
          <w:rFonts w:ascii="Times New Roman" w:hAnsi="Times New Roman" w:cs="Times New Roman"/>
          <w:color w:val="000000"/>
          <w:sz w:val="24"/>
          <w:szCs w:val="24"/>
        </w:rPr>
      </w:pPr>
      <w:r w:rsidRPr="00083A30">
        <w:rPr>
          <w:rFonts w:ascii="Times New Roman" w:hAnsi="Times New Roman" w:cs="Times New Roman"/>
          <w:color w:val="000000"/>
          <w:sz w:val="24"/>
          <w:szCs w:val="24"/>
        </w:rPr>
        <w:t>Figure 2. Taste preference results. *significant difference between groups &lt; 0.05. Higher scores indicate a better perceived taste and vice versa.</w:t>
      </w:r>
    </w:p>
    <w:p w14:paraId="5848B979" w14:textId="71217C39" w:rsidR="004A24F4" w:rsidRPr="00A43421" w:rsidRDefault="00B45C79" w:rsidP="00B83B81">
      <w:pPr>
        <w:pStyle w:val="Heading4"/>
        <w:spacing w:line="360" w:lineRule="auto"/>
        <w:rPr>
          <w:rFonts w:ascii="Times New Roman" w:hAnsi="Times New Roman"/>
          <w:color w:val="000000" w:themeColor="text1"/>
          <w:sz w:val="24"/>
          <w:szCs w:val="24"/>
        </w:rPr>
      </w:pPr>
      <w:r w:rsidRPr="00A43421">
        <w:rPr>
          <w:rFonts w:ascii="Times New Roman" w:hAnsi="Times New Roman"/>
          <w:color w:val="000000" w:themeColor="text1"/>
          <w:sz w:val="24"/>
          <w:szCs w:val="24"/>
        </w:rPr>
        <w:t>Nutritional Intake</w:t>
      </w:r>
      <w:bookmarkEnd w:id="13"/>
    </w:p>
    <w:p w14:paraId="790031D8" w14:textId="27AECB32" w:rsidR="00B45C79" w:rsidRPr="00A43421" w:rsidRDefault="00B45C79" w:rsidP="00B83B81">
      <w:pPr>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 xml:space="preserve">Food diaries were returned for 64 participants (63.3%); 17 from the CME group (60.7%) and 47 (74.6%). from the control group. There was no difference between those who did and did not return the diary for age, gender, parental education, maternal age, food exclusion history, </w:t>
      </w:r>
      <w:r w:rsidR="0074703C" w:rsidRPr="00A43421">
        <w:rPr>
          <w:rFonts w:ascii="Times New Roman" w:hAnsi="Times New Roman" w:cs="Times New Roman"/>
          <w:color w:val="000000" w:themeColor="text1"/>
          <w:sz w:val="24"/>
          <w:szCs w:val="24"/>
        </w:rPr>
        <w:t>family history of food allergy</w:t>
      </w:r>
      <w:r w:rsidR="004A24F4" w:rsidRPr="00A43421">
        <w:rPr>
          <w:rFonts w:ascii="Times New Roman" w:hAnsi="Times New Roman" w:cs="Times New Roman"/>
          <w:color w:val="000000" w:themeColor="text1"/>
          <w:sz w:val="24"/>
          <w:szCs w:val="24"/>
        </w:rPr>
        <w:t>, growth or food neophobia</w:t>
      </w:r>
      <w:r w:rsidR="0074703C" w:rsidRPr="00A43421">
        <w:rPr>
          <w:rFonts w:ascii="Times New Roman" w:hAnsi="Times New Roman" w:cs="Times New Roman"/>
          <w:color w:val="000000" w:themeColor="text1"/>
          <w:sz w:val="24"/>
          <w:szCs w:val="24"/>
        </w:rPr>
        <w:t xml:space="preserve">. </w:t>
      </w:r>
      <w:r w:rsidRPr="00A43421">
        <w:rPr>
          <w:rFonts w:ascii="Times New Roman" w:hAnsi="Times New Roman" w:cs="Times New Roman"/>
          <w:color w:val="000000" w:themeColor="text1"/>
          <w:sz w:val="24"/>
          <w:szCs w:val="24"/>
        </w:rPr>
        <w:t>A summary of nu</w:t>
      </w:r>
      <w:r w:rsidR="00530EA7" w:rsidRPr="00A43421">
        <w:rPr>
          <w:rFonts w:ascii="Times New Roman" w:hAnsi="Times New Roman" w:cs="Times New Roman"/>
          <w:color w:val="000000" w:themeColor="text1"/>
          <w:sz w:val="24"/>
          <w:szCs w:val="24"/>
        </w:rPr>
        <w:t xml:space="preserve">tritional </w:t>
      </w:r>
      <w:r w:rsidR="001B605B" w:rsidRPr="00A43421">
        <w:rPr>
          <w:rFonts w:ascii="Times New Roman" w:hAnsi="Times New Roman" w:cs="Times New Roman"/>
          <w:color w:val="000000" w:themeColor="text1"/>
          <w:sz w:val="24"/>
          <w:szCs w:val="24"/>
        </w:rPr>
        <w:t>intake</w:t>
      </w:r>
      <w:r w:rsidR="00530EA7" w:rsidRPr="00A43421">
        <w:rPr>
          <w:rFonts w:ascii="Times New Roman" w:hAnsi="Times New Roman" w:cs="Times New Roman"/>
          <w:color w:val="000000" w:themeColor="text1"/>
          <w:sz w:val="24"/>
          <w:szCs w:val="24"/>
        </w:rPr>
        <w:t xml:space="preserve"> is shown in t</w:t>
      </w:r>
      <w:r w:rsidRPr="00A43421">
        <w:rPr>
          <w:rFonts w:ascii="Times New Roman" w:hAnsi="Times New Roman" w:cs="Times New Roman"/>
          <w:color w:val="000000" w:themeColor="text1"/>
          <w:sz w:val="24"/>
          <w:szCs w:val="24"/>
        </w:rPr>
        <w:t>able</w:t>
      </w:r>
      <w:r w:rsidR="00304988" w:rsidRPr="00A43421">
        <w:rPr>
          <w:rFonts w:ascii="Times New Roman" w:hAnsi="Times New Roman" w:cs="Times New Roman"/>
          <w:color w:val="000000" w:themeColor="text1"/>
          <w:sz w:val="24"/>
          <w:szCs w:val="24"/>
        </w:rPr>
        <w:t xml:space="preserve"> 2</w:t>
      </w:r>
      <w:r w:rsidR="00530EA7" w:rsidRPr="00A43421">
        <w:rPr>
          <w:rFonts w:ascii="Times New Roman" w:hAnsi="Times New Roman" w:cs="Times New Roman"/>
          <w:color w:val="000000" w:themeColor="text1"/>
          <w:sz w:val="24"/>
          <w:szCs w:val="24"/>
        </w:rPr>
        <w:t xml:space="preserve">. Using </w:t>
      </w:r>
      <w:r w:rsidRPr="00A43421">
        <w:rPr>
          <w:rFonts w:ascii="Times New Roman" w:hAnsi="Times New Roman" w:cs="Times New Roman"/>
          <w:color w:val="000000" w:themeColor="text1"/>
          <w:sz w:val="24"/>
          <w:szCs w:val="24"/>
        </w:rPr>
        <w:t xml:space="preserve">the 7-10 year old age bracket as a guide, overall participants met the Estimated Average Requirement (EAR) for all nutrients. </w:t>
      </w:r>
      <w:r w:rsidR="0008048D" w:rsidRPr="00A43421">
        <w:rPr>
          <w:rFonts w:ascii="Times New Roman" w:hAnsi="Times New Roman" w:cs="Times New Roman"/>
          <w:color w:val="000000" w:themeColor="text1"/>
          <w:sz w:val="24"/>
          <w:szCs w:val="24"/>
        </w:rPr>
        <w:t xml:space="preserve">Looking at energy intake, there was no significant difference in % EAR </w:t>
      </w:r>
      <w:r w:rsidR="0071438A" w:rsidRPr="00A43421">
        <w:rPr>
          <w:rFonts w:ascii="Times New Roman" w:hAnsi="Times New Roman" w:cs="Times New Roman"/>
          <w:color w:val="000000" w:themeColor="text1"/>
          <w:sz w:val="24"/>
          <w:szCs w:val="24"/>
        </w:rPr>
        <w:t>consumed</w:t>
      </w:r>
      <w:r w:rsidR="0008048D" w:rsidRPr="00A43421">
        <w:rPr>
          <w:rFonts w:ascii="Times New Roman" w:hAnsi="Times New Roman" w:cs="Times New Roman"/>
          <w:color w:val="000000" w:themeColor="text1"/>
          <w:sz w:val="24"/>
          <w:szCs w:val="24"/>
        </w:rPr>
        <w:t xml:space="preserve"> between groups. However, when examining proportions of participants meeting the DRV for energy, 41% of participants in the CME group (n =7) consumed &gt;100% of the EAR, compared to 14.9% of participants in the control group (n =7) (p = 0.032). </w:t>
      </w:r>
      <w:r w:rsidRPr="00A43421">
        <w:rPr>
          <w:rFonts w:ascii="Times New Roman" w:hAnsi="Times New Roman" w:cs="Times New Roman"/>
          <w:color w:val="000000" w:themeColor="text1"/>
          <w:sz w:val="24"/>
          <w:szCs w:val="24"/>
        </w:rPr>
        <w:t xml:space="preserve">Intakes of some minerals appeared suboptimal (iron 72% of RNI, zinc and magnesium both 74% of RNI), however they were above the EAR. Boys had significantly higher intakes than girls for protein, sodium, iron, zinc, magnesium, iodine and phosphate (p &lt; 0.05 for all). </w:t>
      </w:r>
    </w:p>
    <w:p w14:paraId="178511F9" w14:textId="25DDFED1" w:rsidR="00B45C79" w:rsidRPr="00A43421" w:rsidRDefault="00B45C79" w:rsidP="00B45C79">
      <w:pPr>
        <w:spacing w:line="360" w:lineRule="auto"/>
        <w:ind w:firstLine="720"/>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Looking at dietary exclusion groups separately, the CME group’s intake of zinc and</w:t>
      </w:r>
      <w:r w:rsidR="00BE67B4" w:rsidRPr="00A43421">
        <w:rPr>
          <w:rFonts w:ascii="Times New Roman" w:hAnsi="Times New Roman" w:cs="Times New Roman"/>
          <w:color w:val="000000" w:themeColor="text1"/>
          <w:sz w:val="24"/>
          <w:szCs w:val="24"/>
        </w:rPr>
        <w:t xml:space="preserve"> iodine</w:t>
      </w:r>
      <w:r w:rsidRPr="00A43421">
        <w:rPr>
          <w:rFonts w:ascii="Times New Roman" w:hAnsi="Times New Roman" w:cs="Times New Roman"/>
          <w:color w:val="000000" w:themeColor="text1"/>
          <w:sz w:val="24"/>
          <w:szCs w:val="24"/>
        </w:rPr>
        <w:t xml:space="preserve"> was below the EAR, but above the Lower Reference Nutrient Intake</w:t>
      </w:r>
      <w:r w:rsidR="00B45F59" w:rsidRPr="00A43421">
        <w:rPr>
          <w:rFonts w:ascii="Times New Roman" w:hAnsi="Times New Roman" w:cs="Times New Roman"/>
          <w:color w:val="000000" w:themeColor="text1"/>
          <w:sz w:val="24"/>
          <w:szCs w:val="24"/>
        </w:rPr>
        <w:t>s (LRNI)</w:t>
      </w:r>
      <w:r w:rsidRPr="00A43421">
        <w:rPr>
          <w:rFonts w:ascii="Times New Roman" w:hAnsi="Times New Roman" w:cs="Times New Roman"/>
          <w:color w:val="000000" w:themeColor="text1"/>
          <w:sz w:val="24"/>
          <w:szCs w:val="24"/>
        </w:rPr>
        <w:t xml:space="preserve">. The control group met the EAR for all nutrients. Both groups had remarkably similar intakes of energy, protein, fat, saturated fat and vitamin D. The control group had </w:t>
      </w:r>
      <w:r w:rsidR="00ED12AB" w:rsidRPr="00A43421">
        <w:rPr>
          <w:rFonts w:ascii="Times New Roman" w:hAnsi="Times New Roman" w:cs="Times New Roman"/>
          <w:color w:val="000000" w:themeColor="text1"/>
          <w:sz w:val="24"/>
          <w:szCs w:val="24"/>
        </w:rPr>
        <w:t xml:space="preserve">significantly </w:t>
      </w:r>
      <w:r w:rsidRPr="00A43421">
        <w:rPr>
          <w:rFonts w:ascii="Times New Roman" w:hAnsi="Times New Roman" w:cs="Times New Roman"/>
          <w:color w:val="000000" w:themeColor="text1"/>
          <w:sz w:val="24"/>
          <w:szCs w:val="24"/>
        </w:rPr>
        <w:t>higher intakes of iodine (p</w:t>
      </w:r>
      <w:r w:rsidR="00842D3F" w:rsidRPr="00A43421">
        <w:rPr>
          <w:rFonts w:ascii="Times New Roman" w:hAnsi="Times New Roman" w:cs="Times New Roman"/>
          <w:color w:val="000000" w:themeColor="text1"/>
          <w:sz w:val="24"/>
          <w:szCs w:val="24"/>
        </w:rPr>
        <w:t xml:space="preserve"> </w:t>
      </w:r>
      <w:r w:rsidRPr="00A43421">
        <w:rPr>
          <w:rFonts w:ascii="Times New Roman" w:hAnsi="Times New Roman" w:cs="Times New Roman"/>
          <w:color w:val="000000" w:themeColor="text1"/>
          <w:sz w:val="24"/>
          <w:szCs w:val="24"/>
        </w:rPr>
        <w:t xml:space="preserve">&lt; 0.01) and riboflavin (p </w:t>
      </w:r>
      <w:r w:rsidR="00B45F59" w:rsidRPr="00A43421">
        <w:rPr>
          <w:rFonts w:ascii="Times New Roman" w:hAnsi="Times New Roman" w:cs="Times New Roman"/>
          <w:color w:val="000000" w:themeColor="text1"/>
          <w:sz w:val="24"/>
          <w:szCs w:val="24"/>
        </w:rPr>
        <w:t>&lt; 0.05</w:t>
      </w:r>
      <w:r w:rsidRPr="00A43421">
        <w:rPr>
          <w:rFonts w:ascii="Times New Roman" w:hAnsi="Times New Roman" w:cs="Times New Roman"/>
          <w:color w:val="000000" w:themeColor="text1"/>
          <w:sz w:val="24"/>
          <w:szCs w:val="24"/>
        </w:rPr>
        <w:t>). The CME group</w:t>
      </w:r>
      <w:r w:rsidRPr="00A43421">
        <w:rPr>
          <w:rFonts w:ascii="Arial" w:hAnsi="Arial" w:cs="Arial"/>
          <w:color w:val="000000" w:themeColor="text1"/>
        </w:rPr>
        <w:t xml:space="preserve"> </w:t>
      </w:r>
      <w:r w:rsidRPr="00A43421">
        <w:rPr>
          <w:rFonts w:ascii="Times New Roman" w:hAnsi="Times New Roman" w:cs="Times New Roman"/>
          <w:color w:val="000000" w:themeColor="text1"/>
          <w:sz w:val="24"/>
          <w:szCs w:val="24"/>
        </w:rPr>
        <w:t xml:space="preserve">had </w:t>
      </w:r>
      <w:r w:rsidR="00ED12AB" w:rsidRPr="00A43421">
        <w:rPr>
          <w:rFonts w:ascii="Times New Roman" w:hAnsi="Times New Roman" w:cs="Times New Roman"/>
          <w:color w:val="000000" w:themeColor="text1"/>
          <w:sz w:val="24"/>
          <w:szCs w:val="24"/>
        </w:rPr>
        <w:t>significantly higher intakes of</w:t>
      </w:r>
      <w:r w:rsidRPr="00A43421">
        <w:rPr>
          <w:rFonts w:ascii="Times New Roman" w:hAnsi="Times New Roman" w:cs="Times New Roman"/>
          <w:color w:val="000000" w:themeColor="text1"/>
          <w:sz w:val="24"/>
          <w:szCs w:val="24"/>
        </w:rPr>
        <w:t xml:space="preserve"> sodium (p </w:t>
      </w:r>
      <w:r w:rsidR="00B45F59" w:rsidRPr="00A43421">
        <w:rPr>
          <w:rFonts w:ascii="Times New Roman" w:hAnsi="Times New Roman" w:cs="Times New Roman"/>
          <w:color w:val="000000" w:themeColor="text1"/>
          <w:sz w:val="24"/>
          <w:szCs w:val="24"/>
        </w:rPr>
        <w:t>&lt; 0.05</w:t>
      </w:r>
      <w:r w:rsidRPr="00A43421">
        <w:rPr>
          <w:rFonts w:ascii="Times New Roman" w:hAnsi="Times New Roman" w:cs="Times New Roman"/>
          <w:color w:val="000000" w:themeColor="text1"/>
          <w:sz w:val="24"/>
          <w:szCs w:val="24"/>
        </w:rPr>
        <w:t xml:space="preserve">) and selenium (p </w:t>
      </w:r>
      <w:r w:rsidR="00B45F59" w:rsidRPr="00A43421">
        <w:rPr>
          <w:rFonts w:ascii="Times New Roman" w:hAnsi="Times New Roman" w:cs="Times New Roman"/>
          <w:color w:val="000000" w:themeColor="text1"/>
          <w:sz w:val="24"/>
          <w:szCs w:val="24"/>
        </w:rPr>
        <w:t>&lt; 0.05</w:t>
      </w:r>
      <w:r w:rsidRPr="00A43421">
        <w:rPr>
          <w:rFonts w:ascii="Times New Roman" w:hAnsi="Times New Roman" w:cs="Times New Roman"/>
          <w:color w:val="000000" w:themeColor="text1"/>
          <w:sz w:val="24"/>
          <w:szCs w:val="24"/>
        </w:rPr>
        <w:t>).</w:t>
      </w:r>
    </w:p>
    <w:p w14:paraId="717FA6B4" w14:textId="77777777" w:rsidR="008132A4" w:rsidRDefault="001B605B" w:rsidP="008132A4">
      <w:pPr>
        <w:spacing w:line="360" w:lineRule="auto"/>
        <w:ind w:firstLine="720"/>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 xml:space="preserve">As the intake of some nutrients was found to be significantly different between boys and girls, a two way between groups ANOVA was conducted to compare sodium and iodine intakes between groups, controlling for gender. After adjusting for the gender, a significant difference between groups persisted for iodine intake (p &lt; 0.01). Gender was not found to be significantly related </w:t>
      </w:r>
      <w:r w:rsidR="00833279" w:rsidRPr="00A43421">
        <w:rPr>
          <w:rFonts w:ascii="Times New Roman" w:hAnsi="Times New Roman" w:cs="Times New Roman"/>
          <w:color w:val="000000" w:themeColor="text1"/>
          <w:sz w:val="24"/>
          <w:szCs w:val="24"/>
        </w:rPr>
        <w:t xml:space="preserve">to </w:t>
      </w:r>
      <w:r w:rsidRPr="00A43421">
        <w:rPr>
          <w:rFonts w:ascii="Times New Roman" w:hAnsi="Times New Roman" w:cs="Times New Roman"/>
          <w:color w:val="000000" w:themeColor="text1"/>
          <w:sz w:val="24"/>
          <w:szCs w:val="24"/>
        </w:rPr>
        <w:t>iodine intake whilst controlling for dietary exclusion group (p = 0.068, partial eta squared = 0.057). In terms of sodium intake, the same trend emerged. After adjusting for the gender, a significant difference between the CME and control groups persisted (p &lt; 0.01).</w:t>
      </w:r>
      <w:bookmarkStart w:id="14" w:name="_Toc301615631"/>
      <w:bookmarkStart w:id="15" w:name="_Toc301621814"/>
      <w:bookmarkStart w:id="16" w:name="_Toc301768490"/>
      <w:bookmarkStart w:id="17" w:name="_Toc304118785"/>
      <w:bookmarkStart w:id="18" w:name="_Toc437506219"/>
    </w:p>
    <w:p w14:paraId="41C86E03" w14:textId="77777777" w:rsidR="008132A4" w:rsidRDefault="008132A4">
      <w:pPr>
        <w:rPr>
          <w:rFonts w:ascii="Times New Roman" w:hAnsi="Times New Roman" w:cs="Times New Roman"/>
          <w:sz w:val="24"/>
          <w:szCs w:val="24"/>
        </w:rPr>
      </w:pPr>
      <w:r>
        <w:rPr>
          <w:rFonts w:ascii="Times New Roman" w:hAnsi="Times New Roman" w:cs="Times New Roman"/>
          <w:sz w:val="24"/>
          <w:szCs w:val="24"/>
        </w:rPr>
        <w:br w:type="page"/>
      </w:r>
    </w:p>
    <w:p w14:paraId="59C322A3" w14:textId="3A3942E7" w:rsidR="008132A4" w:rsidRPr="008132A4" w:rsidRDefault="008132A4" w:rsidP="008132A4">
      <w:pPr>
        <w:spacing w:line="360" w:lineRule="auto"/>
        <w:jc w:val="both"/>
        <w:rPr>
          <w:color w:val="000000" w:themeColor="text1"/>
        </w:rPr>
      </w:pPr>
      <w:r w:rsidRPr="00083A30">
        <w:rPr>
          <w:rFonts w:ascii="Times New Roman" w:hAnsi="Times New Roman" w:cs="Times New Roman"/>
          <w:sz w:val="24"/>
          <w:szCs w:val="24"/>
        </w:rPr>
        <w:t>Table 2. Median intakes of selected nutrients from food diary analysis</w:t>
      </w:r>
      <w:bookmarkEnd w:id="14"/>
      <w:bookmarkEnd w:id="15"/>
      <w:bookmarkEnd w:id="16"/>
      <w:bookmarkEnd w:id="17"/>
    </w:p>
    <w:tbl>
      <w:tblPr>
        <w:tblStyle w:val="LightShading"/>
        <w:tblW w:w="0" w:type="auto"/>
        <w:tblInd w:w="250" w:type="dxa"/>
        <w:tblBorders>
          <w:left w:val="single" w:sz="8" w:space="0" w:color="000000" w:themeColor="text1"/>
          <w:right w:val="single" w:sz="8" w:space="0" w:color="000000" w:themeColor="text1"/>
          <w:insideH w:val="single" w:sz="6" w:space="0" w:color="000000" w:themeColor="text1"/>
          <w:insideV w:val="single" w:sz="6" w:space="0" w:color="000000" w:themeColor="text1"/>
        </w:tblBorders>
        <w:tblLook w:val="0620" w:firstRow="1" w:lastRow="0" w:firstColumn="0" w:lastColumn="0" w:noHBand="1" w:noVBand="1"/>
      </w:tblPr>
      <w:tblGrid>
        <w:gridCol w:w="2268"/>
        <w:gridCol w:w="1983"/>
        <w:gridCol w:w="1983"/>
        <w:gridCol w:w="2251"/>
      </w:tblGrid>
      <w:tr w:rsidR="008132A4" w:rsidRPr="00083A30" w14:paraId="79B94EA1" w14:textId="77777777" w:rsidTr="00330B87">
        <w:trPr>
          <w:cnfStyle w:val="100000000000" w:firstRow="1" w:lastRow="0" w:firstColumn="0" w:lastColumn="0" w:oddVBand="0" w:evenVBand="0" w:oddHBand="0" w:evenHBand="0" w:firstRowFirstColumn="0" w:firstRowLastColumn="0" w:lastRowFirstColumn="0" w:lastRowLastColumn="0"/>
          <w:trHeight w:val="699"/>
        </w:trPr>
        <w:tc>
          <w:tcPr>
            <w:tcW w:w="2268" w:type="dxa"/>
            <w:tcBorders>
              <w:top w:val="none" w:sz="0" w:space="0" w:color="auto"/>
              <w:left w:val="none" w:sz="0" w:space="0" w:color="auto"/>
              <w:bottom w:val="none" w:sz="0" w:space="0" w:color="auto"/>
              <w:right w:val="none" w:sz="0" w:space="0" w:color="auto"/>
            </w:tcBorders>
          </w:tcPr>
          <w:p w14:paraId="2E14BAE8" w14:textId="77777777" w:rsidR="008132A4" w:rsidRPr="00083A30" w:rsidRDefault="008132A4" w:rsidP="00330B87">
            <w:pPr>
              <w:spacing w:line="360" w:lineRule="auto"/>
              <w:jc w:val="both"/>
              <w:rPr>
                <w:sz w:val="24"/>
                <w:szCs w:val="24"/>
              </w:rPr>
            </w:pPr>
          </w:p>
        </w:tc>
        <w:tc>
          <w:tcPr>
            <w:tcW w:w="1983" w:type="dxa"/>
            <w:tcBorders>
              <w:top w:val="none" w:sz="0" w:space="0" w:color="auto"/>
              <w:left w:val="none" w:sz="0" w:space="0" w:color="auto"/>
              <w:bottom w:val="none" w:sz="0" w:space="0" w:color="auto"/>
              <w:right w:val="none" w:sz="0" w:space="0" w:color="auto"/>
            </w:tcBorders>
          </w:tcPr>
          <w:p w14:paraId="6C531B23" w14:textId="77777777" w:rsidR="008132A4" w:rsidRPr="00083A30" w:rsidRDefault="008132A4" w:rsidP="00330B87">
            <w:pPr>
              <w:spacing w:line="360" w:lineRule="auto"/>
              <w:jc w:val="center"/>
              <w:rPr>
                <w:b w:val="0"/>
                <w:sz w:val="24"/>
                <w:szCs w:val="24"/>
              </w:rPr>
            </w:pPr>
            <w:r w:rsidRPr="00083A30">
              <w:rPr>
                <w:b w:val="0"/>
                <w:sz w:val="24"/>
                <w:szCs w:val="24"/>
              </w:rPr>
              <w:t>All</w:t>
            </w:r>
          </w:p>
          <w:p w14:paraId="4B450B25" w14:textId="77777777" w:rsidR="008132A4" w:rsidRPr="00083A30" w:rsidRDefault="008132A4" w:rsidP="00330B87">
            <w:pPr>
              <w:spacing w:line="360" w:lineRule="auto"/>
              <w:jc w:val="center"/>
              <w:rPr>
                <w:b w:val="0"/>
                <w:sz w:val="24"/>
                <w:szCs w:val="24"/>
              </w:rPr>
            </w:pPr>
            <w:r w:rsidRPr="00083A30">
              <w:rPr>
                <w:b w:val="0"/>
                <w:sz w:val="24"/>
                <w:szCs w:val="24"/>
              </w:rPr>
              <w:t>(</w:t>
            </w:r>
            <w:r w:rsidRPr="00083A30">
              <w:rPr>
                <w:b w:val="0"/>
                <w:i/>
                <w:sz w:val="24"/>
                <w:szCs w:val="24"/>
              </w:rPr>
              <w:t>N</w:t>
            </w:r>
            <w:r w:rsidRPr="00083A30">
              <w:rPr>
                <w:b w:val="0"/>
                <w:sz w:val="24"/>
                <w:szCs w:val="24"/>
              </w:rPr>
              <w:t xml:space="preserve"> = 64)</w:t>
            </w:r>
          </w:p>
        </w:tc>
        <w:tc>
          <w:tcPr>
            <w:tcW w:w="1983" w:type="dxa"/>
            <w:tcBorders>
              <w:top w:val="none" w:sz="0" w:space="0" w:color="auto"/>
              <w:left w:val="none" w:sz="0" w:space="0" w:color="auto"/>
              <w:bottom w:val="none" w:sz="0" w:space="0" w:color="auto"/>
              <w:right w:val="none" w:sz="0" w:space="0" w:color="auto"/>
            </w:tcBorders>
          </w:tcPr>
          <w:p w14:paraId="32C966FB" w14:textId="77777777" w:rsidR="008132A4" w:rsidRPr="00083A30" w:rsidRDefault="008132A4" w:rsidP="00330B87">
            <w:pPr>
              <w:spacing w:line="360" w:lineRule="auto"/>
              <w:jc w:val="center"/>
              <w:rPr>
                <w:b w:val="0"/>
                <w:sz w:val="24"/>
                <w:szCs w:val="24"/>
              </w:rPr>
            </w:pPr>
            <w:r w:rsidRPr="00083A30">
              <w:rPr>
                <w:b w:val="0"/>
                <w:sz w:val="24"/>
                <w:szCs w:val="24"/>
              </w:rPr>
              <w:t>CME group</w:t>
            </w:r>
          </w:p>
          <w:p w14:paraId="73806B2B" w14:textId="77777777" w:rsidR="008132A4" w:rsidRPr="00083A30" w:rsidRDefault="008132A4" w:rsidP="00330B87">
            <w:pPr>
              <w:spacing w:line="360" w:lineRule="auto"/>
              <w:jc w:val="center"/>
              <w:rPr>
                <w:b w:val="0"/>
                <w:sz w:val="24"/>
                <w:szCs w:val="24"/>
              </w:rPr>
            </w:pPr>
            <w:r w:rsidRPr="00083A30">
              <w:rPr>
                <w:b w:val="0"/>
                <w:sz w:val="24"/>
                <w:szCs w:val="24"/>
              </w:rPr>
              <w:t>(</w:t>
            </w:r>
            <w:r w:rsidRPr="00083A30">
              <w:rPr>
                <w:b w:val="0"/>
                <w:i/>
                <w:sz w:val="24"/>
                <w:szCs w:val="24"/>
              </w:rPr>
              <w:t>n</w:t>
            </w:r>
            <w:r w:rsidRPr="00083A30">
              <w:rPr>
                <w:b w:val="0"/>
                <w:sz w:val="24"/>
                <w:szCs w:val="24"/>
              </w:rPr>
              <w:t xml:space="preserve"> = 17)</w:t>
            </w:r>
          </w:p>
        </w:tc>
        <w:tc>
          <w:tcPr>
            <w:tcW w:w="2251" w:type="dxa"/>
            <w:tcBorders>
              <w:top w:val="none" w:sz="0" w:space="0" w:color="auto"/>
              <w:left w:val="none" w:sz="0" w:space="0" w:color="auto"/>
              <w:bottom w:val="none" w:sz="0" w:space="0" w:color="auto"/>
              <w:right w:val="none" w:sz="0" w:space="0" w:color="auto"/>
            </w:tcBorders>
          </w:tcPr>
          <w:p w14:paraId="209C5579" w14:textId="77777777" w:rsidR="008132A4" w:rsidRPr="00083A30" w:rsidRDefault="008132A4" w:rsidP="00330B87">
            <w:pPr>
              <w:spacing w:line="360" w:lineRule="auto"/>
              <w:jc w:val="center"/>
              <w:rPr>
                <w:b w:val="0"/>
                <w:sz w:val="24"/>
                <w:szCs w:val="24"/>
              </w:rPr>
            </w:pPr>
            <w:r w:rsidRPr="00083A30">
              <w:rPr>
                <w:b w:val="0"/>
                <w:sz w:val="24"/>
                <w:szCs w:val="24"/>
              </w:rPr>
              <w:t>Control group</w:t>
            </w:r>
          </w:p>
          <w:p w14:paraId="2887B862" w14:textId="77777777" w:rsidR="008132A4" w:rsidRPr="00083A30" w:rsidRDefault="008132A4" w:rsidP="00330B87">
            <w:pPr>
              <w:spacing w:line="360" w:lineRule="auto"/>
              <w:jc w:val="center"/>
              <w:rPr>
                <w:b w:val="0"/>
                <w:sz w:val="24"/>
                <w:szCs w:val="24"/>
              </w:rPr>
            </w:pPr>
            <w:r w:rsidRPr="00083A30">
              <w:rPr>
                <w:b w:val="0"/>
                <w:sz w:val="24"/>
                <w:szCs w:val="24"/>
              </w:rPr>
              <w:t>(</w:t>
            </w:r>
            <w:r w:rsidRPr="00083A30">
              <w:rPr>
                <w:b w:val="0"/>
                <w:i/>
                <w:sz w:val="24"/>
                <w:szCs w:val="24"/>
              </w:rPr>
              <w:t>n</w:t>
            </w:r>
            <w:r w:rsidRPr="00083A30">
              <w:rPr>
                <w:b w:val="0"/>
                <w:sz w:val="24"/>
                <w:szCs w:val="24"/>
              </w:rPr>
              <w:t xml:space="preserve"> = 47)</w:t>
            </w:r>
          </w:p>
        </w:tc>
      </w:tr>
      <w:tr w:rsidR="008132A4" w:rsidRPr="00083A30" w14:paraId="2460DD62" w14:textId="77777777" w:rsidTr="00330B87">
        <w:tc>
          <w:tcPr>
            <w:tcW w:w="2268" w:type="dxa"/>
          </w:tcPr>
          <w:p w14:paraId="550A7E2F" w14:textId="77777777" w:rsidR="008132A4" w:rsidRPr="00083A30" w:rsidRDefault="008132A4" w:rsidP="00330B87">
            <w:pPr>
              <w:spacing w:line="360" w:lineRule="auto"/>
              <w:jc w:val="both"/>
              <w:rPr>
                <w:sz w:val="24"/>
                <w:szCs w:val="24"/>
              </w:rPr>
            </w:pPr>
            <w:r w:rsidRPr="00083A30">
              <w:rPr>
                <w:sz w:val="24"/>
                <w:szCs w:val="24"/>
              </w:rPr>
              <w:t>Energy (kcal)</w:t>
            </w:r>
          </w:p>
        </w:tc>
        <w:tc>
          <w:tcPr>
            <w:tcW w:w="1983" w:type="dxa"/>
          </w:tcPr>
          <w:p w14:paraId="0E97A91E" w14:textId="77777777" w:rsidR="008132A4" w:rsidRPr="00083A30" w:rsidRDefault="008132A4" w:rsidP="00330B87">
            <w:pPr>
              <w:spacing w:line="360" w:lineRule="auto"/>
              <w:jc w:val="center"/>
              <w:rPr>
                <w:sz w:val="24"/>
                <w:szCs w:val="24"/>
              </w:rPr>
            </w:pPr>
            <w:r w:rsidRPr="00083A30">
              <w:rPr>
                <w:sz w:val="24"/>
                <w:szCs w:val="24"/>
              </w:rPr>
              <w:t>1687 (82%)</w:t>
            </w:r>
          </w:p>
        </w:tc>
        <w:tc>
          <w:tcPr>
            <w:tcW w:w="1983" w:type="dxa"/>
          </w:tcPr>
          <w:p w14:paraId="6B3FA7C8" w14:textId="77777777" w:rsidR="008132A4" w:rsidRPr="00083A30" w:rsidRDefault="008132A4" w:rsidP="00330B87">
            <w:pPr>
              <w:spacing w:line="360" w:lineRule="auto"/>
              <w:jc w:val="center"/>
              <w:rPr>
                <w:sz w:val="24"/>
                <w:szCs w:val="24"/>
              </w:rPr>
            </w:pPr>
            <w:r>
              <w:rPr>
                <w:sz w:val="24"/>
                <w:szCs w:val="24"/>
              </w:rPr>
              <w:t>1668 (85</w:t>
            </w:r>
            <w:r w:rsidRPr="00083A30">
              <w:rPr>
                <w:sz w:val="24"/>
                <w:szCs w:val="24"/>
              </w:rPr>
              <w:t>%)</w:t>
            </w:r>
          </w:p>
        </w:tc>
        <w:tc>
          <w:tcPr>
            <w:tcW w:w="2251" w:type="dxa"/>
          </w:tcPr>
          <w:p w14:paraId="0414933A" w14:textId="77777777" w:rsidR="008132A4" w:rsidRPr="00083A30" w:rsidRDefault="008132A4" w:rsidP="00330B87">
            <w:pPr>
              <w:spacing w:line="360" w:lineRule="auto"/>
              <w:jc w:val="center"/>
              <w:rPr>
                <w:sz w:val="24"/>
                <w:szCs w:val="24"/>
              </w:rPr>
            </w:pPr>
            <w:r w:rsidRPr="00083A30">
              <w:rPr>
                <w:sz w:val="24"/>
                <w:szCs w:val="24"/>
              </w:rPr>
              <w:t>1688 (82%)</w:t>
            </w:r>
          </w:p>
        </w:tc>
      </w:tr>
      <w:tr w:rsidR="008132A4" w:rsidRPr="00083A30" w14:paraId="54B32916" w14:textId="77777777" w:rsidTr="00330B87">
        <w:tc>
          <w:tcPr>
            <w:tcW w:w="2268" w:type="dxa"/>
          </w:tcPr>
          <w:p w14:paraId="3319ACC1" w14:textId="77777777" w:rsidR="008132A4" w:rsidRPr="00083A30" w:rsidRDefault="008132A4" w:rsidP="00330B87">
            <w:pPr>
              <w:spacing w:line="360" w:lineRule="auto"/>
              <w:jc w:val="both"/>
              <w:rPr>
                <w:sz w:val="24"/>
                <w:szCs w:val="24"/>
              </w:rPr>
            </w:pPr>
            <w:r w:rsidRPr="00083A30">
              <w:rPr>
                <w:sz w:val="24"/>
                <w:szCs w:val="24"/>
              </w:rPr>
              <w:t>Protein (g)</w:t>
            </w:r>
          </w:p>
        </w:tc>
        <w:tc>
          <w:tcPr>
            <w:tcW w:w="1983" w:type="dxa"/>
          </w:tcPr>
          <w:p w14:paraId="7B052BC5" w14:textId="77777777" w:rsidR="008132A4" w:rsidRPr="00083A30" w:rsidRDefault="008132A4" w:rsidP="00330B87">
            <w:pPr>
              <w:spacing w:line="360" w:lineRule="auto"/>
              <w:jc w:val="center"/>
              <w:rPr>
                <w:sz w:val="24"/>
                <w:szCs w:val="24"/>
              </w:rPr>
            </w:pPr>
            <w:r w:rsidRPr="00083A30">
              <w:rPr>
                <w:sz w:val="24"/>
                <w:szCs w:val="24"/>
              </w:rPr>
              <w:t>62.1 (156%)</w:t>
            </w:r>
          </w:p>
        </w:tc>
        <w:tc>
          <w:tcPr>
            <w:tcW w:w="1983" w:type="dxa"/>
          </w:tcPr>
          <w:p w14:paraId="106D2599" w14:textId="77777777" w:rsidR="008132A4" w:rsidRPr="00083A30" w:rsidRDefault="008132A4" w:rsidP="00330B87">
            <w:pPr>
              <w:spacing w:line="360" w:lineRule="auto"/>
              <w:jc w:val="center"/>
              <w:rPr>
                <w:sz w:val="24"/>
                <w:szCs w:val="24"/>
              </w:rPr>
            </w:pPr>
            <w:r w:rsidRPr="00083A30">
              <w:rPr>
                <w:sz w:val="24"/>
                <w:szCs w:val="24"/>
              </w:rPr>
              <w:t>62.4 (152%)</w:t>
            </w:r>
          </w:p>
        </w:tc>
        <w:tc>
          <w:tcPr>
            <w:tcW w:w="2251" w:type="dxa"/>
          </w:tcPr>
          <w:p w14:paraId="464809F7" w14:textId="77777777" w:rsidR="008132A4" w:rsidRPr="00083A30" w:rsidRDefault="008132A4" w:rsidP="00330B87">
            <w:pPr>
              <w:spacing w:line="360" w:lineRule="auto"/>
              <w:jc w:val="center"/>
              <w:rPr>
                <w:sz w:val="24"/>
                <w:szCs w:val="24"/>
              </w:rPr>
            </w:pPr>
            <w:r w:rsidRPr="00083A30">
              <w:rPr>
                <w:sz w:val="24"/>
                <w:szCs w:val="24"/>
              </w:rPr>
              <w:t>62.05 (156%)</w:t>
            </w:r>
          </w:p>
        </w:tc>
      </w:tr>
      <w:tr w:rsidR="008132A4" w:rsidRPr="00083A30" w14:paraId="0092EB09" w14:textId="77777777" w:rsidTr="00330B87">
        <w:tc>
          <w:tcPr>
            <w:tcW w:w="2268" w:type="dxa"/>
          </w:tcPr>
          <w:p w14:paraId="783C2175" w14:textId="77777777" w:rsidR="008132A4" w:rsidRPr="00083A30" w:rsidRDefault="008132A4" w:rsidP="00330B87">
            <w:pPr>
              <w:spacing w:line="360" w:lineRule="auto"/>
              <w:jc w:val="both"/>
              <w:rPr>
                <w:sz w:val="24"/>
                <w:szCs w:val="24"/>
              </w:rPr>
            </w:pPr>
            <w:r w:rsidRPr="00083A30">
              <w:rPr>
                <w:sz w:val="24"/>
                <w:szCs w:val="24"/>
              </w:rPr>
              <w:t>Fat (g)</w:t>
            </w:r>
          </w:p>
        </w:tc>
        <w:tc>
          <w:tcPr>
            <w:tcW w:w="1983" w:type="dxa"/>
          </w:tcPr>
          <w:p w14:paraId="35DC77FF" w14:textId="77777777" w:rsidR="008132A4" w:rsidRPr="00083A30" w:rsidRDefault="008132A4" w:rsidP="00330B87">
            <w:pPr>
              <w:spacing w:line="360" w:lineRule="auto"/>
              <w:jc w:val="center"/>
              <w:rPr>
                <w:sz w:val="24"/>
                <w:szCs w:val="24"/>
              </w:rPr>
            </w:pPr>
            <w:r w:rsidRPr="00083A30">
              <w:rPr>
                <w:sz w:val="24"/>
                <w:szCs w:val="24"/>
              </w:rPr>
              <w:t>63.8 (84%)</w:t>
            </w:r>
          </w:p>
        </w:tc>
        <w:tc>
          <w:tcPr>
            <w:tcW w:w="1983" w:type="dxa"/>
          </w:tcPr>
          <w:p w14:paraId="65F43A17" w14:textId="77777777" w:rsidR="008132A4" w:rsidRPr="00083A30" w:rsidRDefault="008132A4" w:rsidP="00330B87">
            <w:pPr>
              <w:spacing w:line="360" w:lineRule="auto"/>
              <w:jc w:val="center"/>
              <w:rPr>
                <w:sz w:val="24"/>
                <w:szCs w:val="24"/>
              </w:rPr>
            </w:pPr>
            <w:r w:rsidRPr="00083A30">
              <w:rPr>
                <w:sz w:val="24"/>
                <w:szCs w:val="24"/>
              </w:rPr>
              <w:t>63.9 (83.0%)</w:t>
            </w:r>
          </w:p>
        </w:tc>
        <w:tc>
          <w:tcPr>
            <w:tcW w:w="2251" w:type="dxa"/>
          </w:tcPr>
          <w:p w14:paraId="656576FE" w14:textId="77777777" w:rsidR="008132A4" w:rsidRPr="00083A30" w:rsidRDefault="008132A4" w:rsidP="00330B87">
            <w:pPr>
              <w:spacing w:line="360" w:lineRule="auto"/>
              <w:jc w:val="center"/>
              <w:rPr>
                <w:sz w:val="24"/>
                <w:szCs w:val="24"/>
              </w:rPr>
            </w:pPr>
            <w:r w:rsidRPr="00083A30">
              <w:rPr>
                <w:sz w:val="24"/>
                <w:szCs w:val="24"/>
              </w:rPr>
              <w:t>63.8 (87.0%)</w:t>
            </w:r>
          </w:p>
        </w:tc>
      </w:tr>
      <w:tr w:rsidR="008132A4" w:rsidRPr="00083A30" w14:paraId="7A475C88" w14:textId="77777777" w:rsidTr="00330B87">
        <w:tc>
          <w:tcPr>
            <w:tcW w:w="2268" w:type="dxa"/>
          </w:tcPr>
          <w:p w14:paraId="1F4F55F2" w14:textId="77777777" w:rsidR="008132A4" w:rsidRPr="00083A30" w:rsidRDefault="008132A4" w:rsidP="00330B87">
            <w:pPr>
              <w:spacing w:line="360" w:lineRule="auto"/>
              <w:jc w:val="both"/>
              <w:rPr>
                <w:sz w:val="24"/>
                <w:szCs w:val="24"/>
              </w:rPr>
            </w:pPr>
            <w:r w:rsidRPr="00083A30">
              <w:rPr>
                <w:sz w:val="24"/>
                <w:szCs w:val="24"/>
              </w:rPr>
              <w:t>Saturated fat (g)</w:t>
            </w:r>
          </w:p>
        </w:tc>
        <w:tc>
          <w:tcPr>
            <w:tcW w:w="1983" w:type="dxa"/>
          </w:tcPr>
          <w:p w14:paraId="41A0D5B2" w14:textId="77777777" w:rsidR="008132A4" w:rsidRPr="00083A30" w:rsidRDefault="008132A4" w:rsidP="00330B87">
            <w:pPr>
              <w:spacing w:line="360" w:lineRule="auto"/>
              <w:jc w:val="center"/>
              <w:rPr>
                <w:sz w:val="24"/>
                <w:szCs w:val="24"/>
              </w:rPr>
            </w:pPr>
            <w:r w:rsidRPr="00083A30">
              <w:rPr>
                <w:sz w:val="24"/>
                <w:szCs w:val="24"/>
              </w:rPr>
              <w:t>24.85 (107%)</w:t>
            </w:r>
          </w:p>
        </w:tc>
        <w:tc>
          <w:tcPr>
            <w:tcW w:w="1983" w:type="dxa"/>
          </w:tcPr>
          <w:p w14:paraId="5232D628" w14:textId="77777777" w:rsidR="008132A4" w:rsidRPr="00083A30" w:rsidRDefault="008132A4" w:rsidP="00330B87">
            <w:pPr>
              <w:spacing w:line="360" w:lineRule="auto"/>
              <w:jc w:val="center"/>
              <w:rPr>
                <w:sz w:val="24"/>
                <w:szCs w:val="24"/>
              </w:rPr>
            </w:pPr>
            <w:r w:rsidRPr="00083A30">
              <w:rPr>
                <w:sz w:val="24"/>
                <w:szCs w:val="24"/>
              </w:rPr>
              <w:t>24.9 (107%)</w:t>
            </w:r>
          </w:p>
        </w:tc>
        <w:tc>
          <w:tcPr>
            <w:tcW w:w="2251" w:type="dxa"/>
          </w:tcPr>
          <w:p w14:paraId="034E9F71" w14:textId="77777777" w:rsidR="008132A4" w:rsidRPr="00083A30" w:rsidRDefault="008132A4" w:rsidP="00330B87">
            <w:pPr>
              <w:spacing w:line="360" w:lineRule="auto"/>
              <w:jc w:val="center"/>
              <w:rPr>
                <w:sz w:val="24"/>
                <w:szCs w:val="24"/>
              </w:rPr>
            </w:pPr>
            <w:r w:rsidRPr="00083A30">
              <w:rPr>
                <w:sz w:val="24"/>
                <w:szCs w:val="24"/>
              </w:rPr>
              <w:t>24.8 (104.5%)</w:t>
            </w:r>
          </w:p>
        </w:tc>
      </w:tr>
      <w:tr w:rsidR="008132A4" w:rsidRPr="00083A30" w14:paraId="50A738BD" w14:textId="77777777" w:rsidTr="00330B87">
        <w:tc>
          <w:tcPr>
            <w:tcW w:w="2268" w:type="dxa"/>
          </w:tcPr>
          <w:p w14:paraId="1EB5CD3D" w14:textId="77777777" w:rsidR="008132A4" w:rsidRPr="00083A30" w:rsidRDefault="008132A4" w:rsidP="00330B87">
            <w:pPr>
              <w:spacing w:line="360" w:lineRule="auto"/>
              <w:jc w:val="both"/>
              <w:rPr>
                <w:sz w:val="24"/>
                <w:szCs w:val="24"/>
              </w:rPr>
            </w:pPr>
            <w:r w:rsidRPr="00083A30">
              <w:rPr>
                <w:sz w:val="24"/>
                <w:szCs w:val="24"/>
              </w:rPr>
              <w:t>Fibre (g)</w:t>
            </w:r>
          </w:p>
        </w:tc>
        <w:tc>
          <w:tcPr>
            <w:tcW w:w="1983" w:type="dxa"/>
          </w:tcPr>
          <w:p w14:paraId="3F8F6312" w14:textId="77777777" w:rsidR="008132A4" w:rsidRPr="00083A30" w:rsidRDefault="008132A4" w:rsidP="00330B87">
            <w:pPr>
              <w:spacing w:line="360" w:lineRule="auto"/>
              <w:jc w:val="center"/>
              <w:rPr>
                <w:sz w:val="24"/>
                <w:szCs w:val="24"/>
              </w:rPr>
            </w:pPr>
            <w:r w:rsidRPr="00083A30">
              <w:rPr>
                <w:sz w:val="24"/>
                <w:szCs w:val="24"/>
              </w:rPr>
              <w:t>14.3 (N/A)</w:t>
            </w:r>
          </w:p>
        </w:tc>
        <w:tc>
          <w:tcPr>
            <w:tcW w:w="1983" w:type="dxa"/>
          </w:tcPr>
          <w:p w14:paraId="7AD86F12" w14:textId="77777777" w:rsidR="008132A4" w:rsidRPr="00083A30" w:rsidRDefault="008132A4" w:rsidP="00330B87">
            <w:pPr>
              <w:spacing w:line="360" w:lineRule="auto"/>
              <w:jc w:val="center"/>
              <w:rPr>
                <w:sz w:val="24"/>
                <w:szCs w:val="24"/>
              </w:rPr>
            </w:pPr>
            <w:r w:rsidRPr="00083A30">
              <w:rPr>
                <w:sz w:val="24"/>
                <w:szCs w:val="24"/>
              </w:rPr>
              <w:t>15.4 (N/A)</w:t>
            </w:r>
          </w:p>
        </w:tc>
        <w:tc>
          <w:tcPr>
            <w:tcW w:w="2251" w:type="dxa"/>
          </w:tcPr>
          <w:p w14:paraId="5C29F4F5" w14:textId="77777777" w:rsidR="008132A4" w:rsidRPr="00083A30" w:rsidRDefault="008132A4" w:rsidP="00330B87">
            <w:pPr>
              <w:spacing w:line="360" w:lineRule="auto"/>
              <w:jc w:val="center"/>
              <w:rPr>
                <w:sz w:val="24"/>
                <w:szCs w:val="24"/>
              </w:rPr>
            </w:pPr>
            <w:r w:rsidRPr="00083A30">
              <w:rPr>
                <w:sz w:val="24"/>
                <w:szCs w:val="24"/>
              </w:rPr>
              <w:t>13.9 (N/A)</w:t>
            </w:r>
          </w:p>
        </w:tc>
      </w:tr>
      <w:tr w:rsidR="008132A4" w:rsidRPr="00083A30" w14:paraId="4A8C181C" w14:textId="77777777" w:rsidTr="00330B87">
        <w:tc>
          <w:tcPr>
            <w:tcW w:w="2268" w:type="dxa"/>
          </w:tcPr>
          <w:p w14:paraId="3A388D6B" w14:textId="77777777" w:rsidR="008132A4" w:rsidRPr="00083A30" w:rsidRDefault="008132A4" w:rsidP="00330B87">
            <w:pPr>
              <w:spacing w:line="360" w:lineRule="auto"/>
              <w:jc w:val="both"/>
              <w:rPr>
                <w:sz w:val="24"/>
                <w:szCs w:val="24"/>
              </w:rPr>
            </w:pPr>
            <w:r w:rsidRPr="00083A30">
              <w:rPr>
                <w:sz w:val="24"/>
                <w:szCs w:val="24"/>
              </w:rPr>
              <w:t>Sodium (mg)*</w:t>
            </w:r>
          </w:p>
        </w:tc>
        <w:tc>
          <w:tcPr>
            <w:tcW w:w="1983" w:type="dxa"/>
          </w:tcPr>
          <w:p w14:paraId="269604C9" w14:textId="77777777" w:rsidR="008132A4" w:rsidRPr="00083A30" w:rsidRDefault="008132A4" w:rsidP="00330B87">
            <w:pPr>
              <w:spacing w:line="360" w:lineRule="auto"/>
              <w:jc w:val="center"/>
              <w:rPr>
                <w:sz w:val="24"/>
                <w:szCs w:val="24"/>
              </w:rPr>
            </w:pPr>
            <w:r w:rsidRPr="00083A30">
              <w:rPr>
                <w:sz w:val="24"/>
                <w:szCs w:val="24"/>
              </w:rPr>
              <w:t>2252 (155%)</w:t>
            </w:r>
          </w:p>
        </w:tc>
        <w:tc>
          <w:tcPr>
            <w:tcW w:w="1983" w:type="dxa"/>
          </w:tcPr>
          <w:p w14:paraId="64424E5C" w14:textId="77777777" w:rsidR="008132A4" w:rsidRPr="00083A30" w:rsidRDefault="008132A4" w:rsidP="00330B87">
            <w:pPr>
              <w:spacing w:line="360" w:lineRule="auto"/>
              <w:jc w:val="center"/>
              <w:rPr>
                <w:sz w:val="24"/>
                <w:szCs w:val="24"/>
              </w:rPr>
            </w:pPr>
            <w:r w:rsidRPr="00083A30">
              <w:rPr>
                <w:sz w:val="24"/>
                <w:szCs w:val="24"/>
              </w:rPr>
              <w:t>2819 (176%)*</w:t>
            </w:r>
          </w:p>
        </w:tc>
        <w:tc>
          <w:tcPr>
            <w:tcW w:w="2251" w:type="dxa"/>
          </w:tcPr>
          <w:p w14:paraId="5EC51A3A" w14:textId="77777777" w:rsidR="008132A4" w:rsidRPr="00083A30" w:rsidRDefault="008132A4" w:rsidP="00330B87">
            <w:pPr>
              <w:spacing w:line="360" w:lineRule="auto"/>
              <w:jc w:val="center"/>
              <w:rPr>
                <w:sz w:val="24"/>
                <w:szCs w:val="24"/>
              </w:rPr>
            </w:pPr>
            <w:r w:rsidRPr="00083A30">
              <w:rPr>
                <w:sz w:val="24"/>
                <w:szCs w:val="24"/>
              </w:rPr>
              <w:t>2166 (144.0%)*</w:t>
            </w:r>
          </w:p>
        </w:tc>
      </w:tr>
      <w:tr w:rsidR="008132A4" w:rsidRPr="00083A30" w14:paraId="670F13BF" w14:textId="77777777" w:rsidTr="00330B87">
        <w:tc>
          <w:tcPr>
            <w:tcW w:w="2268" w:type="dxa"/>
          </w:tcPr>
          <w:p w14:paraId="7B85B95E" w14:textId="77777777" w:rsidR="008132A4" w:rsidRPr="00083A30" w:rsidRDefault="008132A4" w:rsidP="00330B87">
            <w:pPr>
              <w:spacing w:line="360" w:lineRule="auto"/>
              <w:jc w:val="both"/>
              <w:rPr>
                <w:sz w:val="24"/>
                <w:szCs w:val="24"/>
              </w:rPr>
            </w:pPr>
            <w:r w:rsidRPr="00083A30">
              <w:rPr>
                <w:sz w:val="24"/>
                <w:szCs w:val="24"/>
              </w:rPr>
              <w:t>Calcium (mg)</w:t>
            </w:r>
          </w:p>
        </w:tc>
        <w:tc>
          <w:tcPr>
            <w:tcW w:w="1983" w:type="dxa"/>
          </w:tcPr>
          <w:p w14:paraId="54254B20" w14:textId="77777777" w:rsidR="008132A4" w:rsidRPr="00083A30" w:rsidRDefault="008132A4" w:rsidP="00330B87">
            <w:pPr>
              <w:spacing w:line="360" w:lineRule="auto"/>
              <w:jc w:val="center"/>
              <w:rPr>
                <w:sz w:val="24"/>
                <w:szCs w:val="24"/>
              </w:rPr>
            </w:pPr>
            <w:r w:rsidRPr="00083A30">
              <w:rPr>
                <w:sz w:val="24"/>
                <w:szCs w:val="24"/>
              </w:rPr>
              <w:t>704.5 (84%)</w:t>
            </w:r>
          </w:p>
        </w:tc>
        <w:tc>
          <w:tcPr>
            <w:tcW w:w="1983" w:type="dxa"/>
          </w:tcPr>
          <w:p w14:paraId="35BFEDC2" w14:textId="77777777" w:rsidR="008132A4" w:rsidRPr="00083A30" w:rsidRDefault="008132A4" w:rsidP="00330B87">
            <w:pPr>
              <w:spacing w:line="360" w:lineRule="auto"/>
              <w:jc w:val="center"/>
              <w:rPr>
                <w:sz w:val="24"/>
                <w:szCs w:val="24"/>
              </w:rPr>
            </w:pPr>
            <w:r>
              <w:rPr>
                <w:sz w:val="24"/>
                <w:szCs w:val="24"/>
              </w:rPr>
              <w:t>587 (74</w:t>
            </w:r>
            <w:r w:rsidRPr="00083A30">
              <w:rPr>
                <w:sz w:val="24"/>
                <w:szCs w:val="24"/>
              </w:rPr>
              <w:t>%)</w:t>
            </w:r>
          </w:p>
        </w:tc>
        <w:tc>
          <w:tcPr>
            <w:tcW w:w="2251" w:type="dxa"/>
          </w:tcPr>
          <w:p w14:paraId="1F10EADE" w14:textId="77777777" w:rsidR="008132A4" w:rsidRPr="00083A30" w:rsidRDefault="008132A4" w:rsidP="00330B87">
            <w:pPr>
              <w:spacing w:line="360" w:lineRule="auto"/>
              <w:jc w:val="center"/>
              <w:rPr>
                <w:sz w:val="24"/>
                <w:szCs w:val="24"/>
              </w:rPr>
            </w:pPr>
            <w:r w:rsidRPr="00083A30">
              <w:rPr>
                <w:sz w:val="24"/>
                <w:szCs w:val="24"/>
              </w:rPr>
              <w:t>717 (88.5%)</w:t>
            </w:r>
          </w:p>
        </w:tc>
      </w:tr>
      <w:tr w:rsidR="008132A4" w:rsidRPr="00083A30" w14:paraId="204666A2" w14:textId="77777777" w:rsidTr="00330B87">
        <w:tc>
          <w:tcPr>
            <w:tcW w:w="2268" w:type="dxa"/>
          </w:tcPr>
          <w:p w14:paraId="48758311" w14:textId="77777777" w:rsidR="008132A4" w:rsidRPr="00083A30" w:rsidRDefault="008132A4" w:rsidP="00330B87">
            <w:pPr>
              <w:spacing w:line="360" w:lineRule="auto"/>
              <w:jc w:val="both"/>
              <w:rPr>
                <w:sz w:val="24"/>
                <w:szCs w:val="24"/>
              </w:rPr>
            </w:pPr>
            <w:r w:rsidRPr="00083A30">
              <w:rPr>
                <w:sz w:val="24"/>
                <w:szCs w:val="24"/>
              </w:rPr>
              <w:t>Iron (mg)</w:t>
            </w:r>
          </w:p>
        </w:tc>
        <w:tc>
          <w:tcPr>
            <w:tcW w:w="1983" w:type="dxa"/>
          </w:tcPr>
          <w:p w14:paraId="5F32069B" w14:textId="77777777" w:rsidR="008132A4" w:rsidRPr="00083A30" w:rsidRDefault="008132A4" w:rsidP="00330B87">
            <w:pPr>
              <w:spacing w:line="360" w:lineRule="auto"/>
              <w:jc w:val="center"/>
              <w:rPr>
                <w:sz w:val="24"/>
                <w:szCs w:val="24"/>
              </w:rPr>
            </w:pPr>
            <w:r w:rsidRPr="00083A30">
              <w:rPr>
                <w:sz w:val="24"/>
                <w:szCs w:val="24"/>
              </w:rPr>
              <w:t>9.1 (72%)</w:t>
            </w:r>
          </w:p>
        </w:tc>
        <w:tc>
          <w:tcPr>
            <w:tcW w:w="1983" w:type="dxa"/>
          </w:tcPr>
          <w:p w14:paraId="1D344393" w14:textId="77777777" w:rsidR="008132A4" w:rsidRPr="00083A30" w:rsidRDefault="008132A4" w:rsidP="00330B87">
            <w:pPr>
              <w:spacing w:line="360" w:lineRule="auto"/>
              <w:jc w:val="center"/>
              <w:rPr>
                <w:sz w:val="24"/>
                <w:szCs w:val="24"/>
              </w:rPr>
            </w:pPr>
            <w:r w:rsidRPr="00083A30">
              <w:rPr>
                <w:sz w:val="24"/>
                <w:szCs w:val="24"/>
              </w:rPr>
              <w:t xml:space="preserve">8.2 </w:t>
            </w:r>
            <w:r>
              <w:rPr>
                <w:sz w:val="24"/>
                <w:szCs w:val="24"/>
              </w:rPr>
              <w:t>(61</w:t>
            </w:r>
            <w:r w:rsidRPr="00083A30">
              <w:rPr>
                <w:sz w:val="24"/>
                <w:szCs w:val="24"/>
              </w:rPr>
              <w:t>%)</w:t>
            </w:r>
          </w:p>
        </w:tc>
        <w:tc>
          <w:tcPr>
            <w:tcW w:w="2251" w:type="dxa"/>
          </w:tcPr>
          <w:p w14:paraId="79111B04" w14:textId="77777777" w:rsidR="008132A4" w:rsidRPr="00083A30" w:rsidRDefault="008132A4" w:rsidP="00330B87">
            <w:pPr>
              <w:spacing w:line="360" w:lineRule="auto"/>
              <w:jc w:val="center"/>
              <w:rPr>
                <w:sz w:val="24"/>
                <w:szCs w:val="24"/>
              </w:rPr>
            </w:pPr>
            <w:r w:rsidRPr="00083A30">
              <w:rPr>
                <w:sz w:val="24"/>
                <w:szCs w:val="24"/>
              </w:rPr>
              <w:t>9.31 (75.5%)</w:t>
            </w:r>
          </w:p>
        </w:tc>
      </w:tr>
      <w:tr w:rsidR="008132A4" w:rsidRPr="00083A30" w14:paraId="1ACD2A11" w14:textId="77777777" w:rsidTr="00330B87">
        <w:tc>
          <w:tcPr>
            <w:tcW w:w="2268" w:type="dxa"/>
          </w:tcPr>
          <w:p w14:paraId="47DC2A32" w14:textId="77777777" w:rsidR="008132A4" w:rsidRPr="00083A30" w:rsidRDefault="008132A4" w:rsidP="00330B87">
            <w:pPr>
              <w:spacing w:line="360" w:lineRule="auto"/>
              <w:jc w:val="both"/>
              <w:rPr>
                <w:sz w:val="24"/>
                <w:szCs w:val="24"/>
              </w:rPr>
            </w:pPr>
            <w:r w:rsidRPr="00083A30">
              <w:rPr>
                <w:sz w:val="24"/>
                <w:szCs w:val="24"/>
              </w:rPr>
              <w:t>Zinc (mg)</w:t>
            </w:r>
          </w:p>
        </w:tc>
        <w:tc>
          <w:tcPr>
            <w:tcW w:w="1983" w:type="dxa"/>
          </w:tcPr>
          <w:p w14:paraId="644B95BB" w14:textId="77777777" w:rsidR="008132A4" w:rsidRPr="00083A30" w:rsidRDefault="008132A4" w:rsidP="00330B87">
            <w:pPr>
              <w:spacing w:line="360" w:lineRule="auto"/>
              <w:jc w:val="center"/>
              <w:rPr>
                <w:sz w:val="24"/>
                <w:szCs w:val="24"/>
              </w:rPr>
            </w:pPr>
            <w:r w:rsidRPr="00083A30">
              <w:rPr>
                <w:sz w:val="24"/>
                <w:szCs w:val="24"/>
              </w:rPr>
              <w:t>6.39 (74%)</w:t>
            </w:r>
          </w:p>
        </w:tc>
        <w:tc>
          <w:tcPr>
            <w:tcW w:w="1983" w:type="dxa"/>
          </w:tcPr>
          <w:p w14:paraId="42BC1168" w14:textId="77777777" w:rsidR="008132A4" w:rsidRPr="00083A30" w:rsidRDefault="008132A4" w:rsidP="00330B87">
            <w:pPr>
              <w:spacing w:line="360" w:lineRule="auto"/>
              <w:jc w:val="center"/>
              <w:rPr>
                <w:sz w:val="24"/>
                <w:szCs w:val="24"/>
              </w:rPr>
            </w:pPr>
            <w:r>
              <w:rPr>
                <w:sz w:val="24"/>
                <w:szCs w:val="24"/>
              </w:rPr>
              <w:t>5.3 (66</w:t>
            </w:r>
            <w:r w:rsidRPr="00083A30">
              <w:rPr>
                <w:sz w:val="24"/>
                <w:szCs w:val="24"/>
              </w:rPr>
              <w:t>%)</w:t>
            </w:r>
          </w:p>
        </w:tc>
        <w:tc>
          <w:tcPr>
            <w:tcW w:w="2251" w:type="dxa"/>
          </w:tcPr>
          <w:p w14:paraId="43F4A0E4" w14:textId="77777777" w:rsidR="008132A4" w:rsidRPr="00083A30" w:rsidRDefault="008132A4" w:rsidP="00330B87">
            <w:pPr>
              <w:spacing w:line="360" w:lineRule="auto"/>
              <w:jc w:val="center"/>
              <w:rPr>
                <w:sz w:val="24"/>
                <w:szCs w:val="24"/>
              </w:rPr>
            </w:pPr>
            <w:r>
              <w:rPr>
                <w:sz w:val="24"/>
                <w:szCs w:val="24"/>
              </w:rPr>
              <w:t>6.5 (75</w:t>
            </w:r>
            <w:r w:rsidRPr="00083A30">
              <w:rPr>
                <w:sz w:val="24"/>
                <w:szCs w:val="24"/>
              </w:rPr>
              <w:t>%)</w:t>
            </w:r>
          </w:p>
        </w:tc>
      </w:tr>
      <w:tr w:rsidR="008132A4" w:rsidRPr="00083A30" w14:paraId="08314C95" w14:textId="77777777" w:rsidTr="00330B87">
        <w:tc>
          <w:tcPr>
            <w:tcW w:w="2268" w:type="dxa"/>
          </w:tcPr>
          <w:p w14:paraId="4BD37C7B" w14:textId="77777777" w:rsidR="008132A4" w:rsidRPr="00083A30" w:rsidRDefault="008132A4" w:rsidP="00330B87">
            <w:pPr>
              <w:spacing w:line="360" w:lineRule="auto"/>
              <w:jc w:val="both"/>
              <w:rPr>
                <w:sz w:val="24"/>
                <w:szCs w:val="24"/>
              </w:rPr>
            </w:pPr>
            <w:r w:rsidRPr="00083A30">
              <w:rPr>
                <w:sz w:val="24"/>
                <w:szCs w:val="24"/>
              </w:rPr>
              <w:t>Selenium (mcg)*</w:t>
            </w:r>
          </w:p>
        </w:tc>
        <w:tc>
          <w:tcPr>
            <w:tcW w:w="1983" w:type="dxa"/>
          </w:tcPr>
          <w:p w14:paraId="0B5B5E44" w14:textId="77777777" w:rsidR="008132A4" w:rsidRPr="00083A30" w:rsidRDefault="008132A4" w:rsidP="00330B87">
            <w:pPr>
              <w:spacing w:line="360" w:lineRule="auto"/>
              <w:jc w:val="center"/>
              <w:rPr>
                <w:sz w:val="24"/>
                <w:szCs w:val="24"/>
              </w:rPr>
            </w:pPr>
            <w:r w:rsidRPr="00083A30">
              <w:rPr>
                <w:sz w:val="24"/>
                <w:szCs w:val="24"/>
              </w:rPr>
              <w:t>34.85 (80%)</w:t>
            </w:r>
          </w:p>
        </w:tc>
        <w:tc>
          <w:tcPr>
            <w:tcW w:w="1983" w:type="dxa"/>
          </w:tcPr>
          <w:p w14:paraId="4B3C198A" w14:textId="77777777" w:rsidR="008132A4" w:rsidRPr="00083A30" w:rsidRDefault="008132A4" w:rsidP="00330B87">
            <w:pPr>
              <w:spacing w:line="360" w:lineRule="auto"/>
              <w:jc w:val="center"/>
              <w:rPr>
                <w:sz w:val="24"/>
                <w:szCs w:val="24"/>
              </w:rPr>
            </w:pPr>
            <w:r>
              <w:rPr>
                <w:sz w:val="24"/>
                <w:szCs w:val="24"/>
              </w:rPr>
              <w:t>42.4 (98</w:t>
            </w:r>
            <w:r w:rsidRPr="00083A30">
              <w:rPr>
                <w:sz w:val="24"/>
                <w:szCs w:val="24"/>
              </w:rPr>
              <w:t>%)*</w:t>
            </w:r>
          </w:p>
        </w:tc>
        <w:tc>
          <w:tcPr>
            <w:tcW w:w="2251" w:type="dxa"/>
          </w:tcPr>
          <w:p w14:paraId="5BAC9DDF" w14:textId="77777777" w:rsidR="008132A4" w:rsidRPr="00083A30" w:rsidRDefault="008132A4" w:rsidP="00330B87">
            <w:pPr>
              <w:spacing w:line="360" w:lineRule="auto"/>
              <w:jc w:val="center"/>
              <w:rPr>
                <w:sz w:val="24"/>
                <w:szCs w:val="24"/>
              </w:rPr>
            </w:pPr>
            <w:r>
              <w:rPr>
                <w:sz w:val="24"/>
                <w:szCs w:val="24"/>
              </w:rPr>
              <w:t>34.2 (78</w:t>
            </w:r>
            <w:r w:rsidRPr="00083A30">
              <w:rPr>
                <w:sz w:val="24"/>
                <w:szCs w:val="24"/>
              </w:rPr>
              <w:t>%)*</w:t>
            </w:r>
          </w:p>
        </w:tc>
      </w:tr>
      <w:tr w:rsidR="008132A4" w:rsidRPr="00083A30" w14:paraId="1D8EAE6B" w14:textId="77777777" w:rsidTr="00330B87">
        <w:tc>
          <w:tcPr>
            <w:tcW w:w="2268" w:type="dxa"/>
          </w:tcPr>
          <w:p w14:paraId="66539810" w14:textId="77777777" w:rsidR="008132A4" w:rsidRPr="00083A30" w:rsidRDefault="008132A4" w:rsidP="00330B87">
            <w:pPr>
              <w:spacing w:line="360" w:lineRule="auto"/>
              <w:jc w:val="both"/>
              <w:rPr>
                <w:sz w:val="24"/>
                <w:szCs w:val="24"/>
              </w:rPr>
            </w:pPr>
            <w:r w:rsidRPr="00083A30">
              <w:rPr>
                <w:sz w:val="24"/>
                <w:szCs w:val="24"/>
              </w:rPr>
              <w:t>Magnesium(mg)</w:t>
            </w:r>
          </w:p>
        </w:tc>
        <w:tc>
          <w:tcPr>
            <w:tcW w:w="1983" w:type="dxa"/>
          </w:tcPr>
          <w:p w14:paraId="2FFD96E6" w14:textId="77777777" w:rsidR="008132A4" w:rsidRPr="00083A30" w:rsidRDefault="008132A4" w:rsidP="00330B87">
            <w:pPr>
              <w:spacing w:line="360" w:lineRule="auto"/>
              <w:jc w:val="center"/>
              <w:rPr>
                <w:sz w:val="24"/>
                <w:szCs w:val="24"/>
              </w:rPr>
            </w:pPr>
            <w:r w:rsidRPr="00083A30">
              <w:rPr>
                <w:sz w:val="24"/>
                <w:szCs w:val="24"/>
              </w:rPr>
              <w:t>194 (74%)</w:t>
            </w:r>
          </w:p>
        </w:tc>
        <w:tc>
          <w:tcPr>
            <w:tcW w:w="1983" w:type="dxa"/>
          </w:tcPr>
          <w:p w14:paraId="2E92BD6A" w14:textId="77777777" w:rsidR="008132A4" w:rsidRPr="00083A30" w:rsidRDefault="008132A4" w:rsidP="00330B87">
            <w:pPr>
              <w:spacing w:line="360" w:lineRule="auto"/>
              <w:jc w:val="center"/>
              <w:rPr>
                <w:sz w:val="24"/>
                <w:szCs w:val="24"/>
              </w:rPr>
            </w:pPr>
            <w:r>
              <w:rPr>
                <w:sz w:val="24"/>
                <w:szCs w:val="24"/>
              </w:rPr>
              <w:t>188.0 (74</w:t>
            </w:r>
            <w:r w:rsidRPr="00083A30">
              <w:rPr>
                <w:sz w:val="24"/>
                <w:szCs w:val="24"/>
              </w:rPr>
              <w:t>%)</w:t>
            </w:r>
          </w:p>
        </w:tc>
        <w:tc>
          <w:tcPr>
            <w:tcW w:w="2251" w:type="dxa"/>
          </w:tcPr>
          <w:p w14:paraId="4E794667" w14:textId="77777777" w:rsidR="008132A4" w:rsidRPr="00083A30" w:rsidRDefault="008132A4" w:rsidP="00330B87">
            <w:pPr>
              <w:spacing w:line="360" w:lineRule="auto"/>
              <w:jc w:val="center"/>
              <w:rPr>
                <w:sz w:val="24"/>
                <w:szCs w:val="24"/>
              </w:rPr>
            </w:pPr>
            <w:r>
              <w:rPr>
                <w:sz w:val="24"/>
                <w:szCs w:val="24"/>
              </w:rPr>
              <w:t>194.0 (75</w:t>
            </w:r>
            <w:r w:rsidRPr="00083A30">
              <w:rPr>
                <w:sz w:val="24"/>
                <w:szCs w:val="24"/>
              </w:rPr>
              <w:t>%)</w:t>
            </w:r>
          </w:p>
        </w:tc>
      </w:tr>
      <w:tr w:rsidR="008132A4" w:rsidRPr="00083A30" w14:paraId="7AC93E25" w14:textId="77777777" w:rsidTr="00330B87">
        <w:tc>
          <w:tcPr>
            <w:tcW w:w="2268" w:type="dxa"/>
          </w:tcPr>
          <w:p w14:paraId="05C5FFEA" w14:textId="77777777" w:rsidR="008132A4" w:rsidRPr="00083A30" w:rsidRDefault="008132A4" w:rsidP="00330B87">
            <w:pPr>
              <w:spacing w:line="360" w:lineRule="auto"/>
              <w:jc w:val="both"/>
              <w:rPr>
                <w:sz w:val="24"/>
                <w:szCs w:val="24"/>
              </w:rPr>
            </w:pPr>
            <w:r w:rsidRPr="00083A30">
              <w:rPr>
                <w:sz w:val="24"/>
                <w:szCs w:val="24"/>
              </w:rPr>
              <w:t>Iodine (mcg)*</w:t>
            </w:r>
          </w:p>
        </w:tc>
        <w:tc>
          <w:tcPr>
            <w:tcW w:w="1983" w:type="dxa"/>
          </w:tcPr>
          <w:p w14:paraId="17F75A99" w14:textId="77777777" w:rsidR="008132A4" w:rsidRPr="00083A30" w:rsidRDefault="008132A4" w:rsidP="00330B87">
            <w:pPr>
              <w:spacing w:line="360" w:lineRule="auto"/>
              <w:jc w:val="center"/>
              <w:rPr>
                <w:sz w:val="24"/>
                <w:szCs w:val="24"/>
              </w:rPr>
            </w:pPr>
            <w:r w:rsidRPr="00083A30">
              <w:rPr>
                <w:sz w:val="24"/>
                <w:szCs w:val="24"/>
              </w:rPr>
              <w:t>108 (86.5%)</w:t>
            </w:r>
          </w:p>
        </w:tc>
        <w:tc>
          <w:tcPr>
            <w:tcW w:w="1983" w:type="dxa"/>
          </w:tcPr>
          <w:p w14:paraId="075B67F7" w14:textId="77777777" w:rsidR="008132A4" w:rsidRPr="00083A30" w:rsidRDefault="008132A4" w:rsidP="00330B87">
            <w:pPr>
              <w:spacing w:line="360" w:lineRule="auto"/>
              <w:jc w:val="center"/>
              <w:rPr>
                <w:sz w:val="24"/>
                <w:szCs w:val="24"/>
              </w:rPr>
            </w:pPr>
            <w:r w:rsidRPr="00083A30">
              <w:rPr>
                <w:sz w:val="24"/>
                <w:szCs w:val="24"/>
              </w:rPr>
              <w:t>67.1 (55.0%)*</w:t>
            </w:r>
          </w:p>
        </w:tc>
        <w:tc>
          <w:tcPr>
            <w:tcW w:w="2251" w:type="dxa"/>
          </w:tcPr>
          <w:p w14:paraId="58B0340A" w14:textId="77777777" w:rsidR="008132A4" w:rsidRPr="00083A30" w:rsidRDefault="008132A4" w:rsidP="00330B87">
            <w:pPr>
              <w:spacing w:line="360" w:lineRule="auto"/>
              <w:jc w:val="center"/>
              <w:rPr>
                <w:sz w:val="24"/>
                <w:szCs w:val="24"/>
              </w:rPr>
            </w:pPr>
            <w:r>
              <w:rPr>
                <w:sz w:val="24"/>
                <w:szCs w:val="24"/>
              </w:rPr>
              <w:t>118.4 (93</w:t>
            </w:r>
            <w:r w:rsidRPr="00083A30">
              <w:rPr>
                <w:sz w:val="24"/>
                <w:szCs w:val="24"/>
              </w:rPr>
              <w:t>%)*</w:t>
            </w:r>
          </w:p>
        </w:tc>
      </w:tr>
      <w:tr w:rsidR="008132A4" w:rsidRPr="00083A30" w14:paraId="62F72420" w14:textId="77777777" w:rsidTr="00330B87">
        <w:tc>
          <w:tcPr>
            <w:tcW w:w="2268" w:type="dxa"/>
          </w:tcPr>
          <w:p w14:paraId="1561FB78" w14:textId="77777777" w:rsidR="008132A4" w:rsidRPr="00083A30" w:rsidRDefault="008132A4" w:rsidP="00330B87">
            <w:pPr>
              <w:spacing w:line="360" w:lineRule="auto"/>
              <w:jc w:val="both"/>
              <w:rPr>
                <w:sz w:val="24"/>
                <w:szCs w:val="24"/>
              </w:rPr>
            </w:pPr>
            <w:r w:rsidRPr="00083A30">
              <w:rPr>
                <w:sz w:val="24"/>
                <w:szCs w:val="24"/>
              </w:rPr>
              <w:t>Phosphorous (mg)</w:t>
            </w:r>
          </w:p>
        </w:tc>
        <w:tc>
          <w:tcPr>
            <w:tcW w:w="1983" w:type="dxa"/>
          </w:tcPr>
          <w:p w14:paraId="6AF8DEF7" w14:textId="77777777" w:rsidR="008132A4" w:rsidRPr="00083A30" w:rsidRDefault="008132A4" w:rsidP="00330B87">
            <w:pPr>
              <w:spacing w:line="360" w:lineRule="auto"/>
              <w:jc w:val="center"/>
              <w:rPr>
                <w:sz w:val="24"/>
                <w:szCs w:val="24"/>
              </w:rPr>
            </w:pPr>
            <w:r w:rsidRPr="00083A30">
              <w:rPr>
                <w:sz w:val="24"/>
                <w:szCs w:val="24"/>
              </w:rPr>
              <w:t>1077 (164%)</w:t>
            </w:r>
          </w:p>
        </w:tc>
        <w:tc>
          <w:tcPr>
            <w:tcW w:w="1983" w:type="dxa"/>
          </w:tcPr>
          <w:p w14:paraId="688EA8A8" w14:textId="77777777" w:rsidR="008132A4" w:rsidRPr="00083A30" w:rsidRDefault="008132A4" w:rsidP="00330B87">
            <w:pPr>
              <w:spacing w:line="360" w:lineRule="auto"/>
              <w:jc w:val="center"/>
              <w:rPr>
                <w:sz w:val="24"/>
                <w:szCs w:val="24"/>
              </w:rPr>
            </w:pPr>
            <w:r w:rsidRPr="00083A30">
              <w:rPr>
                <w:sz w:val="24"/>
                <w:szCs w:val="24"/>
              </w:rPr>
              <w:t>986.5 (158.5%)</w:t>
            </w:r>
          </w:p>
        </w:tc>
        <w:tc>
          <w:tcPr>
            <w:tcW w:w="2251" w:type="dxa"/>
          </w:tcPr>
          <w:p w14:paraId="43E929D8" w14:textId="77777777" w:rsidR="008132A4" w:rsidRPr="00083A30" w:rsidRDefault="008132A4" w:rsidP="00330B87">
            <w:pPr>
              <w:spacing w:line="360" w:lineRule="auto"/>
              <w:jc w:val="center"/>
              <w:rPr>
                <w:sz w:val="24"/>
                <w:szCs w:val="24"/>
              </w:rPr>
            </w:pPr>
            <w:r w:rsidRPr="00083A30">
              <w:rPr>
                <w:sz w:val="24"/>
                <w:szCs w:val="24"/>
              </w:rPr>
              <w:t>1082 (165%)</w:t>
            </w:r>
          </w:p>
        </w:tc>
      </w:tr>
      <w:tr w:rsidR="008132A4" w:rsidRPr="00083A30" w14:paraId="2CB3E3A1" w14:textId="77777777" w:rsidTr="00330B87">
        <w:tc>
          <w:tcPr>
            <w:tcW w:w="2268" w:type="dxa"/>
          </w:tcPr>
          <w:p w14:paraId="3E31C59A" w14:textId="77777777" w:rsidR="008132A4" w:rsidRPr="00083A30" w:rsidRDefault="008132A4" w:rsidP="00330B87">
            <w:pPr>
              <w:spacing w:line="360" w:lineRule="auto"/>
              <w:jc w:val="both"/>
              <w:rPr>
                <w:sz w:val="24"/>
                <w:szCs w:val="24"/>
              </w:rPr>
            </w:pPr>
            <w:r w:rsidRPr="00083A30">
              <w:rPr>
                <w:sz w:val="24"/>
                <w:szCs w:val="24"/>
              </w:rPr>
              <w:t>Vitamin A (mcg)</w:t>
            </w:r>
          </w:p>
        </w:tc>
        <w:tc>
          <w:tcPr>
            <w:tcW w:w="1983" w:type="dxa"/>
          </w:tcPr>
          <w:p w14:paraId="167686F4" w14:textId="77777777" w:rsidR="008132A4" w:rsidRPr="00083A30" w:rsidRDefault="008132A4" w:rsidP="00330B87">
            <w:pPr>
              <w:spacing w:line="360" w:lineRule="auto"/>
              <w:jc w:val="center"/>
              <w:rPr>
                <w:sz w:val="24"/>
                <w:szCs w:val="24"/>
              </w:rPr>
            </w:pPr>
            <w:r w:rsidRPr="00083A30">
              <w:rPr>
                <w:sz w:val="24"/>
                <w:szCs w:val="24"/>
              </w:rPr>
              <w:t>517 (103%)</w:t>
            </w:r>
          </w:p>
        </w:tc>
        <w:tc>
          <w:tcPr>
            <w:tcW w:w="1983" w:type="dxa"/>
          </w:tcPr>
          <w:p w14:paraId="5C240898" w14:textId="77777777" w:rsidR="008132A4" w:rsidRPr="00083A30" w:rsidRDefault="008132A4" w:rsidP="00330B87">
            <w:pPr>
              <w:spacing w:line="360" w:lineRule="auto"/>
              <w:jc w:val="center"/>
              <w:rPr>
                <w:sz w:val="24"/>
                <w:szCs w:val="24"/>
              </w:rPr>
            </w:pPr>
            <w:r w:rsidRPr="00083A30">
              <w:rPr>
                <w:sz w:val="24"/>
                <w:szCs w:val="24"/>
              </w:rPr>
              <w:t>538 (107%)</w:t>
            </w:r>
          </w:p>
        </w:tc>
        <w:tc>
          <w:tcPr>
            <w:tcW w:w="2251" w:type="dxa"/>
          </w:tcPr>
          <w:p w14:paraId="6D6A93C5" w14:textId="77777777" w:rsidR="008132A4" w:rsidRPr="00083A30" w:rsidRDefault="008132A4" w:rsidP="00330B87">
            <w:pPr>
              <w:spacing w:line="360" w:lineRule="auto"/>
              <w:jc w:val="center"/>
              <w:rPr>
                <w:sz w:val="24"/>
                <w:szCs w:val="24"/>
              </w:rPr>
            </w:pPr>
            <w:r w:rsidRPr="00083A30">
              <w:rPr>
                <w:sz w:val="24"/>
                <w:szCs w:val="24"/>
              </w:rPr>
              <w:t>479 (95.8%)</w:t>
            </w:r>
          </w:p>
        </w:tc>
      </w:tr>
      <w:tr w:rsidR="008132A4" w:rsidRPr="00083A30" w14:paraId="5A99C82A" w14:textId="77777777" w:rsidTr="00330B87">
        <w:tc>
          <w:tcPr>
            <w:tcW w:w="2268" w:type="dxa"/>
          </w:tcPr>
          <w:p w14:paraId="0C306318" w14:textId="77777777" w:rsidR="008132A4" w:rsidRPr="00083A30" w:rsidRDefault="008132A4" w:rsidP="00330B87">
            <w:pPr>
              <w:spacing w:line="360" w:lineRule="auto"/>
              <w:jc w:val="both"/>
              <w:rPr>
                <w:sz w:val="24"/>
                <w:szCs w:val="24"/>
              </w:rPr>
            </w:pPr>
            <w:r w:rsidRPr="00083A30">
              <w:rPr>
                <w:sz w:val="24"/>
                <w:szCs w:val="24"/>
              </w:rPr>
              <w:t>Thiamin (mg)</w:t>
            </w:r>
          </w:p>
        </w:tc>
        <w:tc>
          <w:tcPr>
            <w:tcW w:w="1983" w:type="dxa"/>
          </w:tcPr>
          <w:p w14:paraId="37564DC3" w14:textId="77777777" w:rsidR="008132A4" w:rsidRPr="00083A30" w:rsidRDefault="008132A4" w:rsidP="00330B87">
            <w:pPr>
              <w:spacing w:line="360" w:lineRule="auto"/>
              <w:jc w:val="center"/>
              <w:rPr>
                <w:sz w:val="24"/>
                <w:szCs w:val="24"/>
              </w:rPr>
            </w:pPr>
            <w:r w:rsidRPr="00083A30">
              <w:rPr>
                <w:sz w:val="24"/>
                <w:szCs w:val="24"/>
              </w:rPr>
              <w:t>1.37 (175%)</w:t>
            </w:r>
          </w:p>
        </w:tc>
        <w:tc>
          <w:tcPr>
            <w:tcW w:w="1983" w:type="dxa"/>
          </w:tcPr>
          <w:p w14:paraId="04F1F49B" w14:textId="77777777" w:rsidR="008132A4" w:rsidRPr="00083A30" w:rsidRDefault="008132A4" w:rsidP="00330B87">
            <w:pPr>
              <w:spacing w:line="360" w:lineRule="auto"/>
              <w:jc w:val="center"/>
              <w:rPr>
                <w:sz w:val="24"/>
                <w:szCs w:val="24"/>
              </w:rPr>
            </w:pPr>
            <w:r w:rsidRPr="00083A30">
              <w:rPr>
                <w:sz w:val="24"/>
                <w:szCs w:val="24"/>
              </w:rPr>
              <w:t>1.29 (175%)</w:t>
            </w:r>
          </w:p>
        </w:tc>
        <w:tc>
          <w:tcPr>
            <w:tcW w:w="2251" w:type="dxa"/>
          </w:tcPr>
          <w:p w14:paraId="51418BB7" w14:textId="77777777" w:rsidR="008132A4" w:rsidRPr="00083A30" w:rsidRDefault="008132A4" w:rsidP="00330B87">
            <w:pPr>
              <w:spacing w:line="360" w:lineRule="auto"/>
              <w:jc w:val="center"/>
              <w:rPr>
                <w:sz w:val="24"/>
                <w:szCs w:val="24"/>
              </w:rPr>
            </w:pPr>
            <w:r w:rsidRPr="00083A30">
              <w:rPr>
                <w:sz w:val="24"/>
                <w:szCs w:val="24"/>
              </w:rPr>
              <w:t>1.40 (175%)</w:t>
            </w:r>
          </w:p>
        </w:tc>
      </w:tr>
      <w:tr w:rsidR="008132A4" w:rsidRPr="00083A30" w14:paraId="5989C85D" w14:textId="77777777" w:rsidTr="00330B87">
        <w:tc>
          <w:tcPr>
            <w:tcW w:w="2268" w:type="dxa"/>
          </w:tcPr>
          <w:p w14:paraId="58A0E78C" w14:textId="77777777" w:rsidR="008132A4" w:rsidRPr="00083A30" w:rsidRDefault="008132A4" w:rsidP="00330B87">
            <w:pPr>
              <w:spacing w:line="360" w:lineRule="auto"/>
              <w:jc w:val="both"/>
              <w:rPr>
                <w:sz w:val="24"/>
                <w:szCs w:val="24"/>
              </w:rPr>
            </w:pPr>
            <w:r w:rsidRPr="00083A30">
              <w:rPr>
                <w:sz w:val="24"/>
                <w:szCs w:val="24"/>
              </w:rPr>
              <w:t>Riboflavin (mg)*</w:t>
            </w:r>
          </w:p>
        </w:tc>
        <w:tc>
          <w:tcPr>
            <w:tcW w:w="1983" w:type="dxa"/>
          </w:tcPr>
          <w:p w14:paraId="2FDFBC1A" w14:textId="77777777" w:rsidR="008132A4" w:rsidRPr="00083A30" w:rsidRDefault="008132A4" w:rsidP="00330B87">
            <w:pPr>
              <w:spacing w:line="360" w:lineRule="auto"/>
              <w:jc w:val="center"/>
              <w:rPr>
                <w:sz w:val="24"/>
                <w:szCs w:val="24"/>
              </w:rPr>
            </w:pPr>
            <w:r w:rsidRPr="00083A30">
              <w:rPr>
                <w:sz w:val="24"/>
                <w:szCs w:val="24"/>
              </w:rPr>
              <w:t>1.28 (116%)</w:t>
            </w:r>
          </w:p>
        </w:tc>
        <w:tc>
          <w:tcPr>
            <w:tcW w:w="1983" w:type="dxa"/>
          </w:tcPr>
          <w:p w14:paraId="35400DE8" w14:textId="77777777" w:rsidR="008132A4" w:rsidRPr="00083A30" w:rsidRDefault="008132A4" w:rsidP="00330B87">
            <w:pPr>
              <w:spacing w:line="360" w:lineRule="auto"/>
              <w:jc w:val="center"/>
              <w:rPr>
                <w:sz w:val="24"/>
                <w:szCs w:val="24"/>
              </w:rPr>
            </w:pPr>
            <w:r w:rsidRPr="00083A30">
              <w:rPr>
                <w:sz w:val="24"/>
                <w:szCs w:val="24"/>
              </w:rPr>
              <w:t>1.09 (93%)*</w:t>
            </w:r>
          </w:p>
        </w:tc>
        <w:tc>
          <w:tcPr>
            <w:tcW w:w="2251" w:type="dxa"/>
          </w:tcPr>
          <w:p w14:paraId="75625CA9" w14:textId="77777777" w:rsidR="008132A4" w:rsidRPr="00083A30" w:rsidRDefault="008132A4" w:rsidP="00330B87">
            <w:pPr>
              <w:spacing w:line="360" w:lineRule="auto"/>
              <w:jc w:val="center"/>
              <w:rPr>
                <w:sz w:val="24"/>
                <w:szCs w:val="24"/>
              </w:rPr>
            </w:pPr>
            <w:r w:rsidRPr="00083A30">
              <w:rPr>
                <w:sz w:val="24"/>
                <w:szCs w:val="24"/>
              </w:rPr>
              <w:t>1.42 (124%)*</w:t>
            </w:r>
          </w:p>
        </w:tc>
      </w:tr>
      <w:tr w:rsidR="008132A4" w:rsidRPr="00083A30" w14:paraId="145145B5" w14:textId="77777777" w:rsidTr="00330B87">
        <w:tc>
          <w:tcPr>
            <w:tcW w:w="2268" w:type="dxa"/>
          </w:tcPr>
          <w:p w14:paraId="15D87320" w14:textId="77777777" w:rsidR="008132A4" w:rsidRPr="00083A30" w:rsidRDefault="008132A4" w:rsidP="00330B87">
            <w:pPr>
              <w:spacing w:line="360" w:lineRule="auto"/>
              <w:jc w:val="both"/>
              <w:rPr>
                <w:sz w:val="24"/>
                <w:szCs w:val="24"/>
              </w:rPr>
            </w:pPr>
            <w:r w:rsidRPr="00083A30">
              <w:rPr>
                <w:sz w:val="24"/>
                <w:szCs w:val="24"/>
              </w:rPr>
              <w:t>Niacin(mg)</w:t>
            </w:r>
          </w:p>
        </w:tc>
        <w:tc>
          <w:tcPr>
            <w:tcW w:w="1983" w:type="dxa"/>
          </w:tcPr>
          <w:p w14:paraId="2BC55636" w14:textId="77777777" w:rsidR="008132A4" w:rsidRPr="00083A30" w:rsidRDefault="008132A4" w:rsidP="00330B87">
            <w:pPr>
              <w:spacing w:line="360" w:lineRule="auto"/>
              <w:jc w:val="center"/>
              <w:rPr>
                <w:sz w:val="24"/>
                <w:szCs w:val="24"/>
              </w:rPr>
            </w:pPr>
            <w:r w:rsidRPr="00083A30">
              <w:rPr>
                <w:sz w:val="24"/>
                <w:szCs w:val="24"/>
              </w:rPr>
              <w:t>15.2 (114%)</w:t>
            </w:r>
          </w:p>
        </w:tc>
        <w:tc>
          <w:tcPr>
            <w:tcW w:w="1983" w:type="dxa"/>
          </w:tcPr>
          <w:p w14:paraId="4C892950" w14:textId="77777777" w:rsidR="008132A4" w:rsidRPr="00083A30" w:rsidRDefault="008132A4" w:rsidP="00330B87">
            <w:pPr>
              <w:spacing w:line="360" w:lineRule="auto"/>
              <w:jc w:val="center"/>
              <w:rPr>
                <w:sz w:val="24"/>
                <w:szCs w:val="24"/>
              </w:rPr>
            </w:pPr>
            <w:r w:rsidRPr="00083A30">
              <w:rPr>
                <w:sz w:val="24"/>
                <w:szCs w:val="24"/>
              </w:rPr>
              <w:t>15.9 (136%)</w:t>
            </w:r>
          </w:p>
        </w:tc>
        <w:tc>
          <w:tcPr>
            <w:tcW w:w="2251" w:type="dxa"/>
          </w:tcPr>
          <w:p w14:paraId="4502B7C8" w14:textId="77777777" w:rsidR="008132A4" w:rsidRPr="00083A30" w:rsidRDefault="008132A4" w:rsidP="00330B87">
            <w:pPr>
              <w:spacing w:line="360" w:lineRule="auto"/>
              <w:jc w:val="center"/>
              <w:rPr>
                <w:sz w:val="24"/>
                <w:szCs w:val="24"/>
              </w:rPr>
            </w:pPr>
            <w:r w:rsidRPr="00083A30">
              <w:rPr>
                <w:sz w:val="24"/>
                <w:szCs w:val="24"/>
              </w:rPr>
              <w:t>15.19 (107.5%)</w:t>
            </w:r>
          </w:p>
        </w:tc>
      </w:tr>
      <w:tr w:rsidR="008132A4" w:rsidRPr="00083A30" w14:paraId="6350C94F" w14:textId="77777777" w:rsidTr="00330B87">
        <w:tc>
          <w:tcPr>
            <w:tcW w:w="2268" w:type="dxa"/>
          </w:tcPr>
          <w:p w14:paraId="0CEBE043" w14:textId="77777777" w:rsidR="008132A4" w:rsidRPr="00083A30" w:rsidRDefault="008132A4" w:rsidP="00330B87">
            <w:pPr>
              <w:spacing w:line="360" w:lineRule="auto"/>
              <w:jc w:val="both"/>
              <w:rPr>
                <w:sz w:val="24"/>
                <w:szCs w:val="24"/>
              </w:rPr>
            </w:pPr>
            <w:r w:rsidRPr="00083A30">
              <w:rPr>
                <w:sz w:val="24"/>
                <w:szCs w:val="24"/>
              </w:rPr>
              <w:t>Vitamin B6 (mg)</w:t>
            </w:r>
          </w:p>
        </w:tc>
        <w:tc>
          <w:tcPr>
            <w:tcW w:w="1983" w:type="dxa"/>
          </w:tcPr>
          <w:p w14:paraId="500723F6" w14:textId="77777777" w:rsidR="008132A4" w:rsidRPr="00083A30" w:rsidRDefault="008132A4" w:rsidP="00330B87">
            <w:pPr>
              <w:spacing w:line="360" w:lineRule="auto"/>
              <w:jc w:val="center"/>
              <w:rPr>
                <w:sz w:val="24"/>
                <w:szCs w:val="24"/>
              </w:rPr>
            </w:pPr>
            <w:r w:rsidRPr="00083A30">
              <w:rPr>
                <w:sz w:val="24"/>
                <w:szCs w:val="24"/>
              </w:rPr>
              <w:t>1.54 (248%)</w:t>
            </w:r>
          </w:p>
        </w:tc>
        <w:tc>
          <w:tcPr>
            <w:tcW w:w="1983" w:type="dxa"/>
          </w:tcPr>
          <w:p w14:paraId="3CFB61FE" w14:textId="77777777" w:rsidR="008132A4" w:rsidRPr="00083A30" w:rsidRDefault="008132A4" w:rsidP="00330B87">
            <w:pPr>
              <w:spacing w:line="360" w:lineRule="auto"/>
              <w:jc w:val="center"/>
              <w:rPr>
                <w:sz w:val="24"/>
                <w:szCs w:val="24"/>
              </w:rPr>
            </w:pPr>
            <w:r w:rsidRPr="00083A30">
              <w:rPr>
                <w:sz w:val="24"/>
                <w:szCs w:val="24"/>
              </w:rPr>
              <w:t>1.58 (248%)</w:t>
            </w:r>
          </w:p>
        </w:tc>
        <w:tc>
          <w:tcPr>
            <w:tcW w:w="2251" w:type="dxa"/>
          </w:tcPr>
          <w:p w14:paraId="12EB2E02" w14:textId="77777777" w:rsidR="008132A4" w:rsidRPr="00083A30" w:rsidRDefault="008132A4" w:rsidP="00330B87">
            <w:pPr>
              <w:spacing w:line="360" w:lineRule="auto"/>
              <w:jc w:val="center"/>
              <w:rPr>
                <w:sz w:val="24"/>
                <w:szCs w:val="24"/>
              </w:rPr>
            </w:pPr>
            <w:r w:rsidRPr="00083A30">
              <w:rPr>
                <w:sz w:val="24"/>
                <w:szCs w:val="24"/>
              </w:rPr>
              <w:t>1.52 (252%)</w:t>
            </w:r>
          </w:p>
        </w:tc>
      </w:tr>
      <w:tr w:rsidR="008132A4" w:rsidRPr="00083A30" w14:paraId="3E17784A" w14:textId="77777777" w:rsidTr="00330B87">
        <w:tc>
          <w:tcPr>
            <w:tcW w:w="2268" w:type="dxa"/>
          </w:tcPr>
          <w:p w14:paraId="2D47B996" w14:textId="77777777" w:rsidR="008132A4" w:rsidRPr="00083A30" w:rsidRDefault="008132A4" w:rsidP="00330B87">
            <w:pPr>
              <w:spacing w:line="360" w:lineRule="auto"/>
              <w:jc w:val="both"/>
              <w:rPr>
                <w:sz w:val="24"/>
                <w:szCs w:val="24"/>
              </w:rPr>
            </w:pPr>
            <w:r w:rsidRPr="00083A30">
              <w:rPr>
                <w:sz w:val="24"/>
                <w:szCs w:val="24"/>
              </w:rPr>
              <w:t>Vitamin B12 (mcg)</w:t>
            </w:r>
          </w:p>
        </w:tc>
        <w:tc>
          <w:tcPr>
            <w:tcW w:w="1983" w:type="dxa"/>
          </w:tcPr>
          <w:p w14:paraId="33A779D2" w14:textId="77777777" w:rsidR="008132A4" w:rsidRPr="00083A30" w:rsidRDefault="008132A4" w:rsidP="00330B87">
            <w:pPr>
              <w:spacing w:line="360" w:lineRule="auto"/>
              <w:jc w:val="center"/>
              <w:rPr>
                <w:sz w:val="24"/>
                <w:szCs w:val="24"/>
              </w:rPr>
            </w:pPr>
            <w:r w:rsidRPr="00083A30">
              <w:rPr>
                <w:sz w:val="24"/>
                <w:szCs w:val="24"/>
              </w:rPr>
              <w:t>3.0 (273%)</w:t>
            </w:r>
          </w:p>
        </w:tc>
        <w:tc>
          <w:tcPr>
            <w:tcW w:w="1983" w:type="dxa"/>
          </w:tcPr>
          <w:p w14:paraId="3AF94E52" w14:textId="77777777" w:rsidR="008132A4" w:rsidRPr="00083A30" w:rsidRDefault="008132A4" w:rsidP="00330B87">
            <w:pPr>
              <w:spacing w:line="360" w:lineRule="auto"/>
              <w:jc w:val="center"/>
              <w:rPr>
                <w:sz w:val="24"/>
                <w:szCs w:val="24"/>
              </w:rPr>
            </w:pPr>
            <w:r w:rsidRPr="00083A30">
              <w:rPr>
                <w:sz w:val="24"/>
                <w:szCs w:val="24"/>
              </w:rPr>
              <w:t>2.1 (187%)</w:t>
            </w:r>
          </w:p>
        </w:tc>
        <w:tc>
          <w:tcPr>
            <w:tcW w:w="2251" w:type="dxa"/>
          </w:tcPr>
          <w:p w14:paraId="093E8240" w14:textId="77777777" w:rsidR="008132A4" w:rsidRPr="00083A30" w:rsidRDefault="008132A4" w:rsidP="00330B87">
            <w:pPr>
              <w:spacing w:line="360" w:lineRule="auto"/>
              <w:jc w:val="center"/>
              <w:rPr>
                <w:sz w:val="24"/>
                <w:szCs w:val="24"/>
              </w:rPr>
            </w:pPr>
            <w:r w:rsidRPr="00083A30">
              <w:rPr>
                <w:sz w:val="24"/>
                <w:szCs w:val="24"/>
              </w:rPr>
              <w:t>3.04 (291.5%)</w:t>
            </w:r>
          </w:p>
        </w:tc>
      </w:tr>
      <w:tr w:rsidR="008132A4" w:rsidRPr="00083A30" w14:paraId="1CB70ABC" w14:textId="77777777" w:rsidTr="00330B87">
        <w:tc>
          <w:tcPr>
            <w:tcW w:w="2268" w:type="dxa"/>
          </w:tcPr>
          <w:p w14:paraId="256E7AB6" w14:textId="77777777" w:rsidR="008132A4" w:rsidRPr="00083A30" w:rsidRDefault="008132A4" w:rsidP="00330B87">
            <w:pPr>
              <w:spacing w:line="360" w:lineRule="auto"/>
              <w:jc w:val="both"/>
              <w:rPr>
                <w:sz w:val="24"/>
                <w:szCs w:val="24"/>
              </w:rPr>
            </w:pPr>
            <w:r w:rsidRPr="00083A30">
              <w:rPr>
                <w:sz w:val="24"/>
                <w:szCs w:val="24"/>
              </w:rPr>
              <w:t>Folate (mcg)</w:t>
            </w:r>
          </w:p>
        </w:tc>
        <w:tc>
          <w:tcPr>
            <w:tcW w:w="1983" w:type="dxa"/>
          </w:tcPr>
          <w:p w14:paraId="1A666B11" w14:textId="77777777" w:rsidR="008132A4" w:rsidRPr="00083A30" w:rsidRDefault="008132A4" w:rsidP="00330B87">
            <w:pPr>
              <w:spacing w:line="360" w:lineRule="auto"/>
              <w:jc w:val="center"/>
              <w:rPr>
                <w:sz w:val="24"/>
                <w:szCs w:val="24"/>
              </w:rPr>
            </w:pPr>
            <w:r w:rsidRPr="00083A30">
              <w:rPr>
                <w:sz w:val="24"/>
                <w:szCs w:val="24"/>
              </w:rPr>
              <w:t>192 (104%)</w:t>
            </w:r>
          </w:p>
        </w:tc>
        <w:tc>
          <w:tcPr>
            <w:tcW w:w="1983" w:type="dxa"/>
          </w:tcPr>
          <w:p w14:paraId="66262192" w14:textId="77777777" w:rsidR="008132A4" w:rsidRPr="00083A30" w:rsidRDefault="008132A4" w:rsidP="00330B87">
            <w:pPr>
              <w:spacing w:line="360" w:lineRule="auto"/>
              <w:jc w:val="center"/>
              <w:rPr>
                <w:sz w:val="24"/>
                <w:szCs w:val="24"/>
              </w:rPr>
            </w:pPr>
            <w:r w:rsidRPr="00083A30">
              <w:rPr>
                <w:sz w:val="24"/>
                <w:szCs w:val="24"/>
              </w:rPr>
              <w:t>185 (101%)</w:t>
            </w:r>
          </w:p>
        </w:tc>
        <w:tc>
          <w:tcPr>
            <w:tcW w:w="2251" w:type="dxa"/>
          </w:tcPr>
          <w:p w14:paraId="5FE2D94B" w14:textId="77777777" w:rsidR="008132A4" w:rsidRPr="00083A30" w:rsidRDefault="008132A4" w:rsidP="00330B87">
            <w:pPr>
              <w:spacing w:line="360" w:lineRule="auto"/>
              <w:jc w:val="center"/>
              <w:rPr>
                <w:sz w:val="24"/>
                <w:szCs w:val="24"/>
              </w:rPr>
            </w:pPr>
            <w:r w:rsidRPr="00083A30">
              <w:rPr>
                <w:sz w:val="24"/>
                <w:szCs w:val="24"/>
              </w:rPr>
              <w:t>195 (104%)</w:t>
            </w:r>
          </w:p>
        </w:tc>
      </w:tr>
      <w:tr w:rsidR="008132A4" w:rsidRPr="00083A30" w14:paraId="0069921C" w14:textId="77777777" w:rsidTr="00330B87">
        <w:tc>
          <w:tcPr>
            <w:tcW w:w="2268" w:type="dxa"/>
          </w:tcPr>
          <w:p w14:paraId="352384C5" w14:textId="77777777" w:rsidR="008132A4" w:rsidRPr="00083A30" w:rsidRDefault="008132A4" w:rsidP="00330B87">
            <w:pPr>
              <w:spacing w:line="360" w:lineRule="auto"/>
              <w:jc w:val="both"/>
              <w:rPr>
                <w:sz w:val="24"/>
                <w:szCs w:val="24"/>
              </w:rPr>
            </w:pPr>
            <w:r w:rsidRPr="00083A30">
              <w:rPr>
                <w:sz w:val="24"/>
                <w:szCs w:val="24"/>
              </w:rPr>
              <w:t>Vitamin C (mg)</w:t>
            </w:r>
          </w:p>
        </w:tc>
        <w:tc>
          <w:tcPr>
            <w:tcW w:w="1983" w:type="dxa"/>
          </w:tcPr>
          <w:p w14:paraId="2EA9556E" w14:textId="77777777" w:rsidR="008132A4" w:rsidRPr="00083A30" w:rsidRDefault="008132A4" w:rsidP="00330B87">
            <w:pPr>
              <w:spacing w:line="360" w:lineRule="auto"/>
              <w:jc w:val="center"/>
              <w:rPr>
                <w:sz w:val="24"/>
                <w:szCs w:val="24"/>
              </w:rPr>
            </w:pPr>
            <w:r>
              <w:rPr>
                <w:sz w:val="24"/>
                <w:szCs w:val="24"/>
              </w:rPr>
              <w:t>84.0 (244</w:t>
            </w:r>
            <w:r w:rsidRPr="00083A30">
              <w:rPr>
                <w:sz w:val="24"/>
                <w:szCs w:val="24"/>
              </w:rPr>
              <w:t>%)</w:t>
            </w:r>
          </w:p>
        </w:tc>
        <w:tc>
          <w:tcPr>
            <w:tcW w:w="1983" w:type="dxa"/>
          </w:tcPr>
          <w:p w14:paraId="313F2AF6" w14:textId="77777777" w:rsidR="008132A4" w:rsidRPr="00083A30" w:rsidRDefault="008132A4" w:rsidP="00330B87">
            <w:pPr>
              <w:spacing w:line="360" w:lineRule="auto"/>
              <w:jc w:val="center"/>
              <w:rPr>
                <w:sz w:val="24"/>
                <w:szCs w:val="24"/>
              </w:rPr>
            </w:pPr>
            <w:r>
              <w:rPr>
                <w:sz w:val="24"/>
                <w:szCs w:val="24"/>
              </w:rPr>
              <w:t>114 (325</w:t>
            </w:r>
            <w:r w:rsidRPr="00083A30">
              <w:rPr>
                <w:sz w:val="24"/>
                <w:szCs w:val="24"/>
              </w:rPr>
              <w:t>%)</w:t>
            </w:r>
          </w:p>
        </w:tc>
        <w:tc>
          <w:tcPr>
            <w:tcW w:w="2251" w:type="dxa"/>
          </w:tcPr>
          <w:p w14:paraId="5F5FFC94" w14:textId="77777777" w:rsidR="008132A4" w:rsidRPr="00083A30" w:rsidRDefault="008132A4" w:rsidP="00330B87">
            <w:pPr>
              <w:spacing w:line="360" w:lineRule="auto"/>
              <w:jc w:val="center"/>
              <w:rPr>
                <w:sz w:val="24"/>
                <w:szCs w:val="24"/>
              </w:rPr>
            </w:pPr>
            <w:r w:rsidRPr="00083A30">
              <w:rPr>
                <w:sz w:val="24"/>
                <w:szCs w:val="24"/>
              </w:rPr>
              <w:t>78.0 (236%)</w:t>
            </w:r>
          </w:p>
        </w:tc>
      </w:tr>
      <w:tr w:rsidR="008132A4" w:rsidRPr="00083A30" w14:paraId="70F20A44" w14:textId="77777777" w:rsidTr="00330B87">
        <w:tc>
          <w:tcPr>
            <w:tcW w:w="2268" w:type="dxa"/>
          </w:tcPr>
          <w:p w14:paraId="6D16F591" w14:textId="77777777" w:rsidR="008132A4" w:rsidRPr="00083A30" w:rsidRDefault="008132A4" w:rsidP="00330B87">
            <w:pPr>
              <w:spacing w:line="360" w:lineRule="auto"/>
              <w:jc w:val="both"/>
              <w:rPr>
                <w:sz w:val="24"/>
                <w:szCs w:val="24"/>
              </w:rPr>
            </w:pPr>
            <w:r w:rsidRPr="00083A30">
              <w:rPr>
                <w:sz w:val="24"/>
                <w:szCs w:val="24"/>
              </w:rPr>
              <w:t>Vitamin D (mcg)</w:t>
            </w:r>
          </w:p>
        </w:tc>
        <w:tc>
          <w:tcPr>
            <w:tcW w:w="1983" w:type="dxa"/>
          </w:tcPr>
          <w:p w14:paraId="24D79AC3" w14:textId="77777777" w:rsidR="008132A4" w:rsidRPr="00083A30" w:rsidRDefault="008132A4" w:rsidP="00330B87">
            <w:pPr>
              <w:spacing w:line="360" w:lineRule="auto"/>
              <w:jc w:val="center"/>
              <w:rPr>
                <w:sz w:val="24"/>
                <w:szCs w:val="24"/>
              </w:rPr>
            </w:pPr>
            <w:r w:rsidRPr="00083A30">
              <w:rPr>
                <w:sz w:val="24"/>
                <w:szCs w:val="24"/>
              </w:rPr>
              <w:t>1.83 (NO DRV)</w:t>
            </w:r>
          </w:p>
        </w:tc>
        <w:tc>
          <w:tcPr>
            <w:tcW w:w="1983" w:type="dxa"/>
          </w:tcPr>
          <w:p w14:paraId="7E590008" w14:textId="77777777" w:rsidR="008132A4" w:rsidRPr="00083A30" w:rsidRDefault="008132A4" w:rsidP="00330B87">
            <w:pPr>
              <w:spacing w:line="360" w:lineRule="auto"/>
              <w:jc w:val="center"/>
              <w:rPr>
                <w:sz w:val="24"/>
                <w:szCs w:val="24"/>
              </w:rPr>
            </w:pPr>
            <w:r w:rsidRPr="00083A30">
              <w:rPr>
                <w:sz w:val="24"/>
                <w:szCs w:val="24"/>
              </w:rPr>
              <w:t>1.92 (NO DRV)</w:t>
            </w:r>
          </w:p>
        </w:tc>
        <w:tc>
          <w:tcPr>
            <w:tcW w:w="2251" w:type="dxa"/>
          </w:tcPr>
          <w:p w14:paraId="376320E7" w14:textId="77777777" w:rsidR="008132A4" w:rsidRPr="00083A30" w:rsidRDefault="008132A4" w:rsidP="00330B87">
            <w:pPr>
              <w:spacing w:line="360" w:lineRule="auto"/>
              <w:jc w:val="center"/>
              <w:rPr>
                <w:sz w:val="24"/>
                <w:szCs w:val="24"/>
              </w:rPr>
            </w:pPr>
            <w:r w:rsidRPr="00083A30">
              <w:rPr>
                <w:sz w:val="24"/>
                <w:szCs w:val="24"/>
              </w:rPr>
              <w:t>1.83 (NO DRV)</w:t>
            </w:r>
          </w:p>
        </w:tc>
      </w:tr>
      <w:tr w:rsidR="008132A4" w:rsidRPr="00083A30" w14:paraId="3D7C00DA" w14:textId="77777777" w:rsidTr="00330B87">
        <w:tc>
          <w:tcPr>
            <w:tcW w:w="2268" w:type="dxa"/>
          </w:tcPr>
          <w:p w14:paraId="1080D66E" w14:textId="77777777" w:rsidR="008132A4" w:rsidRPr="00083A30" w:rsidRDefault="008132A4" w:rsidP="00330B87">
            <w:pPr>
              <w:spacing w:line="360" w:lineRule="auto"/>
              <w:jc w:val="both"/>
              <w:rPr>
                <w:sz w:val="24"/>
                <w:szCs w:val="24"/>
              </w:rPr>
            </w:pPr>
            <w:r w:rsidRPr="00083A30">
              <w:rPr>
                <w:sz w:val="24"/>
                <w:szCs w:val="24"/>
              </w:rPr>
              <w:t>Vitamin E (mg)</w:t>
            </w:r>
          </w:p>
        </w:tc>
        <w:tc>
          <w:tcPr>
            <w:tcW w:w="1983" w:type="dxa"/>
          </w:tcPr>
          <w:p w14:paraId="39AEFA06" w14:textId="77777777" w:rsidR="008132A4" w:rsidRPr="00083A30" w:rsidRDefault="008132A4" w:rsidP="00330B87">
            <w:pPr>
              <w:spacing w:line="360" w:lineRule="auto"/>
              <w:jc w:val="center"/>
              <w:rPr>
                <w:sz w:val="24"/>
                <w:szCs w:val="24"/>
              </w:rPr>
            </w:pPr>
            <w:r w:rsidRPr="00083A30">
              <w:rPr>
                <w:sz w:val="24"/>
                <w:szCs w:val="24"/>
              </w:rPr>
              <w:t>6.32 (NO DRV)</w:t>
            </w:r>
          </w:p>
        </w:tc>
        <w:tc>
          <w:tcPr>
            <w:tcW w:w="1983" w:type="dxa"/>
          </w:tcPr>
          <w:p w14:paraId="08BA9DA3" w14:textId="77777777" w:rsidR="008132A4" w:rsidRPr="00083A30" w:rsidRDefault="008132A4" w:rsidP="00330B87">
            <w:pPr>
              <w:spacing w:line="360" w:lineRule="auto"/>
              <w:jc w:val="center"/>
              <w:rPr>
                <w:sz w:val="24"/>
                <w:szCs w:val="24"/>
              </w:rPr>
            </w:pPr>
            <w:r w:rsidRPr="00083A30">
              <w:rPr>
                <w:sz w:val="24"/>
                <w:szCs w:val="24"/>
              </w:rPr>
              <w:t>7.97 (NO DRV)</w:t>
            </w:r>
          </w:p>
        </w:tc>
        <w:tc>
          <w:tcPr>
            <w:tcW w:w="2251" w:type="dxa"/>
          </w:tcPr>
          <w:p w14:paraId="7A3E2771" w14:textId="77777777" w:rsidR="008132A4" w:rsidRPr="00083A30" w:rsidRDefault="008132A4" w:rsidP="00330B87">
            <w:pPr>
              <w:spacing w:line="360" w:lineRule="auto"/>
              <w:jc w:val="center"/>
              <w:rPr>
                <w:sz w:val="24"/>
                <w:szCs w:val="24"/>
              </w:rPr>
            </w:pPr>
            <w:r w:rsidRPr="00083A30">
              <w:rPr>
                <w:sz w:val="24"/>
                <w:szCs w:val="24"/>
              </w:rPr>
              <w:t>6.31 (NO DRV)</w:t>
            </w:r>
          </w:p>
        </w:tc>
      </w:tr>
    </w:tbl>
    <w:p w14:paraId="59398D20" w14:textId="77777777" w:rsidR="008132A4" w:rsidRPr="00083A30" w:rsidRDefault="008132A4" w:rsidP="008132A4">
      <w:pPr>
        <w:spacing w:line="360" w:lineRule="auto"/>
        <w:jc w:val="both"/>
        <w:rPr>
          <w:rFonts w:ascii="Times New Roman" w:hAnsi="Times New Roman" w:cs="Times New Roman"/>
          <w:color w:val="000000"/>
          <w:sz w:val="24"/>
          <w:szCs w:val="24"/>
        </w:rPr>
      </w:pPr>
      <w:r w:rsidRPr="00083A30">
        <w:rPr>
          <w:rFonts w:ascii="Times New Roman" w:hAnsi="Times New Roman" w:cs="Times New Roman"/>
          <w:color w:val="000000"/>
          <w:sz w:val="24"/>
          <w:szCs w:val="24"/>
        </w:rPr>
        <w:t>%Reference nutrient intake is shown in brackets. *significant difference between groups using a Mann Whitney test p &lt; 0.05. Analysis includes nutritional supplements.</w:t>
      </w:r>
    </w:p>
    <w:p w14:paraId="0FE7EDFA" w14:textId="77777777" w:rsidR="008132A4" w:rsidRDefault="008132A4" w:rsidP="008132A4"/>
    <w:p w14:paraId="7143DBCA" w14:textId="77777777" w:rsidR="008132A4" w:rsidRDefault="008132A4" w:rsidP="00BC278D">
      <w:pPr>
        <w:spacing w:line="360" w:lineRule="auto"/>
        <w:jc w:val="both"/>
        <w:rPr>
          <w:rFonts w:ascii="Times New Roman" w:hAnsi="Times New Roman"/>
          <w:color w:val="000000" w:themeColor="text1"/>
          <w:sz w:val="24"/>
          <w:szCs w:val="24"/>
        </w:rPr>
      </w:pPr>
    </w:p>
    <w:p w14:paraId="1CFF4A2C" w14:textId="77777777" w:rsidR="008132A4" w:rsidRDefault="008132A4" w:rsidP="00BC278D">
      <w:pPr>
        <w:spacing w:line="360" w:lineRule="auto"/>
        <w:jc w:val="both"/>
        <w:rPr>
          <w:rFonts w:ascii="Times New Roman" w:hAnsi="Times New Roman"/>
          <w:color w:val="000000" w:themeColor="text1"/>
          <w:sz w:val="24"/>
          <w:szCs w:val="24"/>
        </w:rPr>
      </w:pPr>
    </w:p>
    <w:p w14:paraId="7CA9462D" w14:textId="6BACE362" w:rsidR="00B45C79" w:rsidRPr="00A43421" w:rsidRDefault="00B45C79" w:rsidP="00BC278D">
      <w:pPr>
        <w:spacing w:line="360" w:lineRule="auto"/>
        <w:jc w:val="both"/>
        <w:rPr>
          <w:rFonts w:ascii="Times New Roman" w:hAnsi="Times New Roman" w:cs="Times New Roman"/>
          <w:color w:val="000000" w:themeColor="text1"/>
          <w:sz w:val="24"/>
          <w:szCs w:val="24"/>
        </w:rPr>
      </w:pPr>
      <w:r w:rsidRPr="00A43421">
        <w:rPr>
          <w:rFonts w:ascii="Times New Roman" w:hAnsi="Times New Roman"/>
          <w:color w:val="000000" w:themeColor="text1"/>
          <w:sz w:val="24"/>
          <w:szCs w:val="24"/>
        </w:rPr>
        <w:t>Dietary supplements</w:t>
      </w:r>
      <w:bookmarkEnd w:id="18"/>
    </w:p>
    <w:p w14:paraId="04F621D7" w14:textId="77777777" w:rsidR="00B45C79" w:rsidRPr="00A43421" w:rsidRDefault="00B45C79" w:rsidP="00FA2BBA">
      <w:pPr>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 xml:space="preserve">In total 21 (20.7%) participants took dietary supplements, 7 (25%) from the CME group and 14 (19.2%) from the control group. Two of the CME group took calcium/vitamin D supplements, with the remainder taking multivitamin/mineral combinations. All 14 of the control group took multivitamin/mineral supplements. </w:t>
      </w:r>
    </w:p>
    <w:p w14:paraId="6B28E5EB" w14:textId="77777777" w:rsidR="004201B4" w:rsidRPr="00A43421" w:rsidRDefault="004201B4" w:rsidP="004201B4">
      <w:pPr>
        <w:pStyle w:val="Heading4"/>
        <w:rPr>
          <w:rFonts w:ascii="Times New Roman" w:hAnsi="Times New Roman"/>
          <w:color w:val="000000" w:themeColor="text1"/>
          <w:sz w:val="24"/>
          <w:szCs w:val="24"/>
        </w:rPr>
      </w:pPr>
      <w:bookmarkStart w:id="19" w:name="_Toc437506221"/>
      <w:r w:rsidRPr="00A43421">
        <w:rPr>
          <w:rFonts w:ascii="Times New Roman" w:hAnsi="Times New Roman"/>
          <w:color w:val="000000" w:themeColor="text1"/>
          <w:sz w:val="24"/>
          <w:szCs w:val="24"/>
        </w:rPr>
        <w:t>Food group intake</w:t>
      </w:r>
    </w:p>
    <w:p w14:paraId="114C1639" w14:textId="67D8A2CB" w:rsidR="004201B4" w:rsidRPr="00A43421" w:rsidRDefault="004201B4" w:rsidP="00B83B81">
      <w:pPr>
        <w:pStyle w:val="Heading4"/>
        <w:spacing w:line="360" w:lineRule="auto"/>
        <w:ind w:left="0" w:firstLine="0"/>
        <w:jc w:val="both"/>
        <w:rPr>
          <w:rFonts w:ascii="Times New Roman" w:hAnsi="Times New Roman"/>
          <w:color w:val="000000" w:themeColor="text1"/>
          <w:sz w:val="24"/>
          <w:szCs w:val="24"/>
        </w:rPr>
      </w:pPr>
      <w:r w:rsidRPr="00A43421">
        <w:rPr>
          <w:rFonts w:ascii="Times New Roman" w:hAnsi="Times New Roman"/>
          <w:color w:val="000000" w:themeColor="text1"/>
          <w:sz w:val="24"/>
          <w:szCs w:val="24"/>
        </w:rPr>
        <w:t>Intakes of</w:t>
      </w:r>
      <w:r w:rsidR="00017067" w:rsidRPr="00A43421">
        <w:rPr>
          <w:rFonts w:ascii="Times New Roman" w:hAnsi="Times New Roman"/>
          <w:color w:val="000000" w:themeColor="text1"/>
          <w:sz w:val="24"/>
          <w:szCs w:val="24"/>
        </w:rPr>
        <w:t xml:space="preserve"> selected </w:t>
      </w:r>
      <w:r w:rsidR="00304988" w:rsidRPr="00A43421">
        <w:rPr>
          <w:rFonts w:ascii="Times New Roman" w:hAnsi="Times New Roman"/>
          <w:color w:val="000000" w:themeColor="text1"/>
          <w:sz w:val="24"/>
          <w:szCs w:val="24"/>
        </w:rPr>
        <w:t>food groups are shown in table 3</w:t>
      </w:r>
      <w:r w:rsidRPr="00A43421">
        <w:rPr>
          <w:rFonts w:ascii="Times New Roman" w:hAnsi="Times New Roman"/>
          <w:color w:val="000000" w:themeColor="text1"/>
          <w:sz w:val="24"/>
          <w:szCs w:val="24"/>
        </w:rPr>
        <w:t xml:space="preserve">. Two participants in the CME </w:t>
      </w:r>
      <w:r w:rsidR="00017067" w:rsidRPr="00A43421">
        <w:rPr>
          <w:rFonts w:ascii="Times New Roman" w:hAnsi="Times New Roman"/>
          <w:color w:val="000000" w:themeColor="text1"/>
          <w:sz w:val="24"/>
          <w:szCs w:val="24"/>
        </w:rPr>
        <w:t xml:space="preserve">group consumed dairy substitutes </w:t>
      </w:r>
      <w:r w:rsidRPr="00A43421">
        <w:rPr>
          <w:rFonts w:ascii="Times New Roman" w:hAnsi="Times New Roman"/>
          <w:color w:val="000000" w:themeColor="text1"/>
          <w:sz w:val="24"/>
          <w:szCs w:val="24"/>
        </w:rPr>
        <w:t>(soya milk and yoghurt), in addition to dairy products. The CME group consumed significantly less dairy products and c</w:t>
      </w:r>
      <w:r w:rsidR="00FB2F0F" w:rsidRPr="00A43421">
        <w:rPr>
          <w:rFonts w:ascii="Times New Roman" w:hAnsi="Times New Roman"/>
          <w:color w:val="000000" w:themeColor="text1"/>
          <w:sz w:val="24"/>
          <w:szCs w:val="24"/>
        </w:rPr>
        <w:t>hocolate than the control group (p &lt; 0.01)</w:t>
      </w:r>
      <w:r w:rsidRPr="00A43421">
        <w:rPr>
          <w:rFonts w:ascii="Times New Roman" w:hAnsi="Times New Roman"/>
          <w:color w:val="000000" w:themeColor="text1"/>
          <w:sz w:val="24"/>
          <w:szCs w:val="24"/>
        </w:rPr>
        <w:t>, but significantly more dairy substitute products</w:t>
      </w:r>
      <w:r w:rsidR="00FB2F0F" w:rsidRPr="00A43421">
        <w:rPr>
          <w:rFonts w:ascii="Times New Roman" w:hAnsi="Times New Roman"/>
          <w:color w:val="000000" w:themeColor="text1"/>
          <w:sz w:val="24"/>
          <w:szCs w:val="24"/>
        </w:rPr>
        <w:t xml:space="preserve"> (p &lt; 0.05)</w:t>
      </w:r>
      <w:r w:rsidRPr="00A43421">
        <w:rPr>
          <w:rFonts w:ascii="Times New Roman" w:hAnsi="Times New Roman"/>
          <w:color w:val="000000" w:themeColor="text1"/>
          <w:sz w:val="24"/>
          <w:szCs w:val="24"/>
        </w:rPr>
        <w:t>. There was no difference in consumption of fruit, vegetables or non-</w:t>
      </w:r>
      <w:r w:rsidR="00FB2F0F" w:rsidRPr="00A43421">
        <w:rPr>
          <w:rFonts w:ascii="Times New Roman" w:hAnsi="Times New Roman"/>
          <w:color w:val="000000" w:themeColor="text1"/>
          <w:sz w:val="24"/>
          <w:szCs w:val="24"/>
        </w:rPr>
        <w:t>chocolate</w:t>
      </w:r>
      <w:r w:rsidRPr="00A43421">
        <w:rPr>
          <w:rFonts w:ascii="Times New Roman" w:hAnsi="Times New Roman"/>
          <w:color w:val="000000" w:themeColor="text1"/>
          <w:sz w:val="24"/>
          <w:szCs w:val="24"/>
        </w:rPr>
        <w:t xml:space="preserve"> confectionary between groups. Consumption of food groups was not associated with neophobia, infant feeding variables or any growth measure.</w:t>
      </w:r>
      <w:r w:rsidR="00FB2F0F" w:rsidRPr="00A43421">
        <w:rPr>
          <w:rFonts w:ascii="Times New Roman" w:hAnsi="Times New Roman"/>
          <w:color w:val="000000" w:themeColor="text1"/>
          <w:sz w:val="24"/>
          <w:szCs w:val="24"/>
        </w:rPr>
        <w:t xml:space="preserve"> There was an inverse correlation between bitter taste preference and dairy intake (rho = -0.382, p &lt; 0.01) and also between chocolate intake and sour taste preference (rho = -0.331, p &lt; 0.05).</w:t>
      </w:r>
    </w:p>
    <w:p w14:paraId="3775EE77" w14:textId="77777777" w:rsidR="008132A4" w:rsidRPr="00083A30" w:rsidRDefault="008132A4" w:rsidP="008132A4">
      <w:pPr>
        <w:rPr>
          <w:rFonts w:ascii="Times New Roman" w:hAnsi="Times New Roman" w:cs="Times New Roman"/>
          <w:sz w:val="24"/>
          <w:szCs w:val="24"/>
          <w:lang w:eastAsia="ja-JP"/>
        </w:rPr>
      </w:pPr>
      <w:r w:rsidRPr="00083A30">
        <w:rPr>
          <w:rFonts w:ascii="Times New Roman" w:hAnsi="Times New Roman" w:cs="Times New Roman"/>
          <w:sz w:val="24"/>
          <w:szCs w:val="24"/>
          <w:lang w:eastAsia="ja-JP"/>
        </w:rPr>
        <w:t>Table 3</w:t>
      </w:r>
      <w:r w:rsidRPr="00083A30">
        <w:rPr>
          <w:rFonts w:ascii="Times New Roman" w:hAnsi="Times New Roman" w:cs="Times New Roman"/>
          <w:sz w:val="24"/>
          <w:szCs w:val="24"/>
        </w:rPr>
        <w:t xml:space="preserve"> Consumption of selected food categories over a 4 day period.</w:t>
      </w:r>
    </w:p>
    <w:tbl>
      <w:tblPr>
        <w:tblStyle w:val="TableGrid"/>
        <w:tblW w:w="0" w:type="auto"/>
        <w:tblLook w:val="04A0" w:firstRow="1" w:lastRow="0" w:firstColumn="1" w:lastColumn="0" w:noHBand="0" w:noVBand="1"/>
      </w:tblPr>
      <w:tblGrid>
        <w:gridCol w:w="3114"/>
        <w:gridCol w:w="1701"/>
        <w:gridCol w:w="1417"/>
        <w:gridCol w:w="1560"/>
        <w:gridCol w:w="1224"/>
      </w:tblGrid>
      <w:tr w:rsidR="008132A4" w:rsidRPr="00083A30" w14:paraId="7D9613A7" w14:textId="77777777" w:rsidTr="00330B87">
        <w:tc>
          <w:tcPr>
            <w:tcW w:w="3114" w:type="dxa"/>
          </w:tcPr>
          <w:p w14:paraId="424A1376" w14:textId="77777777" w:rsidR="008132A4" w:rsidRPr="00083A30" w:rsidRDefault="008132A4" w:rsidP="00330B87">
            <w:pPr>
              <w:spacing w:line="360" w:lineRule="auto"/>
              <w:rPr>
                <w:rFonts w:ascii="Times New Roman" w:hAnsi="Times New Roman" w:cs="Times New Roman"/>
                <w:sz w:val="24"/>
                <w:szCs w:val="24"/>
              </w:rPr>
            </w:pPr>
          </w:p>
        </w:tc>
        <w:tc>
          <w:tcPr>
            <w:tcW w:w="1701" w:type="dxa"/>
          </w:tcPr>
          <w:p w14:paraId="2ED9739B"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All food diaries (</w:t>
            </w:r>
            <w:r w:rsidRPr="00083A30">
              <w:rPr>
                <w:rFonts w:ascii="Times New Roman" w:hAnsi="Times New Roman" w:cs="Times New Roman"/>
                <w:i/>
                <w:sz w:val="24"/>
                <w:szCs w:val="24"/>
              </w:rPr>
              <w:t xml:space="preserve">n </w:t>
            </w:r>
            <w:r w:rsidRPr="00083A30">
              <w:rPr>
                <w:rFonts w:ascii="Times New Roman" w:hAnsi="Times New Roman" w:cs="Times New Roman"/>
                <w:sz w:val="24"/>
                <w:szCs w:val="24"/>
              </w:rPr>
              <w:t>= 63)</w:t>
            </w:r>
          </w:p>
        </w:tc>
        <w:tc>
          <w:tcPr>
            <w:tcW w:w="1417" w:type="dxa"/>
          </w:tcPr>
          <w:p w14:paraId="6734BDB3"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CME group (</w:t>
            </w:r>
            <w:r w:rsidRPr="00083A30">
              <w:rPr>
                <w:rFonts w:ascii="Times New Roman" w:hAnsi="Times New Roman" w:cs="Times New Roman"/>
                <w:i/>
                <w:sz w:val="24"/>
                <w:szCs w:val="24"/>
              </w:rPr>
              <w:t>n</w:t>
            </w:r>
            <w:r w:rsidRPr="00083A30">
              <w:rPr>
                <w:rFonts w:ascii="Times New Roman" w:hAnsi="Times New Roman" w:cs="Times New Roman"/>
                <w:sz w:val="24"/>
                <w:szCs w:val="24"/>
              </w:rPr>
              <w:t xml:space="preserve"> = 16)</w:t>
            </w:r>
          </w:p>
        </w:tc>
        <w:tc>
          <w:tcPr>
            <w:tcW w:w="1560" w:type="dxa"/>
          </w:tcPr>
          <w:p w14:paraId="6D5E654D"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Control group (</w:t>
            </w:r>
            <w:r w:rsidRPr="00083A30">
              <w:rPr>
                <w:rFonts w:ascii="Times New Roman" w:hAnsi="Times New Roman" w:cs="Times New Roman"/>
                <w:i/>
                <w:sz w:val="24"/>
                <w:szCs w:val="24"/>
              </w:rPr>
              <w:t>n</w:t>
            </w:r>
            <w:r w:rsidRPr="00083A30">
              <w:rPr>
                <w:rFonts w:ascii="Times New Roman" w:hAnsi="Times New Roman" w:cs="Times New Roman"/>
                <w:sz w:val="24"/>
                <w:szCs w:val="24"/>
              </w:rPr>
              <w:t xml:space="preserve"> = 47)</w:t>
            </w:r>
          </w:p>
        </w:tc>
        <w:tc>
          <w:tcPr>
            <w:tcW w:w="1224" w:type="dxa"/>
          </w:tcPr>
          <w:p w14:paraId="59611CAE"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p value</w:t>
            </w:r>
          </w:p>
        </w:tc>
      </w:tr>
      <w:tr w:rsidR="008132A4" w:rsidRPr="00083A30" w14:paraId="523C9C49" w14:textId="77777777" w:rsidTr="00330B87">
        <w:tc>
          <w:tcPr>
            <w:tcW w:w="3114" w:type="dxa"/>
          </w:tcPr>
          <w:p w14:paraId="017CE2B6" w14:textId="77777777" w:rsidR="008132A4" w:rsidRPr="00083A30" w:rsidRDefault="008132A4" w:rsidP="00330B87">
            <w:pPr>
              <w:spacing w:line="360" w:lineRule="auto"/>
              <w:rPr>
                <w:rFonts w:ascii="Times New Roman" w:hAnsi="Times New Roman" w:cs="Times New Roman"/>
                <w:sz w:val="24"/>
                <w:szCs w:val="24"/>
              </w:rPr>
            </w:pPr>
            <w:r w:rsidRPr="00083A30">
              <w:rPr>
                <w:rFonts w:ascii="Times New Roman" w:hAnsi="Times New Roman" w:cs="Times New Roman"/>
                <w:sz w:val="24"/>
                <w:szCs w:val="24"/>
              </w:rPr>
              <w:t>Dairy products</w:t>
            </w:r>
          </w:p>
        </w:tc>
        <w:tc>
          <w:tcPr>
            <w:tcW w:w="1701" w:type="dxa"/>
          </w:tcPr>
          <w:p w14:paraId="2F12091B"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6 (0-15)</w:t>
            </w:r>
          </w:p>
        </w:tc>
        <w:tc>
          <w:tcPr>
            <w:tcW w:w="1417" w:type="dxa"/>
          </w:tcPr>
          <w:p w14:paraId="61F411FF"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3 (0-11)</w:t>
            </w:r>
          </w:p>
        </w:tc>
        <w:tc>
          <w:tcPr>
            <w:tcW w:w="1560" w:type="dxa"/>
          </w:tcPr>
          <w:p w14:paraId="6B634A06"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7 (0-15)</w:t>
            </w:r>
          </w:p>
        </w:tc>
        <w:tc>
          <w:tcPr>
            <w:tcW w:w="1224" w:type="dxa"/>
          </w:tcPr>
          <w:p w14:paraId="5B1BBD5E"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0.000*</w:t>
            </w:r>
          </w:p>
        </w:tc>
      </w:tr>
      <w:tr w:rsidR="008132A4" w:rsidRPr="00083A30" w14:paraId="3259DFF4" w14:textId="77777777" w:rsidTr="00330B87">
        <w:tc>
          <w:tcPr>
            <w:tcW w:w="3114" w:type="dxa"/>
          </w:tcPr>
          <w:p w14:paraId="7A446DE3" w14:textId="77777777" w:rsidR="008132A4" w:rsidRPr="00083A30" w:rsidRDefault="008132A4" w:rsidP="00330B87">
            <w:pPr>
              <w:spacing w:line="360" w:lineRule="auto"/>
              <w:rPr>
                <w:rFonts w:ascii="Times New Roman" w:hAnsi="Times New Roman" w:cs="Times New Roman"/>
                <w:sz w:val="24"/>
                <w:szCs w:val="24"/>
              </w:rPr>
            </w:pPr>
            <w:r w:rsidRPr="00083A30">
              <w:rPr>
                <w:rFonts w:ascii="Times New Roman" w:hAnsi="Times New Roman" w:cs="Times New Roman"/>
                <w:sz w:val="24"/>
                <w:szCs w:val="24"/>
              </w:rPr>
              <w:t>Dairy substitute products</w:t>
            </w:r>
          </w:p>
        </w:tc>
        <w:tc>
          <w:tcPr>
            <w:tcW w:w="1701" w:type="dxa"/>
          </w:tcPr>
          <w:p w14:paraId="2E38A7B5"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0 (0-8)</w:t>
            </w:r>
          </w:p>
        </w:tc>
        <w:tc>
          <w:tcPr>
            <w:tcW w:w="1417" w:type="dxa"/>
          </w:tcPr>
          <w:p w14:paraId="4E86A98A"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0 (0-8)</w:t>
            </w:r>
          </w:p>
        </w:tc>
        <w:tc>
          <w:tcPr>
            <w:tcW w:w="1560" w:type="dxa"/>
          </w:tcPr>
          <w:p w14:paraId="1F22E45B"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0 (0-0)</w:t>
            </w:r>
          </w:p>
        </w:tc>
        <w:tc>
          <w:tcPr>
            <w:tcW w:w="1224" w:type="dxa"/>
          </w:tcPr>
          <w:p w14:paraId="189F4D01"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0.015*</w:t>
            </w:r>
          </w:p>
        </w:tc>
      </w:tr>
      <w:tr w:rsidR="008132A4" w:rsidRPr="00083A30" w14:paraId="12C9AA46" w14:textId="77777777" w:rsidTr="00330B87">
        <w:tc>
          <w:tcPr>
            <w:tcW w:w="3114" w:type="dxa"/>
          </w:tcPr>
          <w:p w14:paraId="3CF15D25" w14:textId="77777777" w:rsidR="008132A4" w:rsidRPr="00083A30" w:rsidRDefault="008132A4" w:rsidP="00330B87">
            <w:pPr>
              <w:spacing w:line="360" w:lineRule="auto"/>
              <w:rPr>
                <w:rFonts w:ascii="Times New Roman" w:hAnsi="Times New Roman" w:cs="Times New Roman"/>
                <w:sz w:val="24"/>
                <w:szCs w:val="24"/>
              </w:rPr>
            </w:pPr>
            <w:r w:rsidRPr="00083A30">
              <w:rPr>
                <w:rFonts w:ascii="Times New Roman" w:hAnsi="Times New Roman" w:cs="Times New Roman"/>
                <w:sz w:val="24"/>
                <w:szCs w:val="24"/>
              </w:rPr>
              <w:t>Fruit</w:t>
            </w:r>
          </w:p>
        </w:tc>
        <w:tc>
          <w:tcPr>
            <w:tcW w:w="1701" w:type="dxa"/>
          </w:tcPr>
          <w:p w14:paraId="128F358D"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5 (0-17)</w:t>
            </w:r>
          </w:p>
        </w:tc>
        <w:tc>
          <w:tcPr>
            <w:tcW w:w="1417" w:type="dxa"/>
          </w:tcPr>
          <w:p w14:paraId="1B062549"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6 (0-11)</w:t>
            </w:r>
          </w:p>
        </w:tc>
        <w:tc>
          <w:tcPr>
            <w:tcW w:w="1560" w:type="dxa"/>
          </w:tcPr>
          <w:p w14:paraId="55D12ACC"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5 (0-17)</w:t>
            </w:r>
          </w:p>
        </w:tc>
        <w:tc>
          <w:tcPr>
            <w:tcW w:w="1224" w:type="dxa"/>
          </w:tcPr>
          <w:p w14:paraId="5463C6AC"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0.697</w:t>
            </w:r>
          </w:p>
        </w:tc>
      </w:tr>
      <w:tr w:rsidR="008132A4" w:rsidRPr="00083A30" w14:paraId="2F80580A" w14:textId="77777777" w:rsidTr="00330B87">
        <w:tc>
          <w:tcPr>
            <w:tcW w:w="3114" w:type="dxa"/>
          </w:tcPr>
          <w:p w14:paraId="5D960796" w14:textId="77777777" w:rsidR="008132A4" w:rsidRPr="00083A30" w:rsidRDefault="008132A4" w:rsidP="00330B87">
            <w:pPr>
              <w:spacing w:line="360" w:lineRule="auto"/>
              <w:rPr>
                <w:rFonts w:ascii="Times New Roman" w:hAnsi="Times New Roman" w:cs="Times New Roman"/>
                <w:sz w:val="24"/>
                <w:szCs w:val="24"/>
              </w:rPr>
            </w:pPr>
            <w:r w:rsidRPr="00083A30">
              <w:rPr>
                <w:rFonts w:ascii="Times New Roman" w:hAnsi="Times New Roman" w:cs="Times New Roman"/>
                <w:sz w:val="24"/>
                <w:szCs w:val="24"/>
              </w:rPr>
              <w:t>Vegetables</w:t>
            </w:r>
          </w:p>
        </w:tc>
        <w:tc>
          <w:tcPr>
            <w:tcW w:w="1701" w:type="dxa"/>
          </w:tcPr>
          <w:p w14:paraId="5FADDC42"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6 (0-15)</w:t>
            </w:r>
          </w:p>
        </w:tc>
        <w:tc>
          <w:tcPr>
            <w:tcW w:w="1417" w:type="dxa"/>
          </w:tcPr>
          <w:p w14:paraId="2BE7B6DB"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6 (0-15)</w:t>
            </w:r>
          </w:p>
        </w:tc>
        <w:tc>
          <w:tcPr>
            <w:tcW w:w="1560" w:type="dxa"/>
          </w:tcPr>
          <w:p w14:paraId="735EB218"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6 (0-10)</w:t>
            </w:r>
          </w:p>
        </w:tc>
        <w:tc>
          <w:tcPr>
            <w:tcW w:w="1224" w:type="dxa"/>
          </w:tcPr>
          <w:p w14:paraId="12E327F3"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0.956</w:t>
            </w:r>
          </w:p>
        </w:tc>
      </w:tr>
      <w:tr w:rsidR="008132A4" w:rsidRPr="00083A30" w14:paraId="3745129A" w14:textId="77777777" w:rsidTr="00330B87">
        <w:tc>
          <w:tcPr>
            <w:tcW w:w="3114" w:type="dxa"/>
          </w:tcPr>
          <w:p w14:paraId="69BE4B67" w14:textId="77777777" w:rsidR="008132A4" w:rsidRPr="00083A30" w:rsidRDefault="008132A4" w:rsidP="00330B87">
            <w:pPr>
              <w:spacing w:line="360" w:lineRule="auto"/>
              <w:rPr>
                <w:rFonts w:ascii="Times New Roman" w:hAnsi="Times New Roman" w:cs="Times New Roman"/>
                <w:sz w:val="24"/>
                <w:szCs w:val="24"/>
              </w:rPr>
            </w:pPr>
            <w:r w:rsidRPr="00083A30">
              <w:rPr>
                <w:rFonts w:ascii="Times New Roman" w:hAnsi="Times New Roman" w:cs="Times New Roman"/>
                <w:sz w:val="24"/>
                <w:szCs w:val="24"/>
              </w:rPr>
              <w:t>Chocolate</w:t>
            </w:r>
          </w:p>
        </w:tc>
        <w:tc>
          <w:tcPr>
            <w:tcW w:w="1701" w:type="dxa"/>
          </w:tcPr>
          <w:p w14:paraId="445F8B1B"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2 (0-7)</w:t>
            </w:r>
          </w:p>
        </w:tc>
        <w:tc>
          <w:tcPr>
            <w:tcW w:w="1417" w:type="dxa"/>
          </w:tcPr>
          <w:p w14:paraId="206858BC"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0.5 (0-6)</w:t>
            </w:r>
          </w:p>
        </w:tc>
        <w:tc>
          <w:tcPr>
            <w:tcW w:w="1560" w:type="dxa"/>
          </w:tcPr>
          <w:p w14:paraId="5E20FA8A"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3 (0-7)</w:t>
            </w:r>
          </w:p>
        </w:tc>
        <w:tc>
          <w:tcPr>
            <w:tcW w:w="1224" w:type="dxa"/>
          </w:tcPr>
          <w:p w14:paraId="32385C98"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0.008*</w:t>
            </w:r>
          </w:p>
        </w:tc>
      </w:tr>
      <w:tr w:rsidR="008132A4" w:rsidRPr="00083A30" w14:paraId="00445A59" w14:textId="77777777" w:rsidTr="00330B87">
        <w:tc>
          <w:tcPr>
            <w:tcW w:w="3114" w:type="dxa"/>
          </w:tcPr>
          <w:p w14:paraId="6FE7808C" w14:textId="77777777" w:rsidR="008132A4" w:rsidRPr="00083A30" w:rsidRDefault="008132A4" w:rsidP="00330B87">
            <w:pPr>
              <w:spacing w:line="360" w:lineRule="auto"/>
              <w:rPr>
                <w:rFonts w:ascii="Times New Roman" w:hAnsi="Times New Roman" w:cs="Times New Roman"/>
                <w:sz w:val="24"/>
                <w:szCs w:val="24"/>
              </w:rPr>
            </w:pPr>
            <w:r w:rsidRPr="00083A30">
              <w:rPr>
                <w:rFonts w:ascii="Times New Roman" w:hAnsi="Times New Roman" w:cs="Times New Roman"/>
                <w:sz w:val="24"/>
                <w:szCs w:val="24"/>
              </w:rPr>
              <w:t>Non-chocolate confectionary</w:t>
            </w:r>
          </w:p>
        </w:tc>
        <w:tc>
          <w:tcPr>
            <w:tcW w:w="1701" w:type="dxa"/>
          </w:tcPr>
          <w:p w14:paraId="1F3B7C90"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3 (0-6)</w:t>
            </w:r>
          </w:p>
        </w:tc>
        <w:tc>
          <w:tcPr>
            <w:tcW w:w="1417" w:type="dxa"/>
          </w:tcPr>
          <w:p w14:paraId="482663F9"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4 (0-6)</w:t>
            </w:r>
          </w:p>
        </w:tc>
        <w:tc>
          <w:tcPr>
            <w:tcW w:w="1560" w:type="dxa"/>
          </w:tcPr>
          <w:p w14:paraId="03D62220"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3 (0-6)</w:t>
            </w:r>
          </w:p>
        </w:tc>
        <w:tc>
          <w:tcPr>
            <w:tcW w:w="1224" w:type="dxa"/>
          </w:tcPr>
          <w:p w14:paraId="48E7D0DC"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0.425</w:t>
            </w:r>
          </w:p>
        </w:tc>
      </w:tr>
    </w:tbl>
    <w:p w14:paraId="594AB450" w14:textId="77777777" w:rsidR="008132A4" w:rsidRPr="00083A30" w:rsidRDefault="008132A4" w:rsidP="008132A4">
      <w:pPr>
        <w:autoSpaceDE w:val="0"/>
        <w:autoSpaceDN w:val="0"/>
        <w:adjustRightInd w:val="0"/>
        <w:spacing w:after="0" w:line="360" w:lineRule="auto"/>
        <w:rPr>
          <w:rFonts w:ascii="Times New Roman" w:hAnsi="Times New Roman" w:cs="Times New Roman"/>
          <w:sz w:val="24"/>
          <w:szCs w:val="24"/>
        </w:rPr>
      </w:pPr>
      <w:r w:rsidRPr="00083A30">
        <w:rPr>
          <w:rFonts w:ascii="Times New Roman" w:hAnsi="Times New Roman" w:cs="Times New Roman"/>
          <w:sz w:val="24"/>
          <w:szCs w:val="24"/>
        </w:rPr>
        <w:t>Median number of portions consumed. Minimum-maximum values in brackets.*Mann Whitney test p value significant &lt; 0.05.</w:t>
      </w:r>
    </w:p>
    <w:p w14:paraId="21F452CF" w14:textId="77777777" w:rsidR="008132A4" w:rsidRDefault="008132A4" w:rsidP="008132A4"/>
    <w:p w14:paraId="717CE163" w14:textId="5D999AD7" w:rsidR="00B45C79" w:rsidRPr="00A43421" w:rsidRDefault="00B45C79" w:rsidP="004201B4">
      <w:pPr>
        <w:pStyle w:val="Heading4"/>
        <w:rPr>
          <w:rFonts w:ascii="Times New Roman" w:hAnsi="Times New Roman"/>
          <w:color w:val="000000" w:themeColor="text1"/>
          <w:sz w:val="24"/>
          <w:szCs w:val="24"/>
        </w:rPr>
      </w:pPr>
      <w:r w:rsidRPr="00A43421">
        <w:rPr>
          <w:rFonts w:ascii="Times New Roman" w:hAnsi="Times New Roman"/>
          <w:color w:val="000000" w:themeColor="text1"/>
          <w:sz w:val="24"/>
          <w:szCs w:val="24"/>
        </w:rPr>
        <w:t xml:space="preserve">Growth </w:t>
      </w:r>
      <w:bookmarkEnd w:id="19"/>
    </w:p>
    <w:p w14:paraId="5EDF7A37" w14:textId="4D5C091D" w:rsidR="00B45C79" w:rsidRPr="00A43421" w:rsidRDefault="00BE67B4" w:rsidP="004A24F4">
      <w:pPr>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Anthropometric measurements</w:t>
      </w:r>
      <w:r w:rsidR="00530EA7" w:rsidRPr="00A43421">
        <w:rPr>
          <w:rFonts w:ascii="Times New Roman" w:hAnsi="Times New Roman" w:cs="Times New Roman"/>
          <w:color w:val="000000" w:themeColor="text1"/>
          <w:sz w:val="24"/>
          <w:szCs w:val="24"/>
        </w:rPr>
        <w:t xml:space="preserve"> are shown in t</w:t>
      </w:r>
      <w:r w:rsidR="00B45C79" w:rsidRPr="00A43421">
        <w:rPr>
          <w:rFonts w:ascii="Times New Roman" w:hAnsi="Times New Roman" w:cs="Times New Roman"/>
          <w:color w:val="000000" w:themeColor="text1"/>
          <w:sz w:val="24"/>
          <w:szCs w:val="24"/>
        </w:rPr>
        <w:t>able</w:t>
      </w:r>
      <w:r w:rsidR="00034820" w:rsidRPr="00A43421">
        <w:rPr>
          <w:rFonts w:ascii="Times New Roman" w:hAnsi="Times New Roman" w:cs="Times New Roman"/>
          <w:color w:val="000000" w:themeColor="text1"/>
          <w:sz w:val="24"/>
          <w:szCs w:val="24"/>
        </w:rPr>
        <w:t xml:space="preserve"> 4</w:t>
      </w:r>
      <w:r w:rsidR="00B45C79" w:rsidRPr="00A43421">
        <w:rPr>
          <w:rFonts w:ascii="Times New Roman" w:hAnsi="Times New Roman" w:cs="Times New Roman"/>
          <w:color w:val="000000" w:themeColor="text1"/>
          <w:sz w:val="24"/>
          <w:szCs w:val="24"/>
        </w:rPr>
        <w:t>.</w:t>
      </w:r>
      <w:r w:rsidR="00842D3F" w:rsidRPr="00A43421">
        <w:rPr>
          <w:rFonts w:ascii="Times New Roman" w:hAnsi="Times New Roman" w:cs="Times New Roman"/>
          <w:color w:val="000000" w:themeColor="text1"/>
          <w:sz w:val="24"/>
          <w:szCs w:val="24"/>
        </w:rPr>
        <w:t xml:space="preserve"> There was no difference between dietary exclusion groups for any of the measurements.</w:t>
      </w:r>
      <w:r w:rsidR="00B45C79" w:rsidRPr="00A43421">
        <w:rPr>
          <w:rFonts w:ascii="Times New Roman" w:hAnsi="Times New Roman" w:cs="Times New Roman"/>
          <w:color w:val="000000" w:themeColor="text1"/>
          <w:sz w:val="24"/>
          <w:szCs w:val="24"/>
        </w:rPr>
        <w:t xml:space="preserve"> Overall participants had very high waist circumference centiles</w:t>
      </w:r>
      <w:r w:rsidR="00B02029" w:rsidRPr="00A43421">
        <w:rPr>
          <w:rFonts w:ascii="Times New Roman" w:hAnsi="Times New Roman" w:cs="Times New Roman"/>
          <w:color w:val="000000" w:themeColor="text1"/>
          <w:sz w:val="24"/>
          <w:szCs w:val="24"/>
        </w:rPr>
        <w:t xml:space="preserve"> (median of 98.8%). </w:t>
      </w:r>
      <w:r w:rsidR="00017067" w:rsidRPr="00A43421">
        <w:rPr>
          <w:rFonts w:ascii="Times New Roman" w:hAnsi="Times New Roman" w:cs="Times New Roman"/>
          <w:color w:val="000000" w:themeColor="text1"/>
          <w:sz w:val="24"/>
          <w:szCs w:val="24"/>
        </w:rPr>
        <w:t>Twenty</w:t>
      </w:r>
      <w:r w:rsidR="00B45C79" w:rsidRPr="00A43421">
        <w:rPr>
          <w:rFonts w:ascii="Times New Roman" w:hAnsi="Times New Roman" w:cs="Times New Roman"/>
          <w:color w:val="000000" w:themeColor="text1"/>
          <w:sz w:val="24"/>
          <w:szCs w:val="24"/>
        </w:rPr>
        <w:t xml:space="preserve"> participants </w:t>
      </w:r>
      <w:r w:rsidR="00017067" w:rsidRPr="00A43421">
        <w:rPr>
          <w:rFonts w:ascii="Times New Roman" w:hAnsi="Times New Roman" w:cs="Times New Roman"/>
          <w:color w:val="000000" w:themeColor="text1"/>
          <w:sz w:val="24"/>
          <w:szCs w:val="24"/>
        </w:rPr>
        <w:t>were</w:t>
      </w:r>
      <w:r w:rsidR="00B45C79" w:rsidRPr="00A43421">
        <w:rPr>
          <w:rFonts w:ascii="Times New Roman" w:hAnsi="Times New Roman" w:cs="Times New Roman"/>
          <w:color w:val="000000" w:themeColor="text1"/>
          <w:sz w:val="24"/>
          <w:szCs w:val="24"/>
        </w:rPr>
        <w:t xml:space="preserve"> classified as overweight or obese, with no difference observed for age, gender, number of siblings or parental education. There was no difference between healthy weight and overweight/obese children for food neophobia, nutritional intake or taste preference. Comparing dietary exclusion groups, </w:t>
      </w:r>
      <w:r w:rsidR="00842D3F" w:rsidRPr="00A43421">
        <w:rPr>
          <w:rFonts w:ascii="Times New Roman" w:hAnsi="Times New Roman" w:cs="Times New Roman"/>
          <w:color w:val="000000" w:themeColor="text1"/>
          <w:sz w:val="24"/>
          <w:szCs w:val="24"/>
        </w:rPr>
        <w:t>28.6%</w:t>
      </w:r>
      <w:r w:rsidR="00103831" w:rsidRPr="00A43421">
        <w:rPr>
          <w:rFonts w:ascii="Times New Roman" w:hAnsi="Times New Roman" w:cs="Times New Roman"/>
          <w:color w:val="000000" w:themeColor="text1"/>
          <w:sz w:val="24"/>
          <w:szCs w:val="24"/>
        </w:rPr>
        <w:t xml:space="preserve"> (n = 8)</w:t>
      </w:r>
      <w:r w:rsidR="00842D3F" w:rsidRPr="00A43421">
        <w:rPr>
          <w:rFonts w:ascii="Times New Roman" w:hAnsi="Times New Roman" w:cs="Times New Roman"/>
          <w:color w:val="000000" w:themeColor="text1"/>
          <w:sz w:val="24"/>
          <w:szCs w:val="24"/>
        </w:rPr>
        <w:t xml:space="preserve"> </w:t>
      </w:r>
      <w:r w:rsidR="0082693A" w:rsidRPr="00A43421">
        <w:rPr>
          <w:rFonts w:ascii="Times New Roman" w:hAnsi="Times New Roman" w:cs="Times New Roman"/>
          <w:color w:val="000000" w:themeColor="text1"/>
          <w:sz w:val="24"/>
          <w:szCs w:val="24"/>
        </w:rPr>
        <w:t xml:space="preserve">of the </w:t>
      </w:r>
      <w:r w:rsidR="00B45C79" w:rsidRPr="00A43421">
        <w:rPr>
          <w:rFonts w:ascii="Times New Roman" w:hAnsi="Times New Roman" w:cs="Times New Roman"/>
          <w:color w:val="000000" w:themeColor="text1"/>
          <w:sz w:val="24"/>
          <w:szCs w:val="24"/>
        </w:rPr>
        <w:t xml:space="preserve">CME group </w:t>
      </w:r>
      <w:r w:rsidR="00B02029" w:rsidRPr="00A43421">
        <w:rPr>
          <w:rFonts w:ascii="Times New Roman" w:hAnsi="Times New Roman" w:cs="Times New Roman"/>
          <w:color w:val="000000" w:themeColor="text1"/>
          <w:sz w:val="24"/>
          <w:szCs w:val="24"/>
        </w:rPr>
        <w:t>compared to</w:t>
      </w:r>
      <w:r w:rsidR="00B45C79" w:rsidRPr="00A43421">
        <w:rPr>
          <w:rFonts w:ascii="Times New Roman" w:hAnsi="Times New Roman" w:cs="Times New Roman"/>
          <w:color w:val="000000" w:themeColor="text1"/>
          <w:sz w:val="24"/>
          <w:szCs w:val="24"/>
        </w:rPr>
        <w:t xml:space="preserve"> </w:t>
      </w:r>
      <w:r w:rsidR="00842D3F" w:rsidRPr="00A43421">
        <w:rPr>
          <w:rFonts w:ascii="Times New Roman" w:hAnsi="Times New Roman" w:cs="Times New Roman"/>
          <w:color w:val="000000" w:themeColor="text1"/>
          <w:sz w:val="24"/>
          <w:szCs w:val="24"/>
        </w:rPr>
        <w:t>15</w:t>
      </w:r>
      <w:r w:rsidR="0082693A" w:rsidRPr="00A43421">
        <w:rPr>
          <w:rFonts w:ascii="Times New Roman" w:hAnsi="Times New Roman" w:cs="Times New Roman"/>
          <w:color w:val="000000" w:themeColor="text1"/>
          <w:sz w:val="24"/>
          <w:szCs w:val="24"/>
        </w:rPr>
        <w:t xml:space="preserve">% </w:t>
      </w:r>
      <w:r w:rsidR="00103831" w:rsidRPr="00A43421">
        <w:rPr>
          <w:rFonts w:ascii="Times New Roman" w:hAnsi="Times New Roman" w:cs="Times New Roman"/>
          <w:color w:val="000000" w:themeColor="text1"/>
          <w:sz w:val="24"/>
          <w:szCs w:val="24"/>
        </w:rPr>
        <w:t xml:space="preserve">(n = 11) </w:t>
      </w:r>
      <w:r w:rsidR="0082693A" w:rsidRPr="00A43421">
        <w:rPr>
          <w:rFonts w:ascii="Times New Roman" w:hAnsi="Times New Roman" w:cs="Times New Roman"/>
          <w:color w:val="000000" w:themeColor="text1"/>
          <w:sz w:val="24"/>
          <w:szCs w:val="24"/>
        </w:rPr>
        <w:t xml:space="preserve">of the </w:t>
      </w:r>
      <w:r w:rsidR="00B45C79" w:rsidRPr="00A43421">
        <w:rPr>
          <w:rFonts w:ascii="Times New Roman" w:hAnsi="Times New Roman" w:cs="Times New Roman"/>
          <w:color w:val="000000" w:themeColor="text1"/>
          <w:sz w:val="24"/>
          <w:szCs w:val="24"/>
        </w:rPr>
        <w:t xml:space="preserve">control group were </w:t>
      </w:r>
      <w:r w:rsidR="00842D3F" w:rsidRPr="00A43421">
        <w:rPr>
          <w:rFonts w:ascii="Times New Roman" w:hAnsi="Times New Roman" w:cs="Times New Roman"/>
          <w:color w:val="000000" w:themeColor="text1"/>
          <w:sz w:val="24"/>
          <w:szCs w:val="24"/>
        </w:rPr>
        <w:t xml:space="preserve">classified as overweight/obese, however this </w:t>
      </w:r>
      <w:r w:rsidR="00B9480D" w:rsidRPr="00A43421">
        <w:rPr>
          <w:rFonts w:ascii="Times New Roman" w:hAnsi="Times New Roman" w:cs="Times New Roman"/>
          <w:color w:val="000000" w:themeColor="text1"/>
          <w:sz w:val="24"/>
          <w:szCs w:val="24"/>
        </w:rPr>
        <w:t>difference wa</w:t>
      </w:r>
      <w:r w:rsidR="00B45C79" w:rsidRPr="00A43421">
        <w:rPr>
          <w:rFonts w:ascii="Times New Roman" w:hAnsi="Times New Roman" w:cs="Times New Roman"/>
          <w:color w:val="000000" w:themeColor="text1"/>
          <w:sz w:val="24"/>
          <w:szCs w:val="24"/>
        </w:rPr>
        <w:t xml:space="preserve">s not statistically significant. </w:t>
      </w:r>
    </w:p>
    <w:p w14:paraId="4BF61E17" w14:textId="77777777" w:rsidR="008132A4" w:rsidRPr="00083A30" w:rsidRDefault="008132A4" w:rsidP="008132A4">
      <w:pPr>
        <w:pStyle w:val="Caption"/>
        <w:ind w:left="0"/>
        <w:rPr>
          <w:rFonts w:ascii="Times New Roman" w:hAnsi="Times New Roman" w:cs="Times New Roman"/>
          <w:color w:val="000000"/>
          <w:sz w:val="24"/>
          <w:szCs w:val="24"/>
        </w:rPr>
      </w:pPr>
      <w:bookmarkStart w:id="20" w:name="_Toc301615632"/>
      <w:bookmarkStart w:id="21" w:name="_Toc301621815"/>
      <w:bookmarkStart w:id="22" w:name="_Toc301768491"/>
      <w:bookmarkStart w:id="23" w:name="_Toc304118786"/>
      <w:r w:rsidRPr="00083A30">
        <w:rPr>
          <w:rFonts w:ascii="Times New Roman" w:hAnsi="Times New Roman" w:cs="Times New Roman"/>
          <w:sz w:val="24"/>
          <w:szCs w:val="24"/>
        </w:rPr>
        <w:t>Table 4 Anthropometric measurements of participants</w:t>
      </w:r>
    </w:p>
    <w:tbl>
      <w:tblPr>
        <w:tblStyle w:val="TableGrid"/>
        <w:tblW w:w="9776" w:type="dxa"/>
        <w:tblLook w:val="04A0" w:firstRow="1" w:lastRow="0" w:firstColumn="1" w:lastColumn="0" w:noHBand="0" w:noVBand="1"/>
      </w:tblPr>
      <w:tblGrid>
        <w:gridCol w:w="2263"/>
        <w:gridCol w:w="2552"/>
        <w:gridCol w:w="2410"/>
        <w:gridCol w:w="2551"/>
      </w:tblGrid>
      <w:tr w:rsidR="008132A4" w:rsidRPr="00083A30" w14:paraId="4164ED32" w14:textId="77777777" w:rsidTr="00330B87">
        <w:tc>
          <w:tcPr>
            <w:tcW w:w="2263" w:type="dxa"/>
          </w:tcPr>
          <w:p w14:paraId="3BED22E9" w14:textId="77777777" w:rsidR="008132A4" w:rsidRPr="00083A30" w:rsidRDefault="008132A4" w:rsidP="00330B87">
            <w:pPr>
              <w:spacing w:line="360" w:lineRule="auto"/>
              <w:rPr>
                <w:rFonts w:ascii="Times New Roman" w:hAnsi="Times New Roman" w:cs="Times New Roman"/>
                <w:sz w:val="24"/>
                <w:szCs w:val="24"/>
              </w:rPr>
            </w:pPr>
          </w:p>
        </w:tc>
        <w:tc>
          <w:tcPr>
            <w:tcW w:w="2552" w:type="dxa"/>
          </w:tcPr>
          <w:p w14:paraId="13611439"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 xml:space="preserve">All </w:t>
            </w:r>
          </w:p>
          <w:p w14:paraId="0E517E71"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w:t>
            </w:r>
            <w:r w:rsidRPr="00083A30">
              <w:rPr>
                <w:rFonts w:ascii="Times New Roman" w:hAnsi="Times New Roman" w:cs="Times New Roman"/>
                <w:i/>
                <w:sz w:val="24"/>
                <w:szCs w:val="24"/>
              </w:rPr>
              <w:t>N</w:t>
            </w:r>
            <w:r w:rsidRPr="00083A30">
              <w:rPr>
                <w:rFonts w:ascii="Times New Roman" w:hAnsi="Times New Roman" w:cs="Times New Roman"/>
                <w:sz w:val="24"/>
                <w:szCs w:val="24"/>
              </w:rPr>
              <w:t xml:space="preserve"> = 101)</w:t>
            </w:r>
          </w:p>
        </w:tc>
        <w:tc>
          <w:tcPr>
            <w:tcW w:w="2410" w:type="dxa"/>
          </w:tcPr>
          <w:p w14:paraId="676C5D36" w14:textId="77777777" w:rsidR="008132A4" w:rsidRPr="00083A30" w:rsidRDefault="008132A4" w:rsidP="00330B87">
            <w:pPr>
              <w:widowControl w:val="0"/>
              <w:autoSpaceDE w:val="0"/>
              <w:autoSpaceDN w:val="0"/>
              <w:adjustRightInd w:val="0"/>
              <w:spacing w:line="360" w:lineRule="auto"/>
              <w:ind w:left="60" w:right="60"/>
              <w:jc w:val="center"/>
              <w:rPr>
                <w:rFonts w:ascii="Times New Roman" w:hAnsi="Times New Roman" w:cs="Times New Roman"/>
                <w:bCs/>
                <w:color w:val="000000"/>
                <w:sz w:val="24"/>
                <w:szCs w:val="24"/>
                <w:lang w:val="en-US" w:eastAsia="en-GB"/>
              </w:rPr>
            </w:pPr>
            <w:r w:rsidRPr="00083A30">
              <w:rPr>
                <w:rFonts w:ascii="Times New Roman" w:hAnsi="Times New Roman" w:cs="Times New Roman"/>
                <w:bCs/>
                <w:color w:val="000000"/>
                <w:sz w:val="24"/>
                <w:szCs w:val="24"/>
                <w:lang w:val="en-US" w:eastAsia="en-GB"/>
              </w:rPr>
              <w:t>CME group</w:t>
            </w:r>
          </w:p>
          <w:p w14:paraId="4340C83E"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bCs/>
                <w:color w:val="000000"/>
                <w:sz w:val="24"/>
                <w:szCs w:val="24"/>
                <w:lang w:val="en-US" w:eastAsia="en-GB"/>
              </w:rPr>
              <w:t>(</w:t>
            </w:r>
            <w:r w:rsidRPr="00083A30">
              <w:rPr>
                <w:rFonts w:ascii="Times New Roman" w:hAnsi="Times New Roman" w:cs="Times New Roman"/>
                <w:bCs/>
                <w:i/>
                <w:color w:val="000000"/>
                <w:sz w:val="24"/>
                <w:szCs w:val="24"/>
                <w:lang w:val="en-US" w:eastAsia="en-GB"/>
              </w:rPr>
              <w:t>n</w:t>
            </w:r>
            <w:r w:rsidRPr="00083A30">
              <w:rPr>
                <w:rFonts w:ascii="Times New Roman" w:hAnsi="Times New Roman" w:cs="Times New Roman"/>
                <w:bCs/>
                <w:color w:val="000000"/>
                <w:sz w:val="24"/>
                <w:szCs w:val="24"/>
                <w:lang w:val="en-US" w:eastAsia="en-GB"/>
              </w:rPr>
              <w:t xml:space="preserve"> = 28)</w:t>
            </w:r>
          </w:p>
        </w:tc>
        <w:tc>
          <w:tcPr>
            <w:tcW w:w="2551" w:type="dxa"/>
          </w:tcPr>
          <w:p w14:paraId="274ED462" w14:textId="77777777" w:rsidR="008132A4" w:rsidRPr="00083A30" w:rsidRDefault="008132A4" w:rsidP="00330B87">
            <w:pPr>
              <w:widowControl w:val="0"/>
              <w:autoSpaceDE w:val="0"/>
              <w:autoSpaceDN w:val="0"/>
              <w:adjustRightInd w:val="0"/>
              <w:spacing w:line="360" w:lineRule="auto"/>
              <w:ind w:left="60" w:right="60"/>
              <w:jc w:val="center"/>
              <w:rPr>
                <w:rFonts w:ascii="Times New Roman" w:hAnsi="Times New Roman" w:cs="Times New Roman"/>
                <w:bCs/>
                <w:color w:val="000000"/>
                <w:sz w:val="24"/>
                <w:szCs w:val="24"/>
                <w:lang w:val="en-US" w:eastAsia="en-GB"/>
              </w:rPr>
            </w:pPr>
            <w:r w:rsidRPr="00083A30">
              <w:rPr>
                <w:rFonts w:ascii="Times New Roman" w:hAnsi="Times New Roman" w:cs="Times New Roman"/>
                <w:bCs/>
                <w:color w:val="000000"/>
                <w:sz w:val="24"/>
                <w:szCs w:val="24"/>
                <w:lang w:val="en-US" w:eastAsia="en-GB"/>
              </w:rPr>
              <w:t>Control group</w:t>
            </w:r>
          </w:p>
          <w:p w14:paraId="16366F9F"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bCs/>
                <w:color w:val="000000"/>
                <w:sz w:val="24"/>
                <w:szCs w:val="24"/>
                <w:lang w:val="en-US" w:eastAsia="en-GB"/>
              </w:rPr>
              <w:t>(</w:t>
            </w:r>
            <w:r w:rsidRPr="00083A30">
              <w:rPr>
                <w:rFonts w:ascii="Times New Roman" w:hAnsi="Times New Roman" w:cs="Times New Roman"/>
                <w:bCs/>
                <w:i/>
                <w:color w:val="000000"/>
                <w:sz w:val="24"/>
                <w:szCs w:val="24"/>
                <w:lang w:val="en-US" w:eastAsia="en-GB"/>
              </w:rPr>
              <w:t>n</w:t>
            </w:r>
            <w:r w:rsidRPr="00083A30">
              <w:rPr>
                <w:rFonts w:ascii="Times New Roman" w:hAnsi="Times New Roman" w:cs="Times New Roman"/>
                <w:bCs/>
                <w:color w:val="000000"/>
                <w:sz w:val="24"/>
                <w:szCs w:val="24"/>
                <w:lang w:val="en-US" w:eastAsia="en-GB"/>
              </w:rPr>
              <w:t xml:space="preserve"> = 73)</w:t>
            </w:r>
          </w:p>
        </w:tc>
      </w:tr>
      <w:tr w:rsidR="008132A4" w:rsidRPr="00083A30" w14:paraId="5784EACE" w14:textId="77777777" w:rsidTr="00330B87">
        <w:tc>
          <w:tcPr>
            <w:tcW w:w="2263" w:type="dxa"/>
          </w:tcPr>
          <w:p w14:paraId="57EC671D" w14:textId="77777777" w:rsidR="008132A4" w:rsidRPr="00083A30" w:rsidRDefault="008132A4" w:rsidP="00330B87">
            <w:pPr>
              <w:spacing w:line="360" w:lineRule="auto"/>
              <w:rPr>
                <w:rFonts w:ascii="Times New Roman" w:hAnsi="Times New Roman" w:cs="Times New Roman"/>
                <w:color w:val="000000"/>
                <w:sz w:val="24"/>
                <w:szCs w:val="24"/>
                <w:lang w:val="en-US" w:eastAsia="en-GB"/>
              </w:rPr>
            </w:pPr>
            <w:r w:rsidRPr="00083A30">
              <w:rPr>
                <w:rFonts w:ascii="Times New Roman" w:hAnsi="Times New Roman" w:cs="Times New Roman"/>
                <w:color w:val="000000"/>
                <w:sz w:val="24"/>
                <w:szCs w:val="24"/>
                <w:lang w:val="en-US" w:eastAsia="en-GB"/>
              </w:rPr>
              <w:t xml:space="preserve">Weight (kg) </w:t>
            </w:r>
          </w:p>
        </w:tc>
        <w:tc>
          <w:tcPr>
            <w:tcW w:w="2552" w:type="dxa"/>
          </w:tcPr>
          <w:p w14:paraId="233C961C"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38.8 (20.1 – 74.5)</w:t>
            </w:r>
          </w:p>
        </w:tc>
        <w:tc>
          <w:tcPr>
            <w:tcW w:w="2410" w:type="dxa"/>
          </w:tcPr>
          <w:p w14:paraId="66576A17"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38.9 (22.2 – 74.5)</w:t>
            </w:r>
          </w:p>
        </w:tc>
        <w:tc>
          <w:tcPr>
            <w:tcW w:w="2551" w:type="dxa"/>
          </w:tcPr>
          <w:p w14:paraId="428DDDDB"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38.7 (20.1 – 69.9)</w:t>
            </w:r>
          </w:p>
        </w:tc>
      </w:tr>
      <w:tr w:rsidR="008132A4" w:rsidRPr="00083A30" w14:paraId="571FAB7C" w14:textId="77777777" w:rsidTr="00330B87">
        <w:tc>
          <w:tcPr>
            <w:tcW w:w="2263" w:type="dxa"/>
          </w:tcPr>
          <w:p w14:paraId="2130CF48" w14:textId="77777777" w:rsidR="008132A4" w:rsidRPr="00083A30" w:rsidRDefault="008132A4" w:rsidP="00330B87">
            <w:pPr>
              <w:spacing w:line="360" w:lineRule="auto"/>
              <w:rPr>
                <w:rFonts w:ascii="Times New Roman" w:hAnsi="Times New Roman" w:cs="Times New Roman"/>
                <w:color w:val="000000"/>
                <w:sz w:val="24"/>
                <w:szCs w:val="24"/>
                <w:lang w:val="en-US" w:eastAsia="en-GB"/>
              </w:rPr>
            </w:pPr>
            <w:r w:rsidRPr="00083A30">
              <w:rPr>
                <w:rFonts w:ascii="Times New Roman" w:hAnsi="Times New Roman" w:cs="Times New Roman"/>
                <w:color w:val="000000"/>
                <w:sz w:val="24"/>
                <w:szCs w:val="24"/>
                <w:lang w:val="en-US" w:eastAsia="en-GB"/>
              </w:rPr>
              <w:t>Height (cm)</w:t>
            </w:r>
          </w:p>
        </w:tc>
        <w:tc>
          <w:tcPr>
            <w:tcW w:w="2552" w:type="dxa"/>
          </w:tcPr>
          <w:p w14:paraId="688CCCF4"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147.7 (118.8 – 165.5)</w:t>
            </w:r>
          </w:p>
        </w:tc>
        <w:tc>
          <w:tcPr>
            <w:tcW w:w="2410" w:type="dxa"/>
          </w:tcPr>
          <w:p w14:paraId="7C9F97A3"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143.3 (120.6 – 163.1)</w:t>
            </w:r>
          </w:p>
        </w:tc>
        <w:tc>
          <w:tcPr>
            <w:tcW w:w="2551" w:type="dxa"/>
          </w:tcPr>
          <w:p w14:paraId="118930BE"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148.0 (118.8 – 165.5)</w:t>
            </w:r>
          </w:p>
        </w:tc>
      </w:tr>
      <w:tr w:rsidR="008132A4" w:rsidRPr="00083A30" w14:paraId="19BB668F" w14:textId="77777777" w:rsidTr="00330B87">
        <w:tc>
          <w:tcPr>
            <w:tcW w:w="2263" w:type="dxa"/>
          </w:tcPr>
          <w:p w14:paraId="7502924E" w14:textId="77777777" w:rsidR="008132A4" w:rsidRPr="00083A30" w:rsidRDefault="008132A4" w:rsidP="00330B87">
            <w:pPr>
              <w:spacing w:line="360" w:lineRule="auto"/>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Weight for age percentile</w:t>
            </w:r>
          </w:p>
        </w:tc>
        <w:tc>
          <w:tcPr>
            <w:tcW w:w="2552" w:type="dxa"/>
          </w:tcPr>
          <w:p w14:paraId="7EB3A781"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106.7 (72.5 – 201.3)</w:t>
            </w:r>
          </w:p>
        </w:tc>
        <w:tc>
          <w:tcPr>
            <w:tcW w:w="2410" w:type="dxa"/>
          </w:tcPr>
          <w:p w14:paraId="4D2DF2BA"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103.8 (77.8 – 201.3)</w:t>
            </w:r>
          </w:p>
        </w:tc>
        <w:tc>
          <w:tcPr>
            <w:tcW w:w="2551" w:type="dxa"/>
          </w:tcPr>
          <w:p w14:paraId="76C5B4F1"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107.4 (72.5 – 174.75)</w:t>
            </w:r>
          </w:p>
        </w:tc>
      </w:tr>
      <w:tr w:rsidR="008132A4" w:rsidRPr="00083A30" w14:paraId="6C69F1A4" w14:textId="77777777" w:rsidTr="00330B87">
        <w:tc>
          <w:tcPr>
            <w:tcW w:w="2263" w:type="dxa"/>
          </w:tcPr>
          <w:p w14:paraId="455A29BB" w14:textId="77777777" w:rsidR="008132A4" w:rsidRPr="00083A30" w:rsidRDefault="008132A4" w:rsidP="00330B87">
            <w:pPr>
              <w:spacing w:line="360" w:lineRule="auto"/>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 xml:space="preserve">BMI percentile </w:t>
            </w:r>
          </w:p>
        </w:tc>
        <w:tc>
          <w:tcPr>
            <w:tcW w:w="2552" w:type="dxa"/>
          </w:tcPr>
          <w:p w14:paraId="2EFFC41A"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58.15 (2.0 -99.9)</w:t>
            </w:r>
          </w:p>
        </w:tc>
        <w:tc>
          <w:tcPr>
            <w:tcW w:w="2410" w:type="dxa"/>
          </w:tcPr>
          <w:p w14:paraId="2512D2C4"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56.1 (15.9 – 99.8)</w:t>
            </w:r>
          </w:p>
        </w:tc>
        <w:tc>
          <w:tcPr>
            <w:tcW w:w="2551" w:type="dxa"/>
          </w:tcPr>
          <w:p w14:paraId="5E2C8151"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59.8 (2.0 – 99.9)</w:t>
            </w:r>
          </w:p>
        </w:tc>
      </w:tr>
      <w:tr w:rsidR="008132A4" w:rsidRPr="00083A30" w14:paraId="5917212C" w14:textId="77777777" w:rsidTr="00330B87">
        <w:tc>
          <w:tcPr>
            <w:tcW w:w="2263" w:type="dxa"/>
          </w:tcPr>
          <w:p w14:paraId="37680C07" w14:textId="77777777" w:rsidR="008132A4" w:rsidRPr="00083A30" w:rsidRDefault="008132A4" w:rsidP="00330B87">
            <w:pPr>
              <w:spacing w:line="360" w:lineRule="auto"/>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Waist (cm)</w:t>
            </w:r>
          </w:p>
        </w:tc>
        <w:tc>
          <w:tcPr>
            <w:tcW w:w="2552" w:type="dxa"/>
          </w:tcPr>
          <w:p w14:paraId="2DA22E4D"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58.95 (46.2 – 90.3)</w:t>
            </w:r>
          </w:p>
        </w:tc>
        <w:tc>
          <w:tcPr>
            <w:tcW w:w="2410" w:type="dxa"/>
          </w:tcPr>
          <w:p w14:paraId="41D71DEF"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58.95 (48.3 – 79.0)</w:t>
            </w:r>
          </w:p>
        </w:tc>
        <w:tc>
          <w:tcPr>
            <w:tcW w:w="2551" w:type="dxa"/>
          </w:tcPr>
          <w:p w14:paraId="74A42B1E"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58.95 (46.2 – 90.3)</w:t>
            </w:r>
          </w:p>
        </w:tc>
      </w:tr>
      <w:tr w:rsidR="008132A4" w:rsidRPr="00083A30" w14:paraId="79ED821B" w14:textId="77777777" w:rsidTr="00330B87">
        <w:tc>
          <w:tcPr>
            <w:tcW w:w="2263" w:type="dxa"/>
          </w:tcPr>
          <w:p w14:paraId="676077D0" w14:textId="77777777" w:rsidR="008132A4" w:rsidRPr="00083A30" w:rsidRDefault="008132A4" w:rsidP="00330B87">
            <w:pPr>
              <w:spacing w:line="360" w:lineRule="auto"/>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 xml:space="preserve">Waist percentile </w:t>
            </w:r>
          </w:p>
        </w:tc>
        <w:tc>
          <w:tcPr>
            <w:tcW w:w="2552" w:type="dxa"/>
          </w:tcPr>
          <w:p w14:paraId="7AE156CD"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98.8 (84.2 – 145.0)</w:t>
            </w:r>
          </w:p>
        </w:tc>
        <w:tc>
          <w:tcPr>
            <w:tcW w:w="2410" w:type="dxa"/>
          </w:tcPr>
          <w:p w14:paraId="31CBFA6C"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97.85 (87.2 – 135.0)</w:t>
            </w:r>
          </w:p>
        </w:tc>
        <w:tc>
          <w:tcPr>
            <w:tcW w:w="2551" w:type="dxa"/>
          </w:tcPr>
          <w:p w14:paraId="7952D620"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99.1 (84.2 – 145.0)</w:t>
            </w:r>
          </w:p>
        </w:tc>
      </w:tr>
      <w:tr w:rsidR="008132A4" w:rsidRPr="00083A30" w14:paraId="13BBA31D" w14:textId="77777777" w:rsidTr="00330B87">
        <w:tc>
          <w:tcPr>
            <w:tcW w:w="2263" w:type="dxa"/>
          </w:tcPr>
          <w:p w14:paraId="27A54903" w14:textId="77777777" w:rsidR="008132A4" w:rsidRPr="00083A30" w:rsidRDefault="008132A4" w:rsidP="00330B87">
            <w:pPr>
              <w:spacing w:line="360" w:lineRule="auto"/>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 xml:space="preserve">% Normal weight participants </w:t>
            </w:r>
          </w:p>
        </w:tc>
        <w:tc>
          <w:tcPr>
            <w:tcW w:w="2552" w:type="dxa"/>
          </w:tcPr>
          <w:p w14:paraId="0AEEADAB"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80.2</w:t>
            </w:r>
          </w:p>
        </w:tc>
        <w:tc>
          <w:tcPr>
            <w:tcW w:w="2410" w:type="dxa"/>
          </w:tcPr>
          <w:p w14:paraId="018927BB"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67.9</w:t>
            </w:r>
          </w:p>
        </w:tc>
        <w:tc>
          <w:tcPr>
            <w:tcW w:w="2551" w:type="dxa"/>
          </w:tcPr>
          <w:p w14:paraId="05C5E3AA"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84.9</w:t>
            </w:r>
          </w:p>
        </w:tc>
      </w:tr>
      <w:tr w:rsidR="008132A4" w:rsidRPr="00083A30" w14:paraId="5A469A1F" w14:textId="77777777" w:rsidTr="00330B87">
        <w:tc>
          <w:tcPr>
            <w:tcW w:w="2263" w:type="dxa"/>
          </w:tcPr>
          <w:p w14:paraId="206D50E8" w14:textId="77777777" w:rsidR="008132A4" w:rsidRPr="00083A30" w:rsidRDefault="008132A4" w:rsidP="00330B87">
            <w:pPr>
              <w:spacing w:line="360" w:lineRule="auto"/>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 xml:space="preserve">% Overweight participants </w:t>
            </w:r>
          </w:p>
        </w:tc>
        <w:tc>
          <w:tcPr>
            <w:tcW w:w="2552" w:type="dxa"/>
          </w:tcPr>
          <w:p w14:paraId="1CC5A5C9"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8.9</w:t>
            </w:r>
          </w:p>
        </w:tc>
        <w:tc>
          <w:tcPr>
            <w:tcW w:w="2410" w:type="dxa"/>
          </w:tcPr>
          <w:p w14:paraId="6575E356"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14.3</w:t>
            </w:r>
          </w:p>
        </w:tc>
        <w:tc>
          <w:tcPr>
            <w:tcW w:w="2551" w:type="dxa"/>
          </w:tcPr>
          <w:p w14:paraId="769F59D8" w14:textId="77777777" w:rsidR="008132A4" w:rsidRPr="00083A30" w:rsidRDefault="008132A4" w:rsidP="00330B87">
            <w:pPr>
              <w:widowControl w:val="0"/>
              <w:autoSpaceDE w:val="0"/>
              <w:autoSpaceDN w:val="0"/>
              <w:adjustRightInd w:val="0"/>
              <w:spacing w:line="360" w:lineRule="auto"/>
              <w:ind w:left="60" w:right="60"/>
              <w:jc w:val="center"/>
              <w:rPr>
                <w:rFonts w:ascii="Times New Roman" w:hAnsi="Times New Roman" w:cs="Times New Roman"/>
                <w:color w:val="000000"/>
                <w:sz w:val="24"/>
                <w:szCs w:val="24"/>
                <w:lang w:val="en-US" w:eastAsia="en-GB"/>
              </w:rPr>
            </w:pPr>
            <w:r w:rsidRPr="00083A30">
              <w:rPr>
                <w:rFonts w:ascii="Times New Roman" w:hAnsi="Times New Roman" w:cs="Times New Roman"/>
                <w:color w:val="000000"/>
                <w:sz w:val="24"/>
                <w:szCs w:val="24"/>
                <w:lang w:val="en-US" w:eastAsia="en-GB"/>
              </w:rPr>
              <w:t>6.8</w:t>
            </w:r>
          </w:p>
        </w:tc>
      </w:tr>
      <w:tr w:rsidR="008132A4" w:rsidRPr="00083A30" w14:paraId="44B80AD4" w14:textId="77777777" w:rsidTr="00330B87">
        <w:tc>
          <w:tcPr>
            <w:tcW w:w="2263" w:type="dxa"/>
          </w:tcPr>
          <w:p w14:paraId="61936B68" w14:textId="77777777" w:rsidR="008132A4" w:rsidRPr="00083A30" w:rsidRDefault="008132A4" w:rsidP="00330B87">
            <w:pPr>
              <w:spacing w:line="360" w:lineRule="auto"/>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 xml:space="preserve">% Obese participants </w:t>
            </w:r>
          </w:p>
        </w:tc>
        <w:tc>
          <w:tcPr>
            <w:tcW w:w="2552" w:type="dxa"/>
          </w:tcPr>
          <w:p w14:paraId="6F8C4DF1"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sz w:val="24"/>
                <w:szCs w:val="24"/>
              </w:rPr>
              <w:t>10.9</w:t>
            </w:r>
          </w:p>
        </w:tc>
        <w:tc>
          <w:tcPr>
            <w:tcW w:w="2410" w:type="dxa"/>
          </w:tcPr>
          <w:p w14:paraId="74971C98"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17.9</w:t>
            </w:r>
          </w:p>
        </w:tc>
        <w:tc>
          <w:tcPr>
            <w:tcW w:w="2551" w:type="dxa"/>
          </w:tcPr>
          <w:p w14:paraId="6430F1C5" w14:textId="77777777" w:rsidR="008132A4" w:rsidRPr="00083A30" w:rsidRDefault="008132A4" w:rsidP="00330B87">
            <w:pPr>
              <w:spacing w:line="360" w:lineRule="auto"/>
              <w:jc w:val="center"/>
              <w:rPr>
                <w:rFonts w:ascii="Times New Roman" w:hAnsi="Times New Roman" w:cs="Times New Roman"/>
                <w:sz w:val="24"/>
                <w:szCs w:val="24"/>
              </w:rPr>
            </w:pPr>
            <w:r w:rsidRPr="00083A30">
              <w:rPr>
                <w:rFonts w:ascii="Times New Roman" w:hAnsi="Times New Roman" w:cs="Times New Roman"/>
                <w:color w:val="000000"/>
                <w:sz w:val="24"/>
                <w:szCs w:val="24"/>
                <w:lang w:val="en-US" w:eastAsia="en-GB"/>
              </w:rPr>
              <w:t>8.2</w:t>
            </w:r>
          </w:p>
        </w:tc>
      </w:tr>
    </w:tbl>
    <w:p w14:paraId="63842EF2" w14:textId="77777777" w:rsidR="008132A4" w:rsidRPr="00083A30" w:rsidRDefault="008132A4" w:rsidP="008132A4">
      <w:pPr>
        <w:rPr>
          <w:rFonts w:ascii="Times New Roman" w:hAnsi="Times New Roman" w:cs="Times New Roman"/>
          <w:sz w:val="24"/>
          <w:szCs w:val="24"/>
        </w:rPr>
      </w:pPr>
      <w:r w:rsidRPr="00083A30">
        <w:rPr>
          <w:rFonts w:ascii="Times New Roman" w:hAnsi="Times New Roman" w:cs="Times New Roman"/>
          <w:sz w:val="24"/>
          <w:szCs w:val="24"/>
        </w:rPr>
        <w:t>Minimum – maximum values shown in brackets.</w:t>
      </w:r>
    </w:p>
    <w:p w14:paraId="2E1CE2E6" w14:textId="77777777" w:rsidR="008132A4" w:rsidRDefault="008132A4" w:rsidP="00BC278D">
      <w:pPr>
        <w:pStyle w:val="Caption"/>
        <w:ind w:left="0"/>
        <w:rPr>
          <w:rFonts w:ascii="Times New Roman" w:hAnsi="Times New Roman" w:cs="Times New Roman"/>
          <w:color w:val="000000" w:themeColor="text1"/>
          <w:sz w:val="24"/>
          <w:szCs w:val="24"/>
        </w:rPr>
      </w:pPr>
    </w:p>
    <w:p w14:paraId="21E2ECFB" w14:textId="7F19BB5B" w:rsidR="00017067" w:rsidRPr="00A43421" w:rsidRDefault="00BC278D" w:rsidP="00BC278D">
      <w:pPr>
        <w:pStyle w:val="Caption"/>
        <w:ind w:left="0"/>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Food neophobia</w:t>
      </w:r>
    </w:p>
    <w:p w14:paraId="08D300A7" w14:textId="14D85C1B" w:rsidR="00BC278D" w:rsidRPr="00A43421" w:rsidRDefault="00BC278D" w:rsidP="00BC278D">
      <w:pPr>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 xml:space="preserve">The median food neophobia score was 34 (ranging from 10-70). The minimum and maximum possible scores on this questionnaire are 10 and 70 respectively. There was no difference for food neophobia score by gender or family history of food allergy and no association between food neophobia score and participant age, parental education/occupation status, maternal age or any infant feeding factors. There was no difference between CME and control groups, with the CME group scoring a median of 36 (12-60) and the control group scoring a median of 34 (10-70). There was no association found for number of foods excluded. </w:t>
      </w:r>
      <w:r w:rsidRPr="00A43421">
        <w:rPr>
          <w:rFonts w:ascii="Times New Roman" w:hAnsi="Times New Roman" w:cs="Times New Roman"/>
          <w:color w:val="000000" w:themeColor="text1"/>
          <w:sz w:val="24"/>
          <w:szCs w:val="24"/>
          <w:lang w:val="en-US" w:eastAsia="en-GB"/>
        </w:rPr>
        <w:t>Food neophobia was not correlated with any macro or micronutrient intake or growth measurement.</w:t>
      </w:r>
    </w:p>
    <w:p w14:paraId="52D2E14A" w14:textId="77777777" w:rsidR="00BC278D" w:rsidRPr="00A43421" w:rsidRDefault="00BC278D" w:rsidP="00BC278D">
      <w:pPr>
        <w:rPr>
          <w:color w:val="000000" w:themeColor="text1"/>
          <w:lang w:val="en-US" w:eastAsia="en-GB"/>
        </w:rPr>
      </w:pPr>
    </w:p>
    <w:bookmarkEnd w:id="20"/>
    <w:bookmarkEnd w:id="21"/>
    <w:bookmarkEnd w:id="22"/>
    <w:bookmarkEnd w:id="23"/>
    <w:p w14:paraId="0D784104" w14:textId="77777777" w:rsidR="00B45C79" w:rsidRPr="00A43421" w:rsidRDefault="00872639" w:rsidP="009C1681">
      <w:pPr>
        <w:rPr>
          <w:rFonts w:ascii="Times New Roman" w:hAnsi="Times New Roman" w:cs="Times New Roman"/>
          <w:b/>
          <w:color w:val="000000" w:themeColor="text1"/>
          <w:sz w:val="24"/>
          <w:szCs w:val="24"/>
        </w:rPr>
      </w:pPr>
      <w:r w:rsidRPr="00A43421">
        <w:rPr>
          <w:rFonts w:ascii="Times New Roman" w:hAnsi="Times New Roman" w:cs="Times New Roman"/>
          <w:b/>
          <w:color w:val="000000" w:themeColor="text1"/>
          <w:sz w:val="24"/>
          <w:szCs w:val="24"/>
        </w:rPr>
        <w:t>Discussion</w:t>
      </w:r>
    </w:p>
    <w:p w14:paraId="5962E61B" w14:textId="729B5566" w:rsidR="00C93532" w:rsidRPr="00A43421" w:rsidRDefault="00C93532" w:rsidP="006975C9">
      <w:pPr>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This study is the first to investigate the long term effect of consuming a substitute infant formula and CME diet in infancy on taste preference, food neophobia, nutritional intake and growth. We have demonstrated significant differences in bitter taste preference between groups, in addition to differenc</w:t>
      </w:r>
      <w:r w:rsidR="001253A2" w:rsidRPr="00A43421">
        <w:rPr>
          <w:rFonts w:ascii="Times New Roman" w:hAnsi="Times New Roman" w:cs="Times New Roman"/>
          <w:color w:val="000000" w:themeColor="text1"/>
          <w:sz w:val="24"/>
          <w:szCs w:val="24"/>
        </w:rPr>
        <w:t>es in intakes of some micronutrients (iodine, riboflavin, selenium and sodium)</w:t>
      </w:r>
      <w:r w:rsidR="00FB2F0F" w:rsidRPr="00A43421">
        <w:rPr>
          <w:rFonts w:ascii="Times New Roman" w:hAnsi="Times New Roman" w:cs="Times New Roman"/>
          <w:color w:val="000000" w:themeColor="text1"/>
          <w:sz w:val="24"/>
          <w:szCs w:val="24"/>
        </w:rPr>
        <w:t xml:space="preserve"> and some food</w:t>
      </w:r>
      <w:r w:rsidR="00493720" w:rsidRPr="00A43421">
        <w:rPr>
          <w:rFonts w:ascii="Times New Roman" w:hAnsi="Times New Roman" w:cs="Times New Roman"/>
          <w:color w:val="000000" w:themeColor="text1"/>
          <w:sz w:val="24"/>
          <w:szCs w:val="24"/>
        </w:rPr>
        <w:t>s/food</w:t>
      </w:r>
      <w:r w:rsidR="00FB2F0F" w:rsidRPr="00A43421">
        <w:rPr>
          <w:rFonts w:ascii="Times New Roman" w:hAnsi="Times New Roman" w:cs="Times New Roman"/>
          <w:color w:val="000000" w:themeColor="text1"/>
          <w:sz w:val="24"/>
          <w:szCs w:val="24"/>
        </w:rPr>
        <w:t xml:space="preserve"> groups</w:t>
      </w:r>
      <w:r w:rsidR="00493720" w:rsidRPr="00A43421">
        <w:rPr>
          <w:rFonts w:ascii="Times New Roman" w:hAnsi="Times New Roman" w:cs="Times New Roman"/>
          <w:color w:val="000000" w:themeColor="text1"/>
          <w:sz w:val="24"/>
          <w:szCs w:val="24"/>
        </w:rPr>
        <w:t xml:space="preserve"> (dairy products, dairy substitute products and chocolate)</w:t>
      </w:r>
      <w:r w:rsidRPr="00A43421">
        <w:rPr>
          <w:rFonts w:ascii="Times New Roman" w:hAnsi="Times New Roman" w:cs="Times New Roman"/>
          <w:color w:val="000000" w:themeColor="text1"/>
          <w:sz w:val="24"/>
          <w:szCs w:val="24"/>
        </w:rPr>
        <w:t xml:space="preserve">. This demonstrates that </w:t>
      </w:r>
      <w:r w:rsidR="00017067" w:rsidRPr="00A43421">
        <w:rPr>
          <w:rFonts w:ascii="Times New Roman" w:hAnsi="Times New Roman" w:cs="Times New Roman"/>
          <w:color w:val="000000" w:themeColor="text1"/>
          <w:sz w:val="24"/>
          <w:szCs w:val="24"/>
        </w:rPr>
        <w:t xml:space="preserve">consuming a </w:t>
      </w:r>
      <w:r w:rsidRPr="00A43421">
        <w:rPr>
          <w:rFonts w:ascii="Times New Roman" w:hAnsi="Times New Roman" w:cs="Times New Roman"/>
          <w:color w:val="000000" w:themeColor="text1"/>
          <w:sz w:val="24"/>
          <w:szCs w:val="24"/>
        </w:rPr>
        <w:t>substitute formula and exclusion diet for CMA in infancy has a persistent</w:t>
      </w:r>
      <w:r w:rsidR="00842D3F" w:rsidRPr="00A43421">
        <w:rPr>
          <w:rFonts w:ascii="Times New Roman" w:hAnsi="Times New Roman" w:cs="Times New Roman"/>
          <w:color w:val="000000" w:themeColor="text1"/>
          <w:sz w:val="24"/>
          <w:szCs w:val="24"/>
        </w:rPr>
        <w:t xml:space="preserve"> </w:t>
      </w:r>
      <w:r w:rsidRPr="00A43421">
        <w:rPr>
          <w:rFonts w:ascii="Times New Roman" w:hAnsi="Times New Roman" w:cs="Times New Roman"/>
          <w:color w:val="000000" w:themeColor="text1"/>
          <w:sz w:val="24"/>
          <w:szCs w:val="24"/>
        </w:rPr>
        <w:t xml:space="preserve">effect, even once cows’ milk </w:t>
      </w:r>
      <w:r w:rsidR="00842D3F" w:rsidRPr="00A43421">
        <w:rPr>
          <w:rFonts w:ascii="Times New Roman" w:hAnsi="Times New Roman" w:cs="Times New Roman"/>
          <w:color w:val="000000" w:themeColor="text1"/>
          <w:sz w:val="24"/>
          <w:szCs w:val="24"/>
        </w:rPr>
        <w:t>has</w:t>
      </w:r>
      <w:r w:rsidRPr="00A43421">
        <w:rPr>
          <w:rFonts w:ascii="Times New Roman" w:hAnsi="Times New Roman" w:cs="Times New Roman"/>
          <w:color w:val="000000" w:themeColor="text1"/>
          <w:sz w:val="24"/>
          <w:szCs w:val="24"/>
        </w:rPr>
        <w:t xml:space="preserve"> been reintroduced into the diet several years previously. There is also </w:t>
      </w:r>
      <w:r w:rsidR="001B605B" w:rsidRPr="00A43421">
        <w:rPr>
          <w:rFonts w:ascii="Times New Roman" w:hAnsi="Times New Roman" w:cs="Times New Roman"/>
          <w:color w:val="000000" w:themeColor="text1"/>
          <w:sz w:val="24"/>
          <w:szCs w:val="24"/>
        </w:rPr>
        <w:t>a trend</w:t>
      </w:r>
      <w:r w:rsidRPr="00A43421">
        <w:rPr>
          <w:rFonts w:ascii="Times New Roman" w:hAnsi="Times New Roman" w:cs="Times New Roman"/>
          <w:color w:val="000000" w:themeColor="text1"/>
          <w:sz w:val="24"/>
          <w:szCs w:val="24"/>
        </w:rPr>
        <w:t xml:space="preserve"> that a higher proportion of children in the CME group are now overweight or obese</w:t>
      </w:r>
      <w:r w:rsidR="001B605B" w:rsidRPr="00A43421">
        <w:rPr>
          <w:rFonts w:ascii="Times New Roman" w:hAnsi="Times New Roman" w:cs="Times New Roman"/>
          <w:color w:val="000000" w:themeColor="text1"/>
          <w:sz w:val="24"/>
          <w:szCs w:val="24"/>
        </w:rPr>
        <w:t xml:space="preserve"> compared to the control group</w:t>
      </w:r>
      <w:r w:rsidRPr="00A43421">
        <w:rPr>
          <w:rFonts w:ascii="Times New Roman" w:hAnsi="Times New Roman" w:cs="Times New Roman"/>
          <w:color w:val="000000" w:themeColor="text1"/>
          <w:sz w:val="24"/>
          <w:szCs w:val="24"/>
        </w:rPr>
        <w:t>, which although not statistically significant</w:t>
      </w:r>
      <w:r w:rsidR="00842D3F" w:rsidRPr="00A43421">
        <w:rPr>
          <w:rFonts w:ascii="Times New Roman" w:hAnsi="Times New Roman" w:cs="Times New Roman"/>
          <w:color w:val="000000" w:themeColor="text1"/>
          <w:sz w:val="24"/>
          <w:szCs w:val="24"/>
        </w:rPr>
        <w:t>,</w:t>
      </w:r>
      <w:r w:rsidRPr="00A43421">
        <w:rPr>
          <w:rFonts w:ascii="Times New Roman" w:hAnsi="Times New Roman" w:cs="Times New Roman"/>
          <w:color w:val="000000" w:themeColor="text1"/>
          <w:sz w:val="24"/>
          <w:szCs w:val="24"/>
        </w:rPr>
        <w:t xml:space="preserve"> is </w:t>
      </w:r>
      <w:r w:rsidR="00185688" w:rsidRPr="00A43421">
        <w:rPr>
          <w:rFonts w:ascii="Times New Roman" w:hAnsi="Times New Roman" w:cs="Times New Roman"/>
          <w:color w:val="000000" w:themeColor="text1"/>
          <w:sz w:val="24"/>
          <w:szCs w:val="24"/>
        </w:rPr>
        <w:t xml:space="preserve">both novel and </w:t>
      </w:r>
      <w:r w:rsidRPr="00A43421">
        <w:rPr>
          <w:rFonts w:ascii="Times New Roman" w:hAnsi="Times New Roman" w:cs="Times New Roman"/>
          <w:color w:val="000000" w:themeColor="text1"/>
          <w:sz w:val="24"/>
          <w:szCs w:val="24"/>
        </w:rPr>
        <w:t>concerning.</w:t>
      </w:r>
    </w:p>
    <w:p w14:paraId="422287BB" w14:textId="5A4B5A57" w:rsidR="00B55E7B" w:rsidRPr="00A43421" w:rsidRDefault="00B55E7B" w:rsidP="001253A2">
      <w:pPr>
        <w:widowControl w:val="0"/>
        <w:autoSpaceDE w:val="0"/>
        <w:autoSpaceDN w:val="0"/>
        <w:adjustRightInd w:val="0"/>
        <w:spacing w:after="240" w:line="360" w:lineRule="auto"/>
        <w:ind w:firstLine="720"/>
        <w:jc w:val="both"/>
        <w:rPr>
          <w:rFonts w:ascii="Arial" w:hAnsi="Arial" w:cs="Arial"/>
          <w:i/>
          <w:color w:val="000000" w:themeColor="text1"/>
        </w:rPr>
      </w:pPr>
      <w:r w:rsidRPr="00A43421">
        <w:rPr>
          <w:rFonts w:ascii="Times New Roman" w:hAnsi="Times New Roman" w:cs="Times New Roman"/>
          <w:color w:val="000000" w:themeColor="text1"/>
          <w:sz w:val="24"/>
          <w:szCs w:val="24"/>
        </w:rPr>
        <w:t xml:space="preserve">The significant difference in bitter taste between groups is an important finding. It is supported by previous studies </w:t>
      </w:r>
      <w:r w:rsidR="00FD6C09" w:rsidRPr="00A43421">
        <w:rPr>
          <w:rFonts w:ascii="Times New Roman" w:hAnsi="Times New Roman" w:cs="Times New Roman"/>
          <w:color w:val="000000" w:themeColor="text1"/>
          <w:sz w:val="24"/>
          <w:szCs w:val="24"/>
        </w:rPr>
        <w:t>in young children</w:t>
      </w:r>
      <w:r w:rsidR="001B605B"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"10.1002/dev.10067", "ISBN" : "0012-1630 (Print)\\r0012-1630 (Linking)", "ISSN" : "00121630", "PMID" : "12430162", "abstract" : "We investigated the effects of early experience on sweet and sour preferences in children. Eighty-three children were divided into four groups based on the type of formula fed during infancy and age. By using a forced-choice, sip-and-swallow procedure, we determined the level of sweetness and sourness preferred in juice. Children who were fed protein hydrolysate formulas, which have a distinctive sour and bitter taste and unpleasant odor, preferred higher levels of citric acid in juice when compared to older children who were fed similar formulas. No such difference was observed between the groups for sweet preference. However, the level of sweetness preferred in juice was related to the sugar content of the child's favorite cereal and whether the mother routinely added sugar to their foods. These data illustrate the wide variety of experiential factors that can influence flavor preferences during childhood.", "author" : [ { "dropping-particle" : "", "family" : "Liem", "given" : "Djin Gie", "non-dropping-particle" : "", "parse-names" : false, "suffix" : "" }, { "dropping-particle" : "", "family" : "Mennella", "given" : "Julie A.", "non-dropping-particle" : "", "parse-names" : false, "suffix" : "" } ], "container-title" : "Developmental Psychobiology", "id" : "ITEM-1", "issue" : "4", "issued" : { "date-parts" : [ [ "2002" ] ] }, "page" : "388-395", "title" : "Sweet and sour preferences during childhood: Role of early experiences", "type" : "article-journal", "volume" : "41" }, "uris" : [ "http://www.mendeley.com/documents/?uuid=2b36b28e-b175-44d0-85a6-142994829dd2" ] }, { "id" : "ITEM-2", "itemData" : { "DOI" : "10.3945/ajcn.2009.27462O", "ISBN" : "1938-3207 (Electronic)\\n0002-9165 (Linking)", "ISSN" : "00029165", "PMID" : "19605570", "abstract" : "We identified a model system that exploits the inherent taste variation in early feedings to investigate food preference development.", "author" : [ { "dropping-particle" : "", "family" : "Mennella", "given" : "Julie A.", "non-dropping-particle" : "", "parse-names" : false, "suffix" : "" }, { "dropping-particle" : "", "family" : "Forestell", "given" : "Catherine A.", "non-dropping-particle" : "", "parse-names" : false, "suffix" : "" }, { "dropping-particle" : "", "family" : "Morgan", "given" : "Lindsay K.", "non-dropping-particle" : "", "parse-names" : false, "suffix" : "" }, { "dropping-particle" : "", "family" : "Beauchamp", "given" : "Gary K.", "non-dropping-particle" : "", "parse-names" : false, "suffix" : "" } ], "container-title" : "American Journal of Clinical Nutrition", "id" : "ITEM-2", "issue" : "3", "issued" : { "date-parts" : [ [ "2009" ] ] }, "title" : "Early milk feeding influences taste acceptance and liking during infancy", "type" : "paper-conference", "volume" : "90" }, "uris" : [ "http://www.mendeley.com/documents/?uuid=ea07556d-20bd-4697-89e8-c42a929189e8" ] } ], "mendeley" : { "formattedCitation" : "(14,41)", "plainTextFormattedCitation" : "(14,41)", "previouslyFormattedCitation" : "(14,41)" }, "properties" : { "noteIndex" : 0 }, "schema" : "https://github.com/citation-style-language/schema/raw/master/csl-citation.json" }</w:instrText>
      </w:r>
      <w:r w:rsidR="001B605B"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(14,41)</w:t>
      </w:r>
      <w:r w:rsidR="001B605B" w:rsidRPr="00A43421">
        <w:rPr>
          <w:rFonts w:ascii="Times New Roman" w:hAnsi="Times New Roman" w:cs="Times New Roman"/>
          <w:color w:val="000000" w:themeColor="text1"/>
          <w:sz w:val="24"/>
          <w:szCs w:val="24"/>
          <w:vertAlign w:val="superscript"/>
        </w:rPr>
        <w:fldChar w:fldCharType="end"/>
      </w:r>
      <w:r w:rsidR="001B605B" w:rsidRPr="00A43421">
        <w:rPr>
          <w:rFonts w:ascii="Times New Roman" w:hAnsi="Times New Roman" w:cs="Times New Roman"/>
          <w:color w:val="000000" w:themeColor="text1"/>
          <w:sz w:val="24"/>
          <w:szCs w:val="24"/>
        </w:rPr>
        <w:t>. It</w:t>
      </w:r>
      <w:r w:rsidRPr="00A43421">
        <w:rPr>
          <w:rFonts w:ascii="Times New Roman" w:hAnsi="Times New Roman" w:cs="Times New Roman"/>
          <w:color w:val="000000" w:themeColor="text1"/>
          <w:sz w:val="24"/>
          <w:szCs w:val="24"/>
        </w:rPr>
        <w:t xml:space="preserve"> concurs with the hypothesis that feeding infant</w:t>
      </w:r>
      <w:r w:rsidR="00185688" w:rsidRPr="00A43421">
        <w:rPr>
          <w:rFonts w:ascii="Times New Roman" w:hAnsi="Times New Roman" w:cs="Times New Roman"/>
          <w:color w:val="000000" w:themeColor="text1"/>
          <w:sz w:val="24"/>
          <w:szCs w:val="24"/>
        </w:rPr>
        <w:t>s altered tasting hydrolysed or</w:t>
      </w:r>
      <w:r w:rsidRPr="00A43421">
        <w:rPr>
          <w:rFonts w:ascii="Times New Roman" w:hAnsi="Times New Roman" w:cs="Times New Roman"/>
          <w:color w:val="000000" w:themeColor="text1"/>
          <w:sz w:val="24"/>
          <w:szCs w:val="24"/>
        </w:rPr>
        <w:t xml:space="preserve"> soya formulae </w:t>
      </w:r>
      <w:r w:rsidR="00842D3F" w:rsidRPr="00A43421">
        <w:rPr>
          <w:rFonts w:ascii="Times New Roman" w:hAnsi="Times New Roman" w:cs="Times New Roman"/>
          <w:color w:val="000000" w:themeColor="text1"/>
          <w:sz w:val="24"/>
          <w:szCs w:val="24"/>
        </w:rPr>
        <w:t xml:space="preserve">during a period of developmental plasticity </w:t>
      </w:r>
      <w:r w:rsidR="001B605B" w:rsidRPr="00A43421">
        <w:rPr>
          <w:rFonts w:ascii="Times New Roman" w:hAnsi="Times New Roman" w:cs="Times New Roman"/>
          <w:color w:val="000000" w:themeColor="text1"/>
          <w:sz w:val="24"/>
          <w:szCs w:val="24"/>
        </w:rPr>
        <w:t xml:space="preserve">in the first few months of life </w:t>
      </w:r>
      <w:r w:rsidRPr="00A43421">
        <w:rPr>
          <w:rFonts w:ascii="Times New Roman" w:hAnsi="Times New Roman" w:cs="Times New Roman"/>
          <w:color w:val="000000" w:themeColor="text1"/>
          <w:sz w:val="24"/>
          <w:szCs w:val="24"/>
        </w:rPr>
        <w:t>can manipulate preferences to like innately disliked sour and bitter tastes</w:t>
      </w:r>
      <w:r w:rsidR="00842D3F" w:rsidRPr="00A43421">
        <w:rPr>
          <w:rFonts w:ascii="Times New Roman" w:hAnsi="Times New Roman" w:cs="Times New Roman"/>
          <w:color w:val="000000" w:themeColor="text1"/>
          <w:sz w:val="24"/>
          <w:szCs w:val="24"/>
        </w:rPr>
        <w:t xml:space="preserve"> associa</w:t>
      </w:r>
      <w:r w:rsidR="00FD6C09" w:rsidRPr="00A43421">
        <w:rPr>
          <w:rFonts w:ascii="Times New Roman" w:hAnsi="Times New Roman" w:cs="Times New Roman"/>
          <w:color w:val="000000" w:themeColor="text1"/>
          <w:sz w:val="24"/>
          <w:szCs w:val="24"/>
        </w:rPr>
        <w:t>ted with fruit and vegetables</w:t>
      </w:r>
      <w:r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"10.1016/S0378-3782(02)00008-7", "ISBN" : "0378-3782", "ISSN" : "03783782", "PMID" : "12113993", "abstract" : "As part of a program of research designed to investigate the long-term effects of early feeding experiences, the present study exploited the substantial flavor variation inherent in three classes of commercially available infant formulas and determined whether flavor preferences during childhood differed as a function of the class of formula (i.e., milk, soy, hydrolysate) that 4- to 5-year-old children were fed during their infancy. Age appropriate, game-like tasks that were fun for children and minimized the impact of language development were used to examine their preferences for a wide range of food-related odor qualities including infant formulas, as well as the flavor of milk-based and hydrolysate formulas and plain, sour- and bitter-flavored apple juices. Formula type influenced children's flavor preferences when tested several years after their last exposure to the formula. When compared to children who were fed milk-based formulas (n=27), children fed protein hydrolysate formulas (n=50) were more likely to prefer sour-flavored juices, as well as the odor and flavor of formulas, and less likely to make negative facial expressions during the taste tests. Those fed soy formulas (n=27) preferred the bitter-flavored apple juice. That the effects of differential formula feeding also modified children's food preferences is suggested by mothers' reports that children fed hydrolysate or soy formulas were significantly more likely to prefer broccoli than were those fed milk formulas. These data are consistent with the hypothesis that flavor experiences influence subsequent flavor preferences even several years following the early experience. ?? 2002 Elsevier Science Ireland Ltd. All rights reserved.", "author" : [ { "dropping-particle" : "", "family" : "Mennella", "given" : "Julie A.", "non-dropping-particle" : "", "parse-names" : false, "suffix" : "" }, { "dropping-particle" : "", "family" : "Beauchamp", "given" : "Gary K.", "non-dropping-particle" : "", "parse-names" : false, "suffix" : "" } ], "container-title" : "Early Human Development", "id" : "ITEM-1", "issue" : "2", "issued" : { "date-parts" : [ [ "2002" ] ] }, "page" : "71-82", "title" : "Flavor experiences during formula feeding are related to preferences during childhood", "type" : "article-journal", "volume" : "68" }, "uris" : [ "http://www.mendeley.com/documents/?uuid=38a38caf-5af2-4c3e-a014-cb7291bfc664" ] }, { "id" : "ITEM-2", "itemData" : { "DOI" : "10.1002/dev.10067", "ISBN" : "0012-1630 (Print)\\r0012-1630 (Linking)", "ISSN" : "00121630", "PMID" : "12430162", "abstract" : "We investigated the effects of early experience on sweet and sour preferences in children. Eighty-three children were divided into four groups based on the type of formula fed during infancy and age. By using a forced-choice, sip-and-swallow procedure, we determined the level of sweetness and sourness preferred in juice. Children who were fed protein hydrolysate formulas, which have a distinctive sour and bitter taste and unpleasant odor, preferred higher levels of citric acid in juice when compared to older children who were fed similar formulas. No such difference was observed between the groups for sweet preference. However, the level of sweetness preferred in juice was related to the sugar content of the child's favorite cereal and whether the mother routinely added sugar to their foods. These data illustrate the wide variety of experiential factors that can influence flavor preferences during childhood.", "author" : [ { "dropping-particle" : "", "family" : "Liem", "given" : "Djin Gie", "non-dropping-particle" : "", "parse-names" : false, "suffix" : "" }, { "dropping-particle" : "", "family" : "Mennella", "given" : "Julie A.", "non-dropping-particle" : "", "parse-names" : false, "suffix" : "" } ], "container-title" : "Developmental Psychobiology", "id" : "ITEM-2", "issue" : "4", "issued" : { "date-parts" : [ [ "2002" ] ] }, "page" : "388-395", "title" : "Sweet and sour preferences during childhood: Role of early experiences", "type" : "article-journal", "volume" : "41" }, "uris" : [ "http://www.mendeley.com/documents/?uuid=2b36b28e-b175-44d0-85a6-142994829dd2" ] } ], "mendeley" : { "formattedCitation" : "(14,42)", "plainTextFormattedCitation" : "(14,42)", "previouslyFormattedCitation" : "(14,42)" }, "properties" : { "noteIndex" : 0 }, "schema" : "https://github.com/citation-style-language/schema/raw/master/csl-citation.json" }</w:instrText>
      </w:r>
      <w:r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(14,42)</w:t>
      </w:r>
      <w:r w:rsidRPr="00A43421">
        <w:rPr>
          <w:rFonts w:ascii="Times New Roman" w:hAnsi="Times New Roman" w:cs="Times New Roman"/>
          <w:color w:val="000000" w:themeColor="text1"/>
          <w:sz w:val="24"/>
          <w:szCs w:val="24"/>
          <w:vertAlign w:val="superscript"/>
        </w:rPr>
        <w:fldChar w:fldCharType="end"/>
      </w:r>
      <w:r w:rsidRPr="00A43421">
        <w:rPr>
          <w:rFonts w:ascii="Times New Roman" w:hAnsi="Times New Roman" w:cs="Times New Roman"/>
          <w:color w:val="000000" w:themeColor="text1"/>
          <w:sz w:val="24"/>
          <w:szCs w:val="24"/>
        </w:rPr>
        <w:t xml:space="preserve">. </w:t>
      </w:r>
      <w:r w:rsidR="001253A2" w:rsidRPr="00A43421">
        <w:rPr>
          <w:rFonts w:ascii="Times New Roman" w:hAnsi="Times New Roman" w:cs="Times New Roman"/>
          <w:color w:val="000000" w:themeColor="text1"/>
          <w:sz w:val="24"/>
          <w:szCs w:val="24"/>
        </w:rPr>
        <w:t xml:space="preserve">Although a genetic </w:t>
      </w:r>
      <w:r w:rsidR="00F9658A" w:rsidRPr="00A43421">
        <w:rPr>
          <w:rFonts w:ascii="Times New Roman" w:hAnsi="Times New Roman" w:cs="Times New Roman"/>
          <w:color w:val="000000" w:themeColor="text1"/>
          <w:sz w:val="24"/>
          <w:szCs w:val="24"/>
        </w:rPr>
        <w:t>tendency</w:t>
      </w:r>
      <w:r w:rsidR="001253A2" w:rsidRPr="00A43421">
        <w:rPr>
          <w:rFonts w:ascii="Times New Roman" w:hAnsi="Times New Roman" w:cs="Times New Roman"/>
          <w:color w:val="000000" w:themeColor="text1"/>
          <w:sz w:val="24"/>
          <w:szCs w:val="24"/>
        </w:rPr>
        <w:t xml:space="preserve"> </w:t>
      </w:r>
      <w:r w:rsidR="00F9658A" w:rsidRPr="00A43421">
        <w:rPr>
          <w:rFonts w:ascii="Times New Roman" w:hAnsi="Times New Roman" w:cs="Times New Roman"/>
          <w:color w:val="000000" w:themeColor="text1"/>
          <w:sz w:val="24"/>
          <w:szCs w:val="24"/>
        </w:rPr>
        <w:t>to reject</w:t>
      </w:r>
      <w:r w:rsidR="001253A2" w:rsidRPr="00A43421">
        <w:rPr>
          <w:rFonts w:ascii="Times New Roman" w:hAnsi="Times New Roman" w:cs="Times New Roman"/>
          <w:color w:val="000000" w:themeColor="text1"/>
          <w:sz w:val="24"/>
          <w:szCs w:val="24"/>
        </w:rPr>
        <w:t xml:space="preserve"> bitter </w:t>
      </w:r>
      <w:r w:rsidR="00F9658A" w:rsidRPr="00A43421">
        <w:rPr>
          <w:rFonts w:ascii="Times New Roman" w:hAnsi="Times New Roman" w:cs="Times New Roman"/>
          <w:color w:val="000000" w:themeColor="text1"/>
          <w:sz w:val="24"/>
          <w:szCs w:val="24"/>
        </w:rPr>
        <w:t xml:space="preserve">tastes </w:t>
      </w:r>
      <w:r w:rsidR="001253A2" w:rsidRPr="00A43421">
        <w:rPr>
          <w:rFonts w:ascii="Times New Roman" w:hAnsi="Times New Roman" w:cs="Times New Roman"/>
          <w:color w:val="000000" w:themeColor="text1"/>
          <w:sz w:val="24"/>
          <w:szCs w:val="24"/>
        </w:rPr>
        <w:t xml:space="preserve">and possibly </w:t>
      </w:r>
      <w:r w:rsidR="00F9658A" w:rsidRPr="00A43421">
        <w:rPr>
          <w:rFonts w:ascii="Times New Roman" w:hAnsi="Times New Roman" w:cs="Times New Roman"/>
          <w:color w:val="000000" w:themeColor="text1"/>
          <w:sz w:val="24"/>
          <w:szCs w:val="24"/>
        </w:rPr>
        <w:t xml:space="preserve">prefer </w:t>
      </w:r>
      <w:r w:rsidR="001253A2" w:rsidRPr="00A43421">
        <w:rPr>
          <w:rFonts w:ascii="Times New Roman" w:hAnsi="Times New Roman" w:cs="Times New Roman"/>
          <w:color w:val="000000" w:themeColor="text1"/>
          <w:sz w:val="24"/>
          <w:szCs w:val="24"/>
        </w:rPr>
        <w:t>sweet taste exists, it is thought to only have limited influence on weight status and</w:t>
      </w:r>
      <w:r w:rsidR="00FD6C09" w:rsidRPr="00A43421">
        <w:rPr>
          <w:rFonts w:ascii="Times New Roman" w:hAnsi="Times New Roman" w:cs="Times New Roman"/>
          <w:color w:val="000000" w:themeColor="text1"/>
          <w:sz w:val="24"/>
          <w:szCs w:val="24"/>
        </w:rPr>
        <w:t xml:space="preserve"> food preferences in daily life</w:t>
      </w:r>
      <w:r w:rsidR="001253A2"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"10.1111/j.1749-6632.2009.04482.x", "ISBN" : "9781573317382", "ISSN" : "00778923", "PMID" : "19686192", "abstract" : "Information from the Avon Longitudinal Study of Parents and Children (ALSPAC) has been used to assess the relationships between the 10-year-old child's response to a bitter taste test using PROP, features of early childhood feeding characteristics and 10-year-old height, weight, and body mass index. Children who were tasters (75% of sample) were slightly more likely to have been described as fussy eaters than the nontasters, and the supertasters were more likely to be in the lowest height decile at age 10.", "author" : [ { "dropping-particle" : "", "family" : "Golding", "given" : "Jean", "non-dropping-particle" : "", "parse-names" : false, "suffix" : "" }, { "dropping-particle" : "", "family" : "Steer", "given" : "Colin", "non-dropping-particle" : "", "parse-names" : false, "suffix" : "" }, { "dropping-particle" : "", "family" : "Emmett", "given" : "Pauline", "non-dropping-particle" : "", "parse-names" : false, "suffix" : "" }, { "dropping-particle" : "", "family" : "Bartoshuk", "given" : "Linda M.", "non-dropping-particle" : "", "parse-names" : false, "suffix" : "" }, { "dropping-particle" : "", "family" : "Horwood", "given" : "Jeremy", "non-dropping-particle" : "", "parse-names" : false, "suffix" : "" }, { "dropping-particle" : "", "family" : "Smith", "given" : "George Davey", "non-dropping-particle" : "", "parse-names" : false, "suffix" : "" } ], "container-title" : "Annals of the New York Academy of Sciences", "id" : "ITEM-1", "issued" : { "date-parts" : [ [ "2009" ] ] }, "page" : "553-557", "title" : "Associations between the ability to detect a bitter taste, dietary behavior, and growth: A preliminary report", "type" : "paper-conference", "volume" : "1170" }, "uris" : [ "http://www.mendeley.com/documents/?uuid=fc8d9ab8-52bf-42d3-ab7f-c3cab9727e10" ] }, { "id" : "ITEM-2", "itemData" : { "DOI" : "10.1017/S000711450889246X", "ISBN" : "0007114508", "ISSN" : "0007-1145", "PMID" : "18257946", "abstract" : "Omnivores have the advantage of a variety of food options but face a challenge in identifying foods that are safe to eat. Not surprisingly, therefore, children show a relative aversion to new foods (neophobia) and a relative preference for familiar, bland, sweet foods. While this may in the past have promoted survival, in the modern food environment it could have an adverse effect on dietary quality. This review examines the evidence for genetic and environmental factors underlying individual differences in children's food preferences and neophobia. Twin studies indicate that neophobia is a strongly heritable characteristic, while specific food preferences show some genetic influence and are also influenced by the family environment. The advantage of the malleability of human food preferences is that dislike of a food can be reduced or even reversed by a combination of modelling and taste exposure. The need for effective guidance for parents who may be seeking to improve the range or nutritional value of foods accepted by their children is highlighted.", "author" : [ { "dropping-particle" : "", "family" : "Wardle", "given" : "Jane", "non-dropping-particle" : "", "parse-names" : false, "suffix" : "" }, { "dropping-particle" : "", "family" : "Cooke", "given" : "Lucy", "non-dropping-particle" : "", "parse-names" : false, "suffix" : "" } ], "container-title" : "Brit J Nutr", "id" : "ITEM-2", "issued" : { "date-parts" : [ [ "2008" ] ] }, "page" : "S15-21", "title" : "Genetic and environmental determinants of children's food preferences", "type" : "article-journal", "volume" : "99 Suppl 1" }, "uris" : [ "http://www.mendeley.com/documents/?uuid=a9a52230-a323-4dee-a845-5298d99ff3a3" ] } ], "mendeley" : { "formattedCitation" : "(43,44)", "plainTextFormattedCitation" : "(43,44)", "previouslyFormattedCitation" : "(43,44)" }, "properties" : { "noteIndex" : 0 }, "schema" : "https://github.com/citation-style-language/schema/raw/master/csl-citation.json" }</w:instrText>
      </w:r>
      <w:r w:rsidR="001253A2"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(43,44)</w:t>
      </w:r>
      <w:r w:rsidR="001253A2" w:rsidRPr="00A43421">
        <w:rPr>
          <w:rFonts w:ascii="Times New Roman" w:hAnsi="Times New Roman" w:cs="Times New Roman"/>
          <w:color w:val="000000" w:themeColor="text1"/>
          <w:sz w:val="24"/>
          <w:szCs w:val="24"/>
          <w:vertAlign w:val="superscript"/>
        </w:rPr>
        <w:fldChar w:fldCharType="end"/>
      </w:r>
      <w:r w:rsidR="001253A2" w:rsidRPr="00A43421">
        <w:rPr>
          <w:rFonts w:ascii="Times New Roman" w:hAnsi="Times New Roman" w:cs="Times New Roman"/>
          <w:i/>
          <w:color w:val="000000" w:themeColor="text1"/>
          <w:sz w:val="24"/>
          <w:szCs w:val="24"/>
        </w:rPr>
        <w:t xml:space="preserve">. </w:t>
      </w:r>
      <w:r w:rsidR="00842D3F" w:rsidRPr="00A43421">
        <w:rPr>
          <w:rFonts w:ascii="Times New Roman" w:hAnsi="Times New Roman" w:cs="Times New Roman"/>
          <w:color w:val="000000" w:themeColor="text1"/>
          <w:sz w:val="24"/>
          <w:szCs w:val="24"/>
        </w:rPr>
        <w:t xml:space="preserve">Therefore the early origins of </w:t>
      </w:r>
      <w:r w:rsidR="001B2983" w:rsidRPr="00A43421">
        <w:rPr>
          <w:rFonts w:ascii="Times New Roman" w:hAnsi="Times New Roman" w:cs="Times New Roman"/>
          <w:color w:val="000000" w:themeColor="text1"/>
          <w:sz w:val="24"/>
          <w:szCs w:val="24"/>
        </w:rPr>
        <w:t xml:space="preserve">chronic </w:t>
      </w:r>
      <w:r w:rsidR="00842D3F" w:rsidRPr="00A43421">
        <w:rPr>
          <w:rFonts w:ascii="Times New Roman" w:hAnsi="Times New Roman" w:cs="Times New Roman"/>
          <w:color w:val="000000" w:themeColor="text1"/>
          <w:sz w:val="24"/>
          <w:szCs w:val="24"/>
        </w:rPr>
        <w:t>disease</w:t>
      </w:r>
      <w:r w:rsidR="001B2983" w:rsidRPr="00A43421">
        <w:rPr>
          <w:rFonts w:ascii="Times New Roman" w:hAnsi="Times New Roman" w:cs="Times New Roman"/>
          <w:color w:val="000000" w:themeColor="text1"/>
          <w:sz w:val="24"/>
          <w:szCs w:val="24"/>
        </w:rPr>
        <w:t>s such as obesity</w:t>
      </w:r>
      <w:r w:rsidR="00842D3F" w:rsidRPr="00A43421">
        <w:rPr>
          <w:rFonts w:ascii="Times New Roman" w:hAnsi="Times New Roman" w:cs="Times New Roman"/>
          <w:color w:val="000000" w:themeColor="text1"/>
          <w:sz w:val="24"/>
          <w:szCs w:val="24"/>
        </w:rPr>
        <w:t xml:space="preserve"> may derive from taste and food preferences that are “imprinted” from infancy</w:t>
      </w:r>
      <w:r w:rsidR="00B43E0F" w:rsidRPr="00A43421">
        <w:rPr>
          <w:rFonts w:ascii="Times New Roman" w:hAnsi="Times New Roman" w:cs="Times New Roman"/>
          <w:color w:val="000000" w:themeColor="text1"/>
          <w:sz w:val="24"/>
          <w:szCs w:val="24"/>
        </w:rPr>
        <w:t xml:space="preserve"> </w:t>
      </w:r>
      <w:r w:rsidR="00B43E0F"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"10.1097/MPG.0b013e31819774a5", "ISBN" : "2155218338", "ISSN" : "0277-2116", "PMID" : "19214055", "abstract" : "In this review, we first outline the role and mechanisms of the chemical senses (taste, smell, and chemical irritation) in the perception of the flavor of a food or beverage. We then describe research findings, much of them from our laboratories, on the ontogeny of flavor perception and the interacting roles of innate responses and learning in the establishment of flavor preference of infants and children. Broadly, taste (sweet, sour, salty, bitter, umami, or savory) preferences have a strong innate component. Sweet, umami, and salty substances are innately preferred, whereas bitter and many sour substances are innately rejected. Nevertheless, these innate tendencies can be modified by pre- and postnatal experiences. Volatile components of flavor, detected by the olfactory system, are strongly influenced by early exposure and learning beginning in utero and continuing during early milk (breast milk or formula) feedings. These experiences set the stage for later food choices and are important in establishing life-long food habits. As many of the diseases plaguing developed and developing societies involve excess consumption of some foods, an understanding of factors that determine choice and ingestion, particularly an understanding of the early factors, is important in designing strategies to enhance the health of the infant, child, and adult.", "author" : [ { "dropping-particle" : "", "family" : "Beauchamp", "given" : "Gary K", "non-dropping-particle" : "", "parse-names" : false, "suffix" : "" }, { "dropping-particle" : "", "family" : "Mennella", "given" : "Julie A", "non-dropping-particle" : "", "parse-names" : false, "suffix" : "" } ], "container-title" : "Journal of pediatric gastroenterology and nutrition", "id" : "ITEM-1", "issued" : { "date-parts" : [ [ "2009" ] ] }, "page" : "S25-S30", "title" : "Early flavor learning and its impact on later feeding behavior.", "type" : "article-journal", "volume" : "48 Suppl 1" }, "uris" : [ "http://www.mendeley.com/documents/?uuid=40cd5ca6-f24a-49e2-94aa-01358ba8d6d7" ] }, { "id" : "ITEM-2", "itemData" : { "DOI" : "10.3945/ajcn.113.069047.Am", "ISBN" : "0002-9165", "ISSN" : "1938-3207", "PMID" : "24452235", "abstract" : "guidance for caregivers who are feeding infants and toddlers; the current Dietary Guidelines are intended to apply to Americans over the age of 2 y. At present, the evidence base with regard to how and what children learn about food and eating behavior during these first years is limited. Before developing guidance for parents and care- givers, more scholarship and research is necessary to understand how infants and toddlers develop the food preferences and self-regulatory processes necessary to promote healthy growth, particularly in to- day\u2019s environment. By the time they reach 2 y of age, children have essentially completed the transition to \u201ctable foods\u201d and are consum- ing diets similar to those of other family members. This article discusses parenting and feeding approaches that may facilitate or impede the development of self-regulation of intake and the accep- tance of a variety of foods and flavors necessary for a healthy diet. We review the limited evidence on how traditional feeding practices, familiarization, associative learning, and observational learning affect the development of eating behavior in the context of the current food environment. Areas for future research that could in- form the development of anticipatory guidance for parents and care- givers responsible for the care and feeding of young children are identifie", "author" : [ { "dropping-particle" : "", "family" : "Birch", "given" : "Leann L", "non-dropping-particle" : "", "parse-names" : false, "suffix" : "" }, { "dropping-particle" : "", "family" : "Doub", "given" : "Allison E", "non-dropping-particle" : "", "parse-names" : false, "suffix" : "" } ], "container-title" : "The American journal of clinical nutrition", "id" : "ITEM-2", "issued" : { "date-parts" : [ [ "2014" ] ] }, "page" : "723-728", "title" : "Learning to eat : birth to age 2 y", "type" : "article-journal", "volume" : "99" }, "uris" : [ "http://www.mendeley.com/documents/?uuid=4b29d112-7d89-4773-9b5f-895adfa92b8a" ] }, { "id" : "ITEM-3", "itemData" : { "DOI" : "10.3945/ajcn.110.001685", "ISBN" : "1938-3207", "ISSN" : "00029165", "PMID" : "22089441", "abstract" : "Parents have a high degree of control over the environments and experiences of their children. Food preferences are shaped by a combination of genetic and environmental factors. This article is a review of current data on effective determinants of children's eating habits. The development of children's food preferences involves a complex interplay of genetic, familial, and environmental factors. There is evidence of a strong genetic influence on appetite traits in children, but environment plays an important role in modeling children's eating behaviors. Parents use a variety of strategies to influence children's eating habits, some of which are counterproductive. Overcontrol, restriction, pressure to eat, and a promise of rewards have negative effects on children's food acceptance. Parents' food preferences and eating behaviors provide an opportunity to model good eating habits. Satiety is closely related to diet composition, and foods with low energy density contribute to prevent overeating. Parents should be informed about the consequences of an unhealthy diet and lifestyle and motivated to change their nutritional habits. Parents should be the target of prevention programs because children model themselves on their parents' eating behaviors, lifestyles, eating-related attitudes, and dissatisfaction regarding body image. Pediatricians can have an important role in the prevention of diet-related diseases. Informed and motivated parents can become a model for children by offering a healthy, high-satiety, low-energy-dense diet and promoting self-regulation from the first years of life.", "author" : [ { "dropping-particle" : "", "family" : "Scaglioni", "given" : "Silvia", "non-dropping-particle" : "", "parse-names" : false, "suffix" : "" }, { "dropping-particle" : "", "family" : "Arrizza", "given" : "Chiara", "non-dropping-particle" : "", "parse-names" : false, "suffix" : "" }, { "dropping-particle" : "", "family" : "Vecchi", "given" : "Fiammetta", "non-dropping-particle" : "", "parse-names" : false, "suffix" : "" }, { "dropping-particle" : "", "family" : "Tedeschi", "given" : "Sabrina", "non-dropping-particle" : "", "parse-names" : false, "suffix" : "" } ], "container-title" : "American Journal of Clinical Nutrition", "id" : "ITEM-3", "issue" : "6", "issued" : { "date-parts" : [ [ "2011" ] ] }, "title" : "Determinants of children's eating behavior", "type" : "paper-conference", "volume" : "94" }, "uris" : [ "http://www.mendeley.com/documents/?uuid=24d8d20c-c585-48ab-961d-a3bf0c0b6d68" ] } ], "mendeley" : { "formattedCitation" : "(9,10,45)", "plainTextFormattedCitation" : "(9,10,45)", "previouslyFormattedCitation" : "(9,10,45)" }, "properties" : { "noteIndex" : 0 }, "schema" : "https://github.com/citation-style-language/schema/raw/master/csl-citation.json" }</w:instrText>
      </w:r>
      <w:r w:rsidR="00B43E0F"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(9,10,45)</w:t>
      </w:r>
      <w:r w:rsidR="00B43E0F" w:rsidRPr="00A43421">
        <w:rPr>
          <w:rFonts w:ascii="Times New Roman" w:hAnsi="Times New Roman" w:cs="Times New Roman"/>
          <w:color w:val="000000" w:themeColor="text1"/>
          <w:sz w:val="24"/>
          <w:szCs w:val="24"/>
          <w:vertAlign w:val="superscript"/>
        </w:rPr>
        <w:fldChar w:fldCharType="end"/>
      </w:r>
      <w:r w:rsidR="00842D3F" w:rsidRPr="00A43421">
        <w:rPr>
          <w:rFonts w:ascii="Times New Roman" w:hAnsi="Times New Roman" w:cs="Times New Roman"/>
          <w:i/>
          <w:color w:val="000000" w:themeColor="text1"/>
          <w:sz w:val="24"/>
          <w:szCs w:val="24"/>
        </w:rPr>
        <w:t xml:space="preserve">. </w:t>
      </w:r>
      <w:r w:rsidR="00185688" w:rsidRPr="00A43421">
        <w:rPr>
          <w:rFonts w:ascii="Times New Roman" w:hAnsi="Times New Roman" w:cs="Times New Roman"/>
          <w:color w:val="000000" w:themeColor="text1"/>
          <w:sz w:val="24"/>
          <w:szCs w:val="24"/>
        </w:rPr>
        <w:t xml:space="preserve">This is relevant from a public health perspective as excess intake of salty and sweet foods is related to many long-term conditions. </w:t>
      </w:r>
      <w:r w:rsidRPr="00A43421">
        <w:rPr>
          <w:rFonts w:ascii="Times New Roman" w:hAnsi="Times New Roman" w:cs="Times New Roman"/>
          <w:color w:val="000000" w:themeColor="text1"/>
          <w:sz w:val="24"/>
          <w:szCs w:val="24"/>
        </w:rPr>
        <w:t>The lack of correlation between any taste preference and any growth measurem</w:t>
      </w:r>
      <w:r w:rsidR="001B605B" w:rsidRPr="00A43421">
        <w:rPr>
          <w:rFonts w:ascii="Times New Roman" w:hAnsi="Times New Roman" w:cs="Times New Roman"/>
          <w:color w:val="000000" w:themeColor="text1"/>
          <w:sz w:val="24"/>
          <w:szCs w:val="24"/>
        </w:rPr>
        <w:t xml:space="preserve">ent, </w:t>
      </w:r>
      <w:r w:rsidR="00842D3F" w:rsidRPr="00A43421">
        <w:rPr>
          <w:rFonts w:ascii="Times New Roman" w:hAnsi="Times New Roman" w:cs="Times New Roman"/>
          <w:color w:val="000000" w:themeColor="text1"/>
          <w:sz w:val="24"/>
          <w:szCs w:val="24"/>
        </w:rPr>
        <w:t xml:space="preserve">infant feeding variable </w:t>
      </w:r>
      <w:r w:rsidRPr="00A43421">
        <w:rPr>
          <w:rFonts w:ascii="Times New Roman" w:hAnsi="Times New Roman" w:cs="Times New Roman"/>
          <w:color w:val="000000" w:themeColor="text1"/>
          <w:sz w:val="24"/>
          <w:szCs w:val="24"/>
        </w:rPr>
        <w:t>or number of food</w:t>
      </w:r>
      <w:r w:rsidR="00B43E0F" w:rsidRPr="00A43421">
        <w:rPr>
          <w:rFonts w:ascii="Times New Roman" w:hAnsi="Times New Roman" w:cs="Times New Roman"/>
          <w:color w:val="000000" w:themeColor="text1"/>
          <w:sz w:val="24"/>
          <w:szCs w:val="24"/>
        </w:rPr>
        <w:t>s</w:t>
      </w:r>
      <w:r w:rsidRPr="00A43421">
        <w:rPr>
          <w:rFonts w:ascii="Times New Roman" w:hAnsi="Times New Roman" w:cs="Times New Roman"/>
          <w:color w:val="000000" w:themeColor="text1"/>
          <w:sz w:val="24"/>
          <w:szCs w:val="24"/>
        </w:rPr>
        <w:t xml:space="preserve"> excluded is not surprising given the sample size.</w:t>
      </w:r>
      <w:r w:rsidRPr="00A43421">
        <w:rPr>
          <w:rFonts w:ascii="Arial" w:hAnsi="Arial" w:cs="Arial"/>
          <w:i/>
          <w:color w:val="000000" w:themeColor="text1"/>
        </w:rPr>
        <w:t xml:space="preserve"> </w:t>
      </w:r>
    </w:p>
    <w:p w14:paraId="41BDD651" w14:textId="0F3E36FC" w:rsidR="00B55E7B" w:rsidRPr="00A43421" w:rsidRDefault="001170A5" w:rsidP="00083A30">
      <w:pPr>
        <w:spacing w:line="360" w:lineRule="auto"/>
        <w:ind w:firstLine="720"/>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Only one study was identified in the literature</w:t>
      </w:r>
      <w:r w:rsidR="00B55E7B" w:rsidRPr="00A43421">
        <w:rPr>
          <w:rFonts w:ascii="Times New Roman" w:hAnsi="Times New Roman" w:cs="Times New Roman"/>
          <w:color w:val="000000" w:themeColor="text1"/>
          <w:sz w:val="24"/>
          <w:szCs w:val="24"/>
        </w:rPr>
        <w:t xml:space="preserve"> that assessed taste preference in children </w:t>
      </w:r>
      <w:r w:rsidR="00842D3F" w:rsidRPr="00A43421">
        <w:rPr>
          <w:rFonts w:ascii="Times New Roman" w:hAnsi="Times New Roman" w:cs="Times New Roman"/>
          <w:color w:val="000000" w:themeColor="text1"/>
          <w:sz w:val="24"/>
          <w:szCs w:val="24"/>
        </w:rPr>
        <w:t xml:space="preserve">older than seven years </w:t>
      </w:r>
      <w:r w:rsidR="00B55E7B" w:rsidRPr="00A43421">
        <w:rPr>
          <w:rFonts w:ascii="Times New Roman" w:hAnsi="Times New Roman" w:cs="Times New Roman"/>
          <w:color w:val="000000" w:themeColor="text1"/>
          <w:sz w:val="24"/>
          <w:szCs w:val="24"/>
        </w:rPr>
        <w:t>previously fed substitute formula</w:t>
      </w:r>
      <w:r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"10.1016/j.clnu.2010.01.007", "ISBN" : "1532-1983 (Electronic)\\r0261-5614 (Linking)", "ISSN" : "02615614", "PMID" : "20110140", "abstract" : "Background &amp; aims: There is some evidence that the type of infant formula received in early infancy has an influence on later food preferences. How long potential effects of taste programming persist is however not clear. Therefore, the aim of present study was to investigate whether feeding with different kinds of infant formula is associated with the acceptance of infant formula at 10 years of age. Methods: Preference testing was conducted in 833 10-year old children being part of the interventional subgroup of the German Infant Nutritional Intervention Program Plus Study (GINIplus). If they were not exclusively breastfed, these children have been fed with either one of three hydrolysed formulas or a cow's milk formula during the first four months of life. Results: Feeding with any kind of hydrolysed formula in infancy was positively associated with a higher acceptance of extensively hydrolysed casein formula (aOR: 1.88; 95% CI 1.08, 3.29) after adjusting for sex and study centre. Conclusions: Although this study did not show consistent associations and thus leaves some questions unanswered, it might stimulate further research on the potential programming effect of early infant feeding. \u00a9 2010 Elsevier Ltd and European Society for Clinical Nutrition and Metabolism.", "author" : [ { "dropping-particle" : "", "family" : "Sausenthaler", "given" : "Stefanie", "non-dropping-particle" : "", "parse-names" : false, "suffix" : "" }, { "dropping-particle" : "", "family" : "Koletzko", "given" : "Sibylle", "non-dropping-particle" : "", "parse-names" : false, "suffix" : "" }, { "dropping-particle" : "", "family" : "Koletzko", "given" : "Berthold", "non-dropping-particle" : "", "parse-names" : false, "suffix" : "" }, { "dropping-particle" : "", "family" : "Reinhardt", "given" : "Dietrich", "non-dropping-particle" : "", "parse-names" : false, "suffix" : "" }, { "dropping-particle" : "", "family" : "Kr\u00e4mer", "given" : "Ursula", "non-dropping-particle" : "", "parse-names" : false, "suffix" : "" }, { "dropping-particle" : "", "family" : "Berg", "given" : "Andrea", "non-dropping-particle" : "von", "parse-names" : false, "suffix" : "" }, { "dropping-particle" : "", "family" : "Berdel", "given" : "Dietrich", "non-dropping-particle" : "", "parse-names" : false, "suffix" : "" }, { "dropping-particle" : "", "family" : "Bauer", "given" : "Carl Peter", "non-dropping-particle" : "", "parse-names" : false, "suffix" : "" }, { "dropping-particle" : "", "family" : "Gr\u00fcbl", "given" : "Armin", "non-dropping-particle" : "", "parse-names" : false, "suffix" : "" }, { "dropping-particle" : "", "family" : "Wichmann", "given" : "H. Erich", "non-dropping-particle" : "", "parse-names" : false, "suffix" : "" }, { "dropping-particle" : "", "family" : "Heinrich", "given" : "Joachim", "non-dropping-particle" : "", "parse-names" : false, "suffix" : "" } ], "container-title" : "Clinical Nutrition", "id" : "ITEM-1", "issue" : "3", "issued" : { "date-parts" : [ [ "2010" ] ] }, "page" : "304-306", "title" : "Effect of hydrolysed formula feeding on taste preferences at 10 years. Data from the German Infant Nutritional Intervention Program Plus Study", "type" : "article-journal", "volume" : "29" }, "uris" : [ "http://www.mendeley.com/documents/?uuid=a9304679-96f9-4412-87fb-659816715a3f" ] } ], "mendeley" : { "formattedCitation" : "(8)", "plainTextFormattedCitation" : "(8)", "previouslyFormattedCitation" : "(8)" }, "properties" : { "noteIndex" : 0 }, "schema" : "https://github.com/citation-style-language/schema/raw/master/csl-citation.json" }</w:instrText>
      </w:r>
      <w:r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(8)</w:t>
      </w:r>
      <w:r w:rsidRPr="00A43421">
        <w:rPr>
          <w:rFonts w:ascii="Times New Roman" w:hAnsi="Times New Roman" w:cs="Times New Roman"/>
          <w:color w:val="000000" w:themeColor="text1"/>
          <w:sz w:val="24"/>
          <w:szCs w:val="24"/>
          <w:vertAlign w:val="superscript"/>
        </w:rPr>
        <w:fldChar w:fldCharType="end"/>
      </w:r>
      <w:r w:rsidRPr="00A43421">
        <w:rPr>
          <w:rFonts w:ascii="Times New Roman" w:hAnsi="Times New Roman" w:cs="Times New Roman"/>
          <w:color w:val="000000" w:themeColor="text1"/>
          <w:sz w:val="24"/>
          <w:szCs w:val="24"/>
        </w:rPr>
        <w:t xml:space="preserve">. </w:t>
      </w:r>
      <w:r w:rsidR="005D23CA" w:rsidRPr="00A43421">
        <w:rPr>
          <w:rStyle w:val="apple-style-span"/>
          <w:rFonts w:ascii="Times New Roman" w:eastAsia="Arial Unicode MS" w:hAnsi="Times New Roman" w:cs="Times New Roman"/>
          <w:color w:val="000000" w:themeColor="text1"/>
          <w:sz w:val="24"/>
          <w:szCs w:val="24"/>
          <w:bdr w:val="none" w:sz="0" w:space="0" w:color="auto" w:frame="1"/>
          <w:shd w:val="clear" w:color="auto" w:fill="FFFFFF"/>
        </w:rPr>
        <w:t xml:space="preserve">This study (n = 833) </w:t>
      </w:r>
      <w:r w:rsidR="00B55E7B" w:rsidRPr="00A43421">
        <w:rPr>
          <w:rStyle w:val="apple-style-span"/>
          <w:rFonts w:ascii="Times New Roman" w:eastAsia="Arial Unicode MS" w:hAnsi="Times New Roman" w:cs="Times New Roman"/>
          <w:color w:val="000000" w:themeColor="text1"/>
          <w:sz w:val="24"/>
          <w:szCs w:val="24"/>
          <w:shd w:val="clear" w:color="auto" w:fill="FFFFFF"/>
        </w:rPr>
        <w:t>found a positive association between feeding hydrolysed formula in infancy and the acceptance of extensively hydrolysed casein formula</w:t>
      </w:r>
      <w:r w:rsidRPr="00A43421">
        <w:rPr>
          <w:rStyle w:val="apple-style-span"/>
          <w:rFonts w:ascii="Times New Roman" w:eastAsia="Arial Unicode MS" w:hAnsi="Times New Roman" w:cs="Times New Roman"/>
          <w:color w:val="000000" w:themeColor="text1"/>
          <w:sz w:val="24"/>
          <w:szCs w:val="24"/>
          <w:shd w:val="clear" w:color="auto" w:fill="FFFFFF"/>
        </w:rPr>
        <w:t xml:space="preserve"> at age ten</w:t>
      </w:r>
      <w:r w:rsidR="00B55E7B" w:rsidRPr="00A43421">
        <w:rPr>
          <w:rStyle w:val="apple-style-span"/>
          <w:rFonts w:ascii="Times New Roman" w:eastAsia="Arial Unicode MS" w:hAnsi="Times New Roman" w:cs="Times New Roman"/>
          <w:color w:val="000000" w:themeColor="text1"/>
          <w:sz w:val="24"/>
          <w:szCs w:val="24"/>
          <w:shd w:val="clear" w:color="auto" w:fill="FFFFFF"/>
        </w:rPr>
        <w:t xml:space="preserve">; although the data distribution was extremely skewed </w:t>
      </w:r>
      <w:r w:rsidRPr="00A43421">
        <w:rPr>
          <w:rStyle w:val="apple-style-span"/>
          <w:rFonts w:ascii="Times New Roman" w:eastAsia="Arial Unicode MS" w:hAnsi="Times New Roman" w:cs="Times New Roman"/>
          <w:color w:val="000000" w:themeColor="text1"/>
          <w:sz w:val="24"/>
          <w:szCs w:val="24"/>
          <w:shd w:val="clear" w:color="auto" w:fill="FFFFFF"/>
        </w:rPr>
        <w:t>as</w:t>
      </w:r>
      <w:r w:rsidR="00B55E7B" w:rsidRPr="00A43421">
        <w:rPr>
          <w:rStyle w:val="apple-style-span"/>
          <w:rFonts w:ascii="Times New Roman" w:eastAsia="Arial Unicode MS" w:hAnsi="Times New Roman" w:cs="Times New Roman"/>
          <w:color w:val="000000" w:themeColor="text1"/>
          <w:sz w:val="24"/>
          <w:szCs w:val="24"/>
          <w:shd w:val="clear" w:color="auto" w:fill="FFFFFF"/>
        </w:rPr>
        <w:t xml:space="preserve"> all children rated the taste</w:t>
      </w:r>
      <w:r w:rsidR="00FD6C09" w:rsidRPr="00A43421">
        <w:rPr>
          <w:rStyle w:val="apple-style-span"/>
          <w:rFonts w:ascii="Times New Roman" w:eastAsia="Arial Unicode MS" w:hAnsi="Times New Roman" w:cs="Times New Roman"/>
          <w:color w:val="000000" w:themeColor="text1"/>
          <w:sz w:val="24"/>
          <w:szCs w:val="24"/>
          <w:shd w:val="clear" w:color="auto" w:fill="FFFFFF"/>
        </w:rPr>
        <w:t xml:space="preserve"> of the formula very negatively</w:t>
      </w:r>
      <w:r w:rsidR="00B55E7B" w:rsidRPr="00A43421">
        <w:rPr>
          <w:rStyle w:val="apple-style-span"/>
          <w:rFonts w:ascii="Times New Roman" w:eastAsia="Arial Unicode MS" w:hAnsi="Times New Roman" w:cs="Times New Roman"/>
          <w:color w:val="000000" w:themeColor="text1"/>
          <w:sz w:val="24"/>
          <w:szCs w:val="24"/>
          <w:shd w:val="clear" w:color="auto" w:fill="FFFFFF"/>
          <w:vertAlign w:val="superscript"/>
        </w:rPr>
        <w:fldChar w:fldCharType="begin" w:fldLock="1"/>
      </w:r>
      <w:r w:rsidR="001B2983" w:rsidRPr="00A43421">
        <w:rPr>
          <w:rStyle w:val="apple-style-span"/>
          <w:rFonts w:ascii="Times New Roman" w:eastAsia="Arial Unicode MS" w:hAnsi="Times New Roman" w:cs="Times New Roman"/>
          <w:color w:val="000000" w:themeColor="text1"/>
          <w:sz w:val="24"/>
          <w:szCs w:val="24"/>
          <w:shd w:val="clear" w:color="auto" w:fill="FFFFFF"/>
          <w:vertAlign w:val="superscript"/>
        </w:rPr>
        <w:instrText>ADDIN CSL_CITATION { "citationItems" : [ { "id" : "ITEM-1", "itemData" : { "DOI" : "10.1016/j.clnu.2010.01.007", "ISBN" : "1532-1983 (Electronic)\\r0261-5614 (Linking)", "ISSN" : "02615614", "PMID" : "20110140", "abstract" : "Background &amp; aims: There is some evidence that the type of infant formula received in early infancy has an influence on later food preferences. How long potential effects of taste programming persist is however not clear. Therefore, the aim of present study was to investigate whether feeding with different kinds of infant formula is associated with the acceptance of infant formula at 10 years of age. Methods: Preference testing was conducted in 833 10-year old children being part of the interventional subgroup of the German Infant Nutritional Intervention Program Plus Study (GINIplus). If they were not exclusively breastfed, these children have been fed with either one of three hydrolysed formulas or a cow's milk formula during the first four months of life. Results: Feeding with any kind of hydrolysed formula in infancy was positively associated with a higher acceptance of extensively hydrolysed casein formula (aOR: 1.88; 95% CI 1.08, 3.29) after adjusting for sex and study centre. Conclusions: Although this study did not show consistent associations and thus leaves some questions unanswered, it might stimulate further research on the potential programming effect of early infant feeding. \u00a9 2010 Elsevier Ltd and European Society for Clinical Nutrition and Metabolism.", "author" : [ { "dropping-particle" : "", "family" : "Sausenthaler", "given" : "Stefanie", "non-dropping-particle" : "", "parse-names" : false, "suffix" : "" }, { "dropping-particle" : "", "family" : "Koletzko", "given" : "Sibylle", "non-dropping-particle" : "", "parse-names" : false, "suffix" : "" }, { "dropping-particle" : "", "family" : "Koletzko", "given" : "Berthold", "non-dropping-particle" : "", "parse-names" : false, "suffix" : "" }, { "dropping-particle" : "", "family" : "Reinhardt", "given" : "Dietrich", "non-dropping-particle" : "", "parse-names" : false, "suffix" : "" }, { "dropping-particle" : "", "family" : "Kr\u00e4mer", "given" : "Ursula", "non-dropping-particle" : "", "parse-names" : false, "suffix" : "" }, { "dropping-particle" : "", "family" : "Berg", "given" : "Andrea", "non-dropping-particle" : "von", "parse-names" : false, "suffix" : "" }, { "dropping-particle" : "", "family" : "Berdel", "given" : "Dietrich", "non-dropping-particle" : "", "parse-names" : false, "suffix" : "" }, { "dropping-particle" : "", "family" : "Bauer", "given" : "Carl Peter", "non-dropping-particle" : "", "parse-names" : false, "suffix" : "" }, { "dropping-particle" : "", "family" : "Gr\u00fcbl", "given" : "Armin", "non-dropping-particle" : "", "parse-names" : false, "suffix" : "" }, { "dropping-particle" : "", "family" : "Wichmann", "given" : "H. Erich", "non-dropping-particle" : "", "parse-names" : false, "suffix" : "" }, { "dropping-particle" : "", "family" : "Heinrich", "given" : "Joachim", "non-dropping-particle" : "", "parse-names" : false, "suffix" : "" } ], "container-title" : "Clinical Nutrition", "id" : "ITEM-1", "issue" : "3", "issued" : { "date-parts" : [ [ "2010" ] ] }, "page" : "304-306", "title" : "Effect of hydrolysed formula feeding on taste preferences at 10 years. Data from the German Infant Nutritional Intervention Program Plus Study", "type" : "article-journal", "volume" : "29" }, "uris" : [ "http://www.mendeley.com/documents/?uuid=a9304679-96f9-4412-87fb-659816715a3f" ] } ], "mendeley" : { "formattedCitation" : "(8)", "plainTextFormattedCitation" : "(8)", "previouslyFormattedCitation" : "(8)" }, "properties" : { "noteIndex" : 0 }, "schema" : "https://github.com/citation-style-language/schema/raw/master/csl-citation.json" }</w:instrText>
      </w:r>
      <w:r w:rsidR="00B55E7B" w:rsidRPr="00A43421">
        <w:rPr>
          <w:rStyle w:val="apple-style-span"/>
          <w:rFonts w:ascii="Times New Roman" w:eastAsia="Arial Unicode MS" w:hAnsi="Times New Roman" w:cs="Times New Roman"/>
          <w:color w:val="000000" w:themeColor="text1"/>
          <w:sz w:val="24"/>
          <w:szCs w:val="24"/>
          <w:shd w:val="clear" w:color="auto" w:fill="FFFFFF"/>
          <w:vertAlign w:val="superscript"/>
        </w:rPr>
        <w:fldChar w:fldCharType="separate"/>
      </w:r>
      <w:r w:rsidR="001B2983" w:rsidRPr="00A43421">
        <w:rPr>
          <w:rStyle w:val="apple-style-span"/>
          <w:rFonts w:ascii="Times New Roman" w:eastAsia="Arial Unicode MS" w:hAnsi="Times New Roman" w:cs="Times New Roman"/>
          <w:noProof/>
          <w:color w:val="000000" w:themeColor="text1"/>
          <w:sz w:val="24"/>
          <w:szCs w:val="24"/>
          <w:shd w:val="clear" w:color="auto" w:fill="FFFFFF"/>
          <w:vertAlign w:val="superscript"/>
        </w:rPr>
        <w:t>(8)</w:t>
      </w:r>
      <w:r w:rsidR="00B55E7B" w:rsidRPr="00A43421">
        <w:rPr>
          <w:rStyle w:val="apple-style-span"/>
          <w:rFonts w:ascii="Times New Roman" w:eastAsia="Arial Unicode MS" w:hAnsi="Times New Roman" w:cs="Times New Roman"/>
          <w:color w:val="000000" w:themeColor="text1"/>
          <w:sz w:val="24"/>
          <w:szCs w:val="24"/>
          <w:shd w:val="clear" w:color="auto" w:fill="FFFFFF"/>
          <w:vertAlign w:val="superscript"/>
        </w:rPr>
        <w:fldChar w:fldCharType="end"/>
      </w:r>
      <w:r w:rsidR="00B55E7B" w:rsidRPr="00A43421">
        <w:rPr>
          <w:rStyle w:val="apple-style-span"/>
          <w:rFonts w:ascii="Times New Roman" w:eastAsia="Arial Unicode MS" w:hAnsi="Times New Roman" w:cs="Times New Roman"/>
          <w:color w:val="000000" w:themeColor="text1"/>
          <w:sz w:val="24"/>
          <w:szCs w:val="24"/>
          <w:shd w:val="clear" w:color="auto" w:fill="FFFFFF"/>
        </w:rPr>
        <w:t xml:space="preserve">. </w:t>
      </w:r>
      <w:r w:rsidRPr="00A43421">
        <w:rPr>
          <w:rStyle w:val="apple-style-span"/>
          <w:rFonts w:ascii="Times New Roman" w:eastAsia="Arial Unicode MS" w:hAnsi="Times New Roman" w:cs="Times New Roman"/>
          <w:color w:val="000000" w:themeColor="text1"/>
          <w:sz w:val="24"/>
          <w:szCs w:val="24"/>
          <w:shd w:val="clear" w:color="auto" w:fill="FFFFFF"/>
        </w:rPr>
        <w:t>Due to the timing of the FAIR and PIFA studies, the majority of children in the CME group were fed soya formula</w:t>
      </w:r>
      <w:r w:rsidR="001B605B" w:rsidRPr="00A43421">
        <w:rPr>
          <w:rStyle w:val="apple-style-span"/>
          <w:rFonts w:ascii="Times New Roman" w:eastAsia="Arial Unicode MS" w:hAnsi="Times New Roman" w:cs="Times New Roman"/>
          <w:color w:val="000000" w:themeColor="text1"/>
          <w:sz w:val="24"/>
          <w:szCs w:val="24"/>
          <w:shd w:val="clear" w:color="auto" w:fill="FFFFFF"/>
        </w:rPr>
        <w:t xml:space="preserve">, which is not currently indicated as first line treatment of CMA in infant under six months old </w:t>
      </w:r>
      <w:r w:rsidR="001B605B" w:rsidRPr="00A43421">
        <w:rPr>
          <w:rStyle w:val="apple-style-span"/>
          <w:rFonts w:ascii="Times New Roman" w:eastAsia="Arial Unicode MS" w:hAnsi="Times New Roman" w:cs="Times New Roman"/>
          <w:color w:val="000000" w:themeColor="text1"/>
          <w:sz w:val="24"/>
          <w:szCs w:val="24"/>
          <w:shd w:val="clear" w:color="auto" w:fill="FFFFFF"/>
          <w:vertAlign w:val="superscript"/>
        </w:rPr>
        <w:fldChar w:fldCharType="begin" w:fldLock="1"/>
      </w:r>
      <w:r w:rsidR="001B2983" w:rsidRPr="00A43421">
        <w:rPr>
          <w:rStyle w:val="apple-style-span"/>
          <w:rFonts w:ascii="Times New Roman" w:eastAsia="Arial Unicode MS" w:hAnsi="Times New Roman" w:cs="Times New Roman"/>
          <w:color w:val="000000" w:themeColor="text1"/>
          <w:sz w:val="24"/>
          <w:szCs w:val="24"/>
          <w:shd w:val="clear" w:color="auto" w:fill="FFFFFF"/>
          <w:vertAlign w:val="superscript"/>
        </w:rPr>
        <w:instrText>ADDIN CSL_CITATION { "citationItems" : [ { "id" : "ITEM-1", "itemData" : { "DOI" : "10.1111/cea.12302", "ISSN" : "1365-2222", "PMID" : "24588904", "abstract" : "This guideline advises on the management of patients with cow's milk allergy. Cow's milk allergy presents in the first year of life with estimated population prevalence between 2% and 3%. The clinical manifestations of cow's milk allergy are very variable in type and severity making it the most difficult food allergy to diagnose. A careful age- and disease-specific history with relevant allergy tests including detection of milk-specific IgE (by skin prick test or serum assay), diagnostic elimination diet, and oral challenge will aid in diagnosis in most cases. Treatment is advice on cow's milk avoidance and suitable substitute milks. Cow's milk allergy often resolves. Reintroduction can be achieved by the graded exposure, either at home or supervised in hospital depending on severity, using a milk ladder. Where cow's milk allergy persists, novel treatment options may include oral tolerance induction, although most authors do not currently recommend it for routine clinical practice. Cow's milk allergy must be distinguished from primary lactose intolerance. This guideline was prepared by the Standards of Care Committee (SOCC) of the British Society for Allergy and Clinical Immunology (BSACI) and is intended for clinicians in secondary and tertiary care. The recommendations are evidence based, but where evidence is lacking the panel of experts in the committee reached consensus. Grades of recommendation are shown throughout. The document encompasses epidemiology, natural history, clinical presentations, diagnosis, and treatment.", "author" : [ { "dropping-particle" : "", "family" : "Luyt", "given" : "D", "non-dropping-particle" : "", "parse-names" : false, "suffix" : "" }, { "dropping-particle" : "", "family" : "Ball", "given" : "H", "non-dropping-particle" : "", "parse-names" : false, "suffix" : "" }, { "dropping-particle" : "", "family" : "Makwana", "given" : "N", "non-dropping-particle" : "", "parse-names" : false, "suffix" : "" }, { "dropping-particle" : "", "family" : "Green", "given" : "M R", "non-dropping-particle" : "", "parse-names" : false, "suffix" : "" }, { "dropping-particle" : "", "family" : "Bravin", "given" : "K", "non-dropping-particle" : "", "parse-names" : false, "suffix" : "" }, { "dropping-particle" : "", "family" : "Nasser", "given" : "S M", "non-dropping-particle" : "", "parse-names" : false, "suffix" : "" }, { "dropping-particle" : "", "family" : "Clark", "given" : "a T", "non-dropping-particle" : "", "parse-names" : false, "suffix" : "" } ], "container-title" : "Clinical and experimental allergy : journal of the British Society for Allergy and Clinical Immunology", "id" : "ITEM-1", "issue" : "5", "issued" : { "date-parts" : [ [ "2014" ] ] }, "page" : "642-72", "title" : "BSACI guideline for the diagnosis and management of cow's milk allergy.", "type" : "article-journal", "volume" : "44" }, "uris" : [ "http://www.mendeley.com/documents/?uuid=06a86542-5950-416f-ab5b-a50f469213f6" ] }, { "id" : "ITEM-2", "itemData" : { "DOI" : "10.1186/2045-7022-3-23", "ISSN" : "2045-7022", "PMID" : "23835522", "abstract" : "The UK NICE guideline on the Diagnosis and Assessment of Food Allergy in Children and Young People was published in 2011, highlighting the important role of primary care physicians, dietitians, nurses and other community based health care professionals in the diagnosis and assessment of IgE and non-IgE-mediated food allergies in children. The guideline suggests that those with suspected IgE-mediated disease and those suspected to suffer from severe non-IgE-mediated disease are referred on to secondary or tertiary level care. What is evident from this guideline is that the responsibility for the diagnostic food challenge, ongoing management and determining of tolerance to cow's milk in children with less severe non-IgE-mediated food allergies is ultimately that of the primary care/community based health care staff, but this discussion fell outside of the current NICE guideline. Some clinical members of the guideline development group (CV, JW, ATF, TB) therefore felt that there was a particular need to extend this into a more practical guideline for cow's milk allergy. This subset of the guideline development group with the additional expertise of a paediatric gastroenterologist (NS) therefore aimed to produce a UK Primary Care Guideline for the initial clinical recognition of all forms of cow's milk allergy and the ongoing management of those with non-severe non-IgE-mediated cow's milk allergy in the form of algorithms. These algorithms will be discussed in this review paper, drawing on guidance primarily from the UK NICE guideline, but also from the DRACMA guidelines, ESPGHAN guidelines, Australian guidelines and the US NIAID guidelines.", "author" : [ { "dropping-particle" : "", "family" : "Venter", "given" : "C", "non-dropping-particle" : "", "parse-names" : false, "suffix" : "" }, { "dropping-particle" : "", "family" : "Brown", "given" : "Trevor", "non-dropping-particle" : "", "parse-names" : false, "suffix" : "" }, { "dropping-particle" : "", "family" : "Shah", "given" : "Neil", "non-dropping-particle" : "", "parse-names" : false, "suffix" : "" }, { "dropping-particle" : "", "family" : "Walsh", "given" : "Joanne", "non-dropping-particle" : "", "parse-names" : false, "suffix" : "" }, { "dropping-particle" : "", "family" : "Fox", "given" : "Adam T", "non-dropping-particle" : "", "parse-names" : false, "suffix" : "" } ], "container-title" : "Clinical and translational allergy", "id" : "ITEM-2", "issue" : "1", "issued" : { "date-parts" : [ [ "2013" ] ] }, "page" : "23", "title" : "Diagnosis and management of non-IgE-mediated cow's milk allergy in infancy - a UK primary care practical guide.", "type" : "article-journal", "volume" : "3" }, "uris" : [ "http://www.mendeley.com/documents/?uuid=f232c8e8-d56b-46a8-b973-ca22f49654f4" ] } ], "mendeley" : { "formattedCitation" : "(4,5)", "plainTextFormattedCitation" : "(4,5)", "previouslyFormattedCitation" : "(4,5)" }, "properties" : { "noteIndex" : 0 }, "schema" : "https://github.com/citation-style-language/schema/raw/master/csl-citation.json" }</w:instrText>
      </w:r>
      <w:r w:rsidR="001B605B" w:rsidRPr="00A43421">
        <w:rPr>
          <w:rStyle w:val="apple-style-span"/>
          <w:rFonts w:ascii="Times New Roman" w:eastAsia="Arial Unicode MS" w:hAnsi="Times New Roman" w:cs="Times New Roman"/>
          <w:color w:val="000000" w:themeColor="text1"/>
          <w:sz w:val="24"/>
          <w:szCs w:val="24"/>
          <w:shd w:val="clear" w:color="auto" w:fill="FFFFFF"/>
          <w:vertAlign w:val="superscript"/>
        </w:rPr>
        <w:fldChar w:fldCharType="separate"/>
      </w:r>
      <w:r w:rsidR="001B2983" w:rsidRPr="00A43421">
        <w:rPr>
          <w:rStyle w:val="apple-style-span"/>
          <w:rFonts w:ascii="Times New Roman" w:eastAsia="Arial Unicode MS" w:hAnsi="Times New Roman" w:cs="Times New Roman"/>
          <w:noProof/>
          <w:color w:val="000000" w:themeColor="text1"/>
          <w:sz w:val="24"/>
          <w:szCs w:val="24"/>
          <w:shd w:val="clear" w:color="auto" w:fill="FFFFFF"/>
          <w:vertAlign w:val="superscript"/>
        </w:rPr>
        <w:t>(4,5)</w:t>
      </w:r>
      <w:r w:rsidR="001B605B" w:rsidRPr="00A43421">
        <w:rPr>
          <w:rStyle w:val="apple-style-span"/>
          <w:rFonts w:ascii="Times New Roman" w:eastAsia="Arial Unicode MS" w:hAnsi="Times New Roman" w:cs="Times New Roman"/>
          <w:color w:val="000000" w:themeColor="text1"/>
          <w:sz w:val="24"/>
          <w:szCs w:val="24"/>
          <w:shd w:val="clear" w:color="auto" w:fill="FFFFFF"/>
          <w:vertAlign w:val="superscript"/>
        </w:rPr>
        <w:fldChar w:fldCharType="end"/>
      </w:r>
      <w:r w:rsidRPr="00A43421">
        <w:rPr>
          <w:rStyle w:val="apple-style-span"/>
          <w:rFonts w:ascii="Times New Roman" w:eastAsia="Arial Unicode MS" w:hAnsi="Times New Roman" w:cs="Times New Roman"/>
          <w:color w:val="000000" w:themeColor="text1"/>
          <w:sz w:val="24"/>
          <w:szCs w:val="24"/>
          <w:shd w:val="clear" w:color="auto" w:fill="FFFFFF"/>
        </w:rPr>
        <w:t xml:space="preserve">. </w:t>
      </w:r>
      <w:r w:rsidRPr="00A43421">
        <w:rPr>
          <w:rFonts w:ascii="Times New Roman" w:hAnsi="Times New Roman" w:cs="Times New Roman"/>
          <w:color w:val="000000" w:themeColor="text1"/>
          <w:sz w:val="24"/>
          <w:szCs w:val="24"/>
        </w:rPr>
        <w:t xml:space="preserve">However </w:t>
      </w:r>
      <w:r w:rsidR="001B605B" w:rsidRPr="00A43421">
        <w:rPr>
          <w:rFonts w:ascii="Times New Roman" w:hAnsi="Times New Roman" w:cs="Times New Roman"/>
          <w:color w:val="000000" w:themeColor="text1"/>
          <w:sz w:val="24"/>
          <w:szCs w:val="24"/>
        </w:rPr>
        <w:t xml:space="preserve">as </w:t>
      </w:r>
      <w:r w:rsidRPr="00A43421">
        <w:rPr>
          <w:rFonts w:ascii="Times New Roman" w:hAnsi="Times New Roman" w:cs="Times New Roman"/>
          <w:color w:val="000000" w:themeColor="text1"/>
          <w:sz w:val="24"/>
          <w:szCs w:val="24"/>
        </w:rPr>
        <w:t>w</w:t>
      </w:r>
      <w:r w:rsidR="00B55E7B" w:rsidRPr="00A43421">
        <w:rPr>
          <w:rFonts w:ascii="Times New Roman" w:hAnsi="Times New Roman" w:cs="Times New Roman"/>
          <w:color w:val="000000" w:themeColor="text1"/>
          <w:sz w:val="24"/>
          <w:szCs w:val="24"/>
        </w:rPr>
        <w:t>e did not detect any difference between formula groups,</w:t>
      </w:r>
      <w:r w:rsidR="00842D3F" w:rsidRPr="00A43421">
        <w:rPr>
          <w:rFonts w:ascii="Times New Roman" w:hAnsi="Times New Roman" w:cs="Times New Roman"/>
          <w:color w:val="000000" w:themeColor="text1"/>
          <w:sz w:val="24"/>
          <w:szCs w:val="24"/>
        </w:rPr>
        <w:t xml:space="preserve"> </w:t>
      </w:r>
      <w:r w:rsidR="00B55E7B" w:rsidRPr="00A43421">
        <w:rPr>
          <w:rFonts w:ascii="Times New Roman" w:hAnsi="Times New Roman" w:cs="Times New Roman"/>
          <w:color w:val="000000" w:themeColor="text1"/>
          <w:sz w:val="24"/>
          <w:szCs w:val="24"/>
        </w:rPr>
        <w:t xml:space="preserve">it is not possible to say whether being fed </w:t>
      </w:r>
      <w:r w:rsidRPr="00A43421">
        <w:rPr>
          <w:rFonts w:ascii="Times New Roman" w:hAnsi="Times New Roman" w:cs="Times New Roman"/>
          <w:color w:val="000000" w:themeColor="text1"/>
          <w:sz w:val="24"/>
          <w:szCs w:val="24"/>
        </w:rPr>
        <w:t>an extensively hydrolysed, amino acid or soya</w:t>
      </w:r>
      <w:r w:rsidR="00B55E7B" w:rsidRPr="00A43421">
        <w:rPr>
          <w:rFonts w:ascii="Times New Roman" w:hAnsi="Times New Roman" w:cs="Times New Roman"/>
          <w:color w:val="000000" w:themeColor="text1"/>
          <w:sz w:val="24"/>
          <w:szCs w:val="24"/>
        </w:rPr>
        <w:t xml:space="preserve"> formula has any greater effect on bitter taste preference. Additionally amongst the CME group, because bitter taste preference was not found to be significantly correlated with age of introduction/duration of substitute formula, age of introduction of solids, duration of breastfeeding or number of foods excluded, it is diffic</w:t>
      </w:r>
      <w:r w:rsidR="005D23CA" w:rsidRPr="00A43421">
        <w:rPr>
          <w:rFonts w:ascii="Times New Roman" w:hAnsi="Times New Roman" w:cs="Times New Roman"/>
          <w:color w:val="000000" w:themeColor="text1"/>
          <w:sz w:val="24"/>
          <w:szCs w:val="24"/>
        </w:rPr>
        <w:t>ult to draw any firm conclusions.</w:t>
      </w:r>
    </w:p>
    <w:p w14:paraId="2AD3C2E9" w14:textId="51C69373" w:rsidR="0018479C" w:rsidRPr="00A43421" w:rsidRDefault="00C93532" w:rsidP="00083A30">
      <w:pPr>
        <w:spacing w:line="360" w:lineRule="auto"/>
        <w:ind w:firstLine="720"/>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The results of the food neophobia questionnaire demonstrated no difference betwe</w:t>
      </w:r>
      <w:r w:rsidR="001F1BB5" w:rsidRPr="00A43421">
        <w:rPr>
          <w:rFonts w:ascii="Times New Roman" w:hAnsi="Times New Roman" w:cs="Times New Roman"/>
          <w:color w:val="000000" w:themeColor="text1"/>
          <w:sz w:val="24"/>
          <w:szCs w:val="24"/>
        </w:rPr>
        <w:t xml:space="preserve">en dietary exclusion groups. This </w:t>
      </w:r>
      <w:r w:rsidRPr="00A43421">
        <w:rPr>
          <w:rFonts w:ascii="Times New Roman" w:hAnsi="Times New Roman" w:cs="Times New Roman"/>
          <w:color w:val="000000" w:themeColor="text1"/>
          <w:sz w:val="24"/>
          <w:szCs w:val="24"/>
        </w:rPr>
        <w:t xml:space="preserve">could be due to </w:t>
      </w:r>
      <w:r w:rsidR="001F1BB5" w:rsidRPr="00A43421">
        <w:rPr>
          <w:rFonts w:ascii="Times New Roman" w:hAnsi="Times New Roman" w:cs="Times New Roman"/>
          <w:color w:val="000000" w:themeColor="text1"/>
          <w:sz w:val="24"/>
          <w:szCs w:val="24"/>
        </w:rPr>
        <w:t>the age of the participants</w:t>
      </w:r>
      <w:r w:rsidR="001B605B" w:rsidRPr="00A43421">
        <w:rPr>
          <w:rFonts w:ascii="Times New Roman" w:hAnsi="Times New Roman" w:cs="Times New Roman"/>
          <w:color w:val="000000" w:themeColor="text1"/>
          <w:sz w:val="24"/>
          <w:szCs w:val="24"/>
        </w:rPr>
        <w:t>,</w:t>
      </w:r>
      <w:r w:rsidR="001F1BB5" w:rsidRPr="00A43421">
        <w:rPr>
          <w:rFonts w:ascii="Times New Roman" w:hAnsi="Times New Roman" w:cs="Times New Roman"/>
          <w:color w:val="000000" w:themeColor="text1"/>
          <w:sz w:val="24"/>
          <w:szCs w:val="24"/>
        </w:rPr>
        <w:t xml:space="preserve"> as</w:t>
      </w:r>
      <w:r w:rsidRPr="00A43421">
        <w:rPr>
          <w:rFonts w:ascii="Times New Roman" w:hAnsi="Times New Roman" w:cs="Times New Roman"/>
          <w:color w:val="000000" w:themeColor="text1"/>
          <w:sz w:val="24"/>
          <w:szCs w:val="24"/>
        </w:rPr>
        <w:t xml:space="preserve"> neophobia is t</w:t>
      </w:r>
      <w:r w:rsidR="00FD6C09" w:rsidRPr="00A43421">
        <w:rPr>
          <w:rFonts w:ascii="Times New Roman" w:hAnsi="Times New Roman" w:cs="Times New Roman"/>
          <w:color w:val="000000" w:themeColor="text1"/>
          <w:sz w:val="24"/>
          <w:szCs w:val="24"/>
        </w:rPr>
        <w:t>hought to peak at 2-6 years old</w:t>
      </w:r>
      <w:r w:rsidRPr="00A43421">
        <w:rPr>
          <w:rFonts w:ascii="Times New Roman" w:hAnsi="Times New Roman" w:cs="Times New Roman"/>
          <w:color w:val="000000" w:themeColor="text1"/>
          <w:sz w:val="24"/>
          <w:szCs w:val="24"/>
          <w:vertAlign w:val="superscript"/>
        </w:rPr>
        <w:fldChar w:fldCharType="begin" w:fldLock="1"/>
      </w:r>
      <w:r w:rsidR="005D23CA" w:rsidRPr="00A43421">
        <w:rPr>
          <w:rFonts w:ascii="Times New Roman" w:hAnsi="Times New Roman" w:cs="Times New Roman"/>
          <w:color w:val="000000" w:themeColor="text1"/>
          <w:sz w:val="24"/>
          <w:szCs w:val="24"/>
          <w:vertAlign w:val="superscript"/>
        </w:rPr>
        <w:instrText>ADDIN CSL_CITATION { "citationItems" : [ { "id" : "ITEM-1", "itemData" : { "DOI" : "10.1016/j.appet.2005.07.007", "ISBN" : "0195-6663", "ISSN" : "01956663", "PMID" : "16239048", "abstract" : "Social influences have been shown to be very important to overcome food neophobia in young children. However, there is no experimental evidence about whether social influences on food acceptance are specific, that is if models eating the same food as the child are more effective in promoting food acceptance than models eating a different food. We assessed children's behavior towards novel foods when an adult model (a) was not eating (Presence condition), (b) was eating a food of a Different color (Different color condition), and (c) was eating a food of the Same color (Same color condition). We tested 27 children (ages 2- to 5-years-old) recruited from The Pennsylvania State University day-care facilities. Results show that children accepted and ate their novel food more in the Same color condition than in the Different color and in the Presence conditions. Therefore, in young children food acceptance is promoted by specific social influences. These data indicate that children are more likely to eat new food if others are eating the same type of food than when others are merely present or eating another kind of food. \u00a9 2005 Elsevier Ltd. All rights reserved.", "author" : [ { "dropping-particle" : "", "family" : "Addessi", "given" : "Elsa", "non-dropping-particle" : "", "parse-names" : false, "suffix" : "" }, { "dropping-particle" : "", "family" : "Galloway", "given" : "Amy T.", "non-dropping-particle" : "", "parse-names" : false, "suffix" : "" }, { "dropping-particle" : "", "family" : "Visalberghi", "given" : "Elisabetta", "non-dropping-particle" : "", "parse-names" : false, "suffix" : "" }, { "dropping-particle" : "", "family" : "Birch", "given" : "Leann L.", "non-dropping-particle" : "", "parse-names" : false, "suffix" : "" } ], "container-title" : "Appetite", "id" : "ITEM-1", "issued" : { "date-parts" : [ [ "2005" ] ] }, "page" : "264-271", "title" : "Specific social influences on the acceptance of novel foods in 2-5-year-old children", "type" : "article-journal", "volume" : "45" }, "uris" : [ "http://www.mendeley.com/documents/?uuid=c88db66a-0d81-477a-a210-b3d527706a5b" ] } ], "mendeley" : { "formattedCitation" : "(21)", "plainTextFormattedCitation" : "(21)", "previouslyFormattedCitation" : "(21)" }, "properties" : { "noteIndex" : 0 }, "schema" : "https://github.com/citation-style-language/schema/raw/master/csl-citation.json" }</w:instrText>
      </w:r>
      <w:r w:rsidRPr="00A43421">
        <w:rPr>
          <w:rFonts w:ascii="Times New Roman" w:hAnsi="Times New Roman" w:cs="Times New Roman"/>
          <w:color w:val="000000" w:themeColor="text1"/>
          <w:sz w:val="24"/>
          <w:szCs w:val="24"/>
          <w:vertAlign w:val="superscript"/>
        </w:rPr>
        <w:fldChar w:fldCharType="separate"/>
      </w:r>
      <w:r w:rsidR="0082405F" w:rsidRPr="00A43421">
        <w:rPr>
          <w:rFonts w:ascii="Times New Roman" w:hAnsi="Times New Roman" w:cs="Times New Roman"/>
          <w:noProof/>
          <w:color w:val="000000" w:themeColor="text1"/>
          <w:sz w:val="24"/>
          <w:szCs w:val="24"/>
          <w:vertAlign w:val="superscript"/>
        </w:rPr>
        <w:t>(21)</w:t>
      </w:r>
      <w:r w:rsidRPr="00A43421">
        <w:rPr>
          <w:rFonts w:ascii="Times New Roman" w:hAnsi="Times New Roman" w:cs="Times New Roman"/>
          <w:color w:val="000000" w:themeColor="text1"/>
          <w:sz w:val="24"/>
          <w:szCs w:val="24"/>
          <w:vertAlign w:val="superscript"/>
        </w:rPr>
        <w:fldChar w:fldCharType="end"/>
      </w:r>
      <w:r w:rsidR="00185688" w:rsidRPr="00A43421">
        <w:rPr>
          <w:rFonts w:ascii="Times New Roman" w:hAnsi="Times New Roman" w:cs="Times New Roman"/>
          <w:color w:val="000000" w:themeColor="text1"/>
          <w:sz w:val="24"/>
          <w:szCs w:val="24"/>
        </w:rPr>
        <w:t xml:space="preserve"> or the sample size</w:t>
      </w:r>
      <w:r w:rsidR="001F1BB5" w:rsidRPr="00A43421">
        <w:rPr>
          <w:rFonts w:ascii="Times New Roman" w:hAnsi="Times New Roman" w:cs="Times New Roman"/>
          <w:color w:val="000000" w:themeColor="text1"/>
          <w:sz w:val="24"/>
          <w:szCs w:val="24"/>
        </w:rPr>
        <w:t xml:space="preserve">. </w:t>
      </w:r>
      <w:r w:rsidR="001170A5" w:rsidRPr="00A43421">
        <w:rPr>
          <w:rFonts w:ascii="Times New Roman" w:hAnsi="Times New Roman" w:cs="Times New Roman"/>
          <w:color w:val="000000" w:themeColor="text1"/>
          <w:sz w:val="24"/>
          <w:szCs w:val="24"/>
        </w:rPr>
        <w:t>E</w:t>
      </w:r>
      <w:r w:rsidRPr="00A43421">
        <w:rPr>
          <w:rFonts w:ascii="Times New Roman" w:hAnsi="Times New Roman" w:cs="Times New Roman"/>
          <w:color w:val="000000" w:themeColor="text1"/>
          <w:sz w:val="24"/>
          <w:szCs w:val="24"/>
        </w:rPr>
        <w:t xml:space="preserve">xisting research on food neophobia and previous dietary exclusion is sparse, with only one study identified.  </w:t>
      </w:r>
      <w:r w:rsidR="00FD6C09" w:rsidRPr="00A43421">
        <w:rPr>
          <w:rFonts w:ascii="Times New Roman" w:hAnsi="Times New Roman" w:cs="Times New Roman"/>
          <w:color w:val="000000" w:themeColor="text1"/>
          <w:sz w:val="24"/>
          <w:szCs w:val="24"/>
        </w:rPr>
        <w:t>Rigal et al.</w:t>
      </w:r>
      <w:r w:rsidR="001170A5"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"10.1016/j.arcped.2005.02.031", "ISBN" : "0929-693X", "ISSN" : "0929693X", "PMID" : "16198095", "abstract" : "Objectives. - This study was designed to analyse the impact of an elimination diet in children with food allergy, and its perception by their parents on the later reticence of children to test unknown foods, food neophobia. Methods. - The degree of food neophobia of children having outgrown their allergy (mean age, 7 years 2 months) was compared to that of a sibling (9 years 5 months) using a standardized scale and a questionnaire of food friendliness. Parents were also asked to fill in a questionnaire on the disease and its burden on the family. Results. - Children having outgrown their allergy are more reluctant to test new foods than their non-allergic brother or sister, as shown by their scoring on the food neophobia scale and the number of unknown foods following the cure of the disease. Two factors increase the level of food neophobia, the distressing effect and the duration of the period elapsed until the diagnosis was made, as well as the distressing effect and the lack of variety in the meal preparation. Conclusion. - Food neophobia, a normal phase between 2 and 10 years, is worsened by the elimination diet required by food allergy, especially in case of late diagnosis and when the time elapsed before diagnosis and the preparation of meals were perceived as difficult to bear. \u00a9 2005 Elsevier SAS. Tous droits r\u00e9serv\u00e9s.", "author" : [ { "dropping-particle" : "", "family" : "Rigal", "given" : "N.", "non-dropping-particle" : "", "parse-names" : false, "suffix" : "" }, { "dropping-particle" : "", "family" : "Reiter", "given" : "F.", "non-dropping-particle" : "", "parse-names" : false, "suffix" : "" }, { "dropping-particle" : "", "family" : "Morice", "given" : "C.", "non-dropping-particle" : "", "parse-names" : false, "suffix" : "" }, { "dropping-particle" : "", "family" : "Boissieu", "given" : "D.", "non-dropping-particle" : "De", "parse-names" : false, "suffix" : "" }, { "dropping-particle" : "", "family" : "Dupont", "given" : "C.", "non-dropping-particle" : "", "parse-names" : false, "suffix" : "" } ], "container-title" : "Archives de Pediatrie", "id" : "ITEM-1", "issued" : { "date-parts" : [ [ "2005" ] ] }, "page" : "1714-1720", "title" : "Impact du r\u00e9gime d'\u00e9viction sur la n\u00e9ophobie dans le cadre d'une allergie alimentaire chez l'enfant: \u00c9tude exploratoire", "type" : "article-journal", "volume" : "12" }, "uris" : [ "http://www.mendeley.com/documents/?uuid=d5b2189c-42f1-4b29-ab50-6922da6a088e" ] } ], "mendeley" : { "formattedCitation" : "(46)", "plainTextFormattedCitation" : "(46)", "previouslyFormattedCitation" : "(46)" }, "properties" : { "noteIndex" : 0 }, "schema" : "https://github.com/citation-style-language/schema/raw/master/csl-citation.json" }</w:instrText>
      </w:r>
      <w:r w:rsidR="001170A5"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(46)</w:t>
      </w:r>
      <w:r w:rsidR="001170A5" w:rsidRPr="00A43421">
        <w:rPr>
          <w:rFonts w:ascii="Times New Roman" w:hAnsi="Times New Roman" w:cs="Times New Roman"/>
          <w:color w:val="000000" w:themeColor="text1"/>
          <w:sz w:val="24"/>
          <w:szCs w:val="24"/>
          <w:vertAlign w:val="superscript"/>
        </w:rPr>
        <w:fldChar w:fldCharType="end"/>
      </w:r>
      <w:r w:rsidR="001170A5" w:rsidRPr="00A43421">
        <w:rPr>
          <w:rFonts w:ascii="Times New Roman" w:hAnsi="Times New Roman" w:cs="Times New Roman"/>
          <w:color w:val="000000" w:themeColor="text1"/>
          <w:sz w:val="24"/>
          <w:szCs w:val="24"/>
        </w:rPr>
        <w:t xml:space="preserve"> </w:t>
      </w:r>
      <w:r w:rsidRPr="00A43421">
        <w:rPr>
          <w:rFonts w:ascii="Times New Roman" w:hAnsi="Times New Roman" w:cs="Times New Roman"/>
          <w:color w:val="000000" w:themeColor="text1"/>
          <w:sz w:val="24"/>
          <w:szCs w:val="24"/>
        </w:rPr>
        <w:t xml:space="preserve">compared food neophobia in </w:t>
      </w:r>
      <w:r w:rsidR="001170A5" w:rsidRPr="00A43421">
        <w:rPr>
          <w:rFonts w:ascii="Times New Roman" w:hAnsi="Times New Roman" w:cs="Times New Roman"/>
          <w:color w:val="000000" w:themeColor="text1"/>
          <w:sz w:val="24"/>
          <w:szCs w:val="24"/>
        </w:rPr>
        <w:t xml:space="preserve">children of mean age 7-9 years </w:t>
      </w:r>
      <w:r w:rsidRPr="00A43421">
        <w:rPr>
          <w:rFonts w:ascii="Times New Roman" w:hAnsi="Times New Roman" w:cs="Times New Roman"/>
          <w:color w:val="000000" w:themeColor="text1"/>
          <w:sz w:val="24"/>
          <w:szCs w:val="24"/>
        </w:rPr>
        <w:t>who ha</w:t>
      </w:r>
      <w:r w:rsidR="001170A5" w:rsidRPr="00A43421">
        <w:rPr>
          <w:rFonts w:ascii="Times New Roman" w:hAnsi="Times New Roman" w:cs="Times New Roman"/>
          <w:color w:val="000000" w:themeColor="text1"/>
          <w:sz w:val="24"/>
          <w:szCs w:val="24"/>
        </w:rPr>
        <w:t>d</w:t>
      </w:r>
      <w:r w:rsidRPr="00A43421">
        <w:rPr>
          <w:rFonts w:ascii="Times New Roman" w:hAnsi="Times New Roman" w:cs="Times New Roman"/>
          <w:color w:val="000000" w:themeColor="text1"/>
          <w:sz w:val="24"/>
          <w:szCs w:val="24"/>
        </w:rPr>
        <w:t xml:space="preserve"> outgrown their food </w:t>
      </w:r>
      <w:r w:rsidR="001170A5" w:rsidRPr="00A43421">
        <w:rPr>
          <w:rFonts w:ascii="Times New Roman" w:hAnsi="Times New Roman" w:cs="Times New Roman"/>
          <w:color w:val="000000" w:themeColor="text1"/>
          <w:sz w:val="24"/>
          <w:szCs w:val="24"/>
        </w:rPr>
        <w:t>allergy to a sibling, concluding</w:t>
      </w:r>
      <w:r w:rsidRPr="00A43421">
        <w:rPr>
          <w:rFonts w:ascii="Times New Roman" w:hAnsi="Times New Roman" w:cs="Times New Roman"/>
          <w:color w:val="000000" w:themeColor="text1"/>
          <w:sz w:val="24"/>
          <w:szCs w:val="24"/>
        </w:rPr>
        <w:t xml:space="preserve"> that previously food allergic children are more reluctant to try new foods than their non-allergic sibling. </w:t>
      </w:r>
      <w:r w:rsidR="00F9658A" w:rsidRPr="00A43421">
        <w:rPr>
          <w:rFonts w:ascii="Times New Roman" w:hAnsi="Times New Roman" w:cs="Times New Roman"/>
          <w:color w:val="000000" w:themeColor="text1"/>
          <w:sz w:val="24"/>
          <w:szCs w:val="24"/>
        </w:rPr>
        <w:t xml:space="preserve">It is not possible to directly compare our questionnaire scores to that study as different questionnaires were used. </w:t>
      </w:r>
      <w:r w:rsidR="008A2E62" w:rsidRPr="00A43421">
        <w:rPr>
          <w:rFonts w:ascii="Times New Roman" w:hAnsi="Times New Roman" w:cs="Times New Roman"/>
          <w:color w:val="000000" w:themeColor="text1"/>
          <w:sz w:val="24"/>
          <w:szCs w:val="24"/>
        </w:rPr>
        <w:t>W</w:t>
      </w:r>
      <w:r w:rsidR="0018479C" w:rsidRPr="00A43421">
        <w:rPr>
          <w:rFonts w:ascii="Times New Roman" w:hAnsi="Times New Roman" w:cs="Times New Roman"/>
          <w:color w:val="000000" w:themeColor="text1"/>
          <w:sz w:val="24"/>
          <w:szCs w:val="24"/>
        </w:rPr>
        <w:t xml:space="preserve">e did not find any association </w:t>
      </w:r>
      <w:r w:rsidRPr="00A43421">
        <w:rPr>
          <w:rFonts w:ascii="Times New Roman" w:hAnsi="Times New Roman" w:cs="Times New Roman"/>
          <w:color w:val="000000" w:themeColor="text1"/>
          <w:sz w:val="24"/>
          <w:szCs w:val="24"/>
        </w:rPr>
        <w:t xml:space="preserve">between neophobia and </w:t>
      </w:r>
      <w:r w:rsidR="0018479C" w:rsidRPr="00A43421">
        <w:rPr>
          <w:rFonts w:ascii="Times New Roman" w:hAnsi="Times New Roman" w:cs="Times New Roman"/>
          <w:color w:val="000000" w:themeColor="text1"/>
          <w:sz w:val="24"/>
          <w:szCs w:val="24"/>
        </w:rPr>
        <w:t xml:space="preserve">nutritional </w:t>
      </w:r>
      <w:r w:rsidR="00FB2F0F" w:rsidRPr="00A43421">
        <w:rPr>
          <w:rFonts w:ascii="Times New Roman" w:hAnsi="Times New Roman" w:cs="Times New Roman"/>
          <w:color w:val="000000" w:themeColor="text1"/>
          <w:sz w:val="24"/>
          <w:szCs w:val="24"/>
        </w:rPr>
        <w:t xml:space="preserve">or food group </w:t>
      </w:r>
      <w:r w:rsidR="0018479C" w:rsidRPr="00A43421">
        <w:rPr>
          <w:rFonts w:ascii="Times New Roman" w:hAnsi="Times New Roman" w:cs="Times New Roman"/>
          <w:color w:val="000000" w:themeColor="text1"/>
          <w:sz w:val="24"/>
          <w:szCs w:val="24"/>
        </w:rPr>
        <w:t>intake, which is in contrast to other literature</w:t>
      </w:r>
      <w:r w:rsidR="005D23CA" w:rsidRPr="00A43421">
        <w:rPr>
          <w:rFonts w:ascii="Times New Roman" w:hAnsi="Times New Roman" w:cs="Times New Roman"/>
          <w:color w:val="000000" w:themeColor="text1"/>
          <w:sz w:val="24"/>
          <w:szCs w:val="24"/>
        </w:rPr>
        <w:t xml:space="preserve"> </w:t>
      </w:r>
      <w:r w:rsidR="005D23CA"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"10.1053/jada.2003.50134", "ISBN" : "0002-8223", "ISSN" : "00028223", "PMID" : "12778039", "abstract" : "Objective Vegetable intake among children is well below recommended levels. We assessed whether food neophobia and pickiness contribute to low vegetable intake in school-aged girls and if there are distinct predictors for neophobia and pickiness. Children with food neophobia are reluctant to eat new foods whereas picky children resist eating many familiar foods. Design/subjects Participants were 192 7-year-old girls and their parents, recruited for a study of girls' nutrition and development. We examined relationships between food neophobia and pickiness and assessed whether these variables predicted girls' vegetable consumption and predictors of food neophobia and pickiness. Analyses The data were analyzed using a two-step process. First, we used a two-way analysis of variance to assess whether girls who scored high or low on food neophobia and pickiness measures had different levels of vegetable consumption. We used multiple regression analysis to determine predictors of food neophobia and pickiness in the girls. Results Girls with both food neophobia and pickiness consumed fewer vegetables (1.1\u00b10.1) than girls with neither neophobia nor pickiness (1.6\u00b10.1). Neophobia and pickiness were modestly related in this sample, but had different predictors. Girls with food neophobia were more anxious and had mothers with food neophobia. Picky girls had mothers with less variety in their vegetable intake (r=-0.22) and mothers who perceived their family to have little time to eat healthful foods (r=0.36). In addition, picky eaters were breastfed for fewer than 6 months (r=-0.25). Pickiness was predicted primarily by environmental or experiential factors subject to changes; neophobia was predicted by more enduring and dispositional factors. Applications Because food neophobia and pickiness negatively influence vegetable intake, intervention strategies to increase vegetable intake should focus on predictors of neophobia and pickiness, especially those subject to change.", "author" : [ { "dropping-particle" : "", "family" : "Galloway", "given" : "Amy T.", "non-dropping-particle" : "", "parse-names" : false, "suffix" : "" }, { "dropping-particle" : "", "family" : "Lee", "given" : "Yoonna", "non-dropping-particle" : "", "parse-names" : false, "suffix" : "" }, { "dropping-particle" : "", "family" : "Birch", "given" : "Leann L.", "non-dropping-particle" : "", "parse-names" : false, "suffix" : "" } ], "container-title" : "Journal of the American Dietetic Association", "id" : "ITEM-1", "issue" : "6", "issued" : { "date-parts" : [ [ "2003" ] ] }, "page" : "692-698", "title" : "Predictors and consequences of food neophobia and pickiness in young girls", "type" : "article-journal", "volume" : "103" }, "uris" : [ "http://www.mendeley.com/documents/?uuid=190a9b84-c420-4539-a717-1338d7139225" ] }, { "id" : "ITEM-2", "itemData" : { "DOI" : "10.1186/1479-5868-3-14", "ISSN" : "1479-5868", "PMID" : "16824218", "abstract" : "BACKGROUND: Previous research has documented a negative association between maternal report of child food neophobia and reported frequency of consumption of fruit, vegetables, and meat. This study aimed to establish whether neophobia is associated with lower intake of these food types in naturalistic mealtime situations. METHODS: One hundred and nine parents of 4-5 year olds completed questionnaires which included a six-item version of the Child Food Neophobia Scale (CFNS). The children took part in a series of 3 test lunch meals at weekly intervals at school at which they were presented with: chicken, cheese, bread, cheese crackers, chocolate biscuits, grapes and tomatoes or carrot sticks. Food items served to each child were weighed before and after the meal to assess total intake of items in four categories: Fruit and vegetables, Protein foods, Starchy foods and Snack foods. Pearson Product Moment Correlations and independent t tests were performed to examine associations between scores on the CFNS and consumption during lunches. RESULTS: Neophobia was associated with lower consumption of fruit and vegetables, protein foods and total calories, but there was no association with intake of starch or snack foods. CONCLUSION: These results support previous research that has suggested that neophobia impacts differentially on consumption of different food types. Specifically it appears that children who score highly on the CFNS eat less fruit, vegetables and protein foods than their less neophobic peers. Attempts to increase intake of fruit, vegetables and protein might usefully incorporate strategies known to reduce the neophobic response.", "author" : [ { "dropping-particle" : "", "family" : "Cooke", "given" : "Lucy", "non-dropping-particle" : "", "parse-names" : false, "suffix" : "" }, { "dropping-particle" : "", "family" : "Carnell", "given" : "Susan", "non-dropping-particle" : "", "parse-names" : false, "suffix" : "" }, { "dropping-particle" : "", "family" : "Wardle", "given" : "Jane", "non-dropping-particle" : "", "parse-names" : false, "suffix" : "" } ], "container-title" : "The international journal of behavioral nutrition and physical activity", "id" : "ITEM-2", "issued" : { "date-parts" : [ [ "2006" ] ] }, "page" : "14", "title" : "Food neophobia and mealtime food consumption in 4-5 year old children.", "type" : "article-journal", "volume" : "3" }, "uris" : [ "http://www.mendeley.com/documents/?uuid=33650ba4-75ec-4718-9183-46b4d4977bb1" ] } ], "mendeley" : { "formattedCitation" : "(47,48)", "plainTextFormattedCitation" : "(47,48)", "previouslyFormattedCitation" : "(47,48)" }, "properties" : { "noteIndex" : 0 }, "schema" : "https://github.com/citation-style-language/schema/raw/master/csl-citation.json" }</w:instrText>
      </w:r>
      <w:r w:rsidR="005D23CA"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(47,48)</w:t>
      </w:r>
      <w:r w:rsidR="005D23CA" w:rsidRPr="00A43421">
        <w:rPr>
          <w:rFonts w:ascii="Times New Roman" w:hAnsi="Times New Roman" w:cs="Times New Roman"/>
          <w:color w:val="000000" w:themeColor="text1"/>
          <w:sz w:val="24"/>
          <w:szCs w:val="24"/>
          <w:vertAlign w:val="superscript"/>
        </w:rPr>
        <w:fldChar w:fldCharType="end"/>
      </w:r>
      <w:r w:rsidR="00FB2F0F" w:rsidRPr="00A43421">
        <w:rPr>
          <w:rFonts w:ascii="Times New Roman" w:hAnsi="Times New Roman" w:cs="Times New Roman"/>
          <w:color w:val="000000" w:themeColor="text1"/>
          <w:sz w:val="24"/>
          <w:szCs w:val="24"/>
        </w:rPr>
        <w:t>. This could be because all participants in the CME group received nutritional advice and dietetic input is known to improve nutri</w:t>
      </w:r>
      <w:r w:rsidR="00FA2BBA" w:rsidRPr="00A43421">
        <w:rPr>
          <w:rFonts w:ascii="Times New Roman" w:hAnsi="Times New Roman" w:cs="Times New Roman"/>
          <w:color w:val="000000" w:themeColor="text1"/>
          <w:sz w:val="24"/>
          <w:szCs w:val="24"/>
        </w:rPr>
        <w:t>tional outcomes in food allergy</w:t>
      </w:r>
      <w:r w:rsidR="009E7CE7" w:rsidRPr="00A43421">
        <w:rPr>
          <w:rFonts w:ascii="Times New Roman" w:hAnsi="Times New Roman" w:cs="Times New Roman"/>
          <w:color w:val="000000" w:themeColor="text1"/>
          <w:sz w:val="24"/>
          <w:szCs w:val="24"/>
        </w:rPr>
        <w:t xml:space="preserve"> or because the study was underpowered</w:t>
      </w:r>
      <w:r w:rsidR="00FB2F0F"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"10.1016/j.jand.2014.03.018", "ISSN" : "22122672", "PMID" : "24933388", "abstract" : "Although dietary counseling is generally recommended in children with food allergy (FA), its effect on the nutritional status of these patients has not yet been evaluated. Our nonrandomized multicenter prospective intervention study was undertaken to investigate the effects of dietary counseling on children with FA. Anthropometric data, dietary intakes, and laboratory biomarkers of nutritional status were evaluated in children with FA (aged 6 to 36 months) before and after dietary counseling, by multidisciplinary teams composed of pediatricians, dietitians, and nurses. Ninety-one children with FA (49 boys and 42 girls; mean age 18.9 months, 95% CI 16.5 to 21.3) were evaluated; 66 children without FA (41 boys and 25 girls; mean age 20.3 months, 95% CI 17.7 to 22.8) served as controls providing baseline values only. At enrollment, energy and protein intakes were lower in children with FA (91 kcal/kg/day, interquartile range [IQR]=15.1, minimum=55.2, maximum=130.6; and 2.2 g/kg/day, IQR=0.5, minimum=1.5, maximum=2.7, respectively) than in children without FA (96 kcal/kg/day, IQR=6.1, minimum=83.6, maximum=118.0; and 4.6 g/kg/day, IQR=1.2, minimum=2.0, maximum=6.1, respectively; P&lt;0.001). A weight to length ratio &lt;2 standard deviations was more frequent in children with FA than in children without FA (21% vs 3%; P&lt;0.001). At 6 months following dietary counseling, the total energy intake of children with FA was similar to the baseline values of control children. Dietary counseling also resulted in a significant improvement of their anthropometric and laboratory biomarkers of nutritional status. The results of our study support the crucial role of dietary counseling in the clinical management of children with FA. \u00a9 2014 Academy of Nutrition and Dietetics.", "author" : [ { "dropping-particle" : "", "family" : "Berni Canani", "given" : "Roberto", "non-dropping-particle" : "", "parse-names" : false, "suffix" : "" }, { "dropping-particle" : "", "family" : "Leone", "given" : "Ludovica", "non-dropping-particle" : "", "parse-names" : false, "suffix" : "" }, { "dropping-particle" : "", "family" : "D'Auria", "given" : "Enza", "non-dropping-particle" : "", "parse-names" : false, "suffix" : "" }, { "dropping-particle" : "", "family" : "Riva", "given" : "Enrica", "non-dropping-particle" : "", "parse-names" : false, "suffix" : "" }, { "dropping-particle" : "", "family" : "Nocerino", "given" : "Rita", "non-dropping-particle" : "", "parse-names" : false, "suffix" : "" }, { "dropping-particle" : "", "family" : "Ruotolo", "given" : "Serena", "non-dropping-particle" : "", "parse-names" : false, "suffix" : "" }, { "dropping-particle" : "", "family" : "Terrin", "given" : "Gianluca", "non-dropping-particle" : "", "parse-names" : false, "suffix" : "" }, { "dropping-particle" : "", "family" : "Cosenza", "given" : "Linda", "non-dropping-particle" : "", "parse-names" : false, "suffix" : "" }, { "dropping-particle" : "", "family" : "Costanzo", "given" : "Margherita", "non-dropping-particle" : "Di", "parse-names" : false, "suffix" : "" }, { "dropping-particle" : "", "family" : "Passariello", "given" : "Annalisa", "non-dropping-particle" : "", "parse-names" : false, "suffix" : "" }, { "dropping-particle" : "", "family" : "Coruzzo", "given" : "Anna", "non-dropping-particle" : "", "parse-names" : false, "suffix" : "" }, { "dropping-particle" : "", "family" : "Agostoni", "given" : "Carlo", "non-dropping-particle" : "", "parse-names" : false, "suffix" : "" }, { "dropping-particle" : "", "family" : "Giovannini", "given" : "Marcello", "non-dropping-particle" : "", "parse-names" : false, "suffix" : "" }, { "dropping-particle" : "", "family" : "Troncone", "given" : "Riccardo", "non-dropping-particle" : "", "parse-names" : false, "suffix" : "" } ], "container-title" : "Journal of the Academy of Nutrition and Dietetics", "id" : "ITEM-1", "issue" : "9", "issued" : { "date-parts" : [ [ "2014" ] ] }, "page" : "1432-1439", "publisher" : "Elsevier", "title" : "The Effects of Dietary Counseling on Children with\u00a0Food Allergy: A Prospective, Multicenter Intervention Study", "type" : "article-journal", "volume" : "114" }, "uris" : [ "http://www.mendeley.com/documents/?uuid=59a1c786-c9b9-43f9-9ee8-9ae8eb01dca3" ] }, { "id" : "ITEM-2", "itemData" : { "DOI" : "10.1016/S0002-8223(02)90351-2", "ISSN" : "00028223", "PMID" : "12449289", "abstract" : "Objectives: To identify if specific food allergies, elimination diets, or other variables associated with food allergies have an impact on the growth and nutrient intake of children with food allergies. Design: Measurements of height, weight, and body mass index were used to determine potential growth problems. Estimates of energy and nutrient intakes were based on 3-day diet records. A questionnaire was used to determine number of food allergies and other variables. Subjects: Ninety-eight children with food allergies (subjects, mean age 3.7\u00b12.3 years) and 99 children without food allergies (controls, mean age 4.1\u00b12.4 years) participated in this age-matched, consecutive sampling, cross-sectional study. Statistical analysis performed: Cochran-Mantel-Haenszel statistics using general association and Fisher Exact Test, with 2-sided probability, were conducted. Results: Children with two or more food allergies were shorter, based on height-for-age percentiles, than those with one food allergy (P&lt;.05). More than 25% of children in both groups consumed less than 67% of the DRI (RDA or AI) for calcium, vitamin D, and vitamin E. More children with cow's milk allergy or multiple food allergies consumed dietary calcium less than age- and gender-specific recommendations compared with children without cow's milk allergy and/or one food allergy. The possibility of consuming a less than recommended intake of calcium and vitamin D in children with food allergy was less if the child received nutrition counseling (P&lt;.05) or consumed a safe infant/toddler formula or fortified soy beverage. Applications/conclusions: Children diagnosed with food allergies need an annual nutrition assessment to prevent growth problems or inadequate nutrient intake. Children with milk allergies or multiple food allergies are at greater risk. Nutrition education needs to address how to avoid all forms of the allergen and incorporate alternative nutrient-dense foods. This population would benefit from the development and validation of a medical nutrition therapy protocol.", "author" : [ { "dropping-particle" : "", "family" : "Christie", "given" : "Lynn", "non-dropping-particle" : "", "parse-names" : false, "suffix" : "" }, { "dropping-particle" : "", "family" : "Hine", "given" : "R. Jean", "non-dropping-particle" : "", "parse-names" : false, "suffix" : "" }, { "dropping-particle" : "", "family" : "Parker", "given" : "James G.", "non-dropping-particle" : "", "parse-names" : false, "suffix" : "" }, { "dropping-particle" : "", "family" : "Burks", "given" : "Wesley", "non-dropping-particle" : "", "parse-names" : false, "suffix" : "" } ], "container-title" : "Journal of the American Dietetic Association", "id" : "ITEM-2", "issue" : "11", "issued" : { "date-parts" : [ [ "2002" ] ] }, "page" : "1648-1651", "title" : "Food allergies in children affect nutrient intake and growth", "type" : "article-journal", "volume" : "102" }, "uris" : [ "http://www.mendeley.com/documents/?uuid=6827fd55-4c0e-4fa4-8211-21434ef4c92f" ] } ], "mendeley" : { "formattedCitation" : "(24,49)", "plainTextFormattedCitation" : "(24,49)", "previouslyFormattedCitation" : "(24,49)" }, "properties" : { "noteIndex" : 0 }, "schema" : "https://github.com/citation-style-language/schema/raw/master/csl-citation.json" }</w:instrText>
      </w:r>
      <w:r w:rsidR="00FB2F0F"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(24,49)</w:t>
      </w:r>
      <w:r w:rsidR="00FB2F0F" w:rsidRPr="00A43421">
        <w:rPr>
          <w:rFonts w:ascii="Times New Roman" w:hAnsi="Times New Roman" w:cs="Times New Roman"/>
          <w:color w:val="000000" w:themeColor="text1"/>
          <w:sz w:val="24"/>
          <w:szCs w:val="24"/>
          <w:vertAlign w:val="superscript"/>
        </w:rPr>
        <w:fldChar w:fldCharType="end"/>
      </w:r>
      <w:r w:rsidR="00FB2F0F" w:rsidRPr="00A43421">
        <w:rPr>
          <w:rFonts w:ascii="Times New Roman" w:hAnsi="Times New Roman" w:cs="Times New Roman"/>
          <w:color w:val="000000" w:themeColor="text1"/>
          <w:sz w:val="24"/>
          <w:szCs w:val="24"/>
        </w:rPr>
        <w:t>.</w:t>
      </w:r>
    </w:p>
    <w:p w14:paraId="18E92430" w14:textId="38907A65" w:rsidR="001170A5" w:rsidRPr="00A43421" w:rsidRDefault="0018479C" w:rsidP="00083A30">
      <w:pPr>
        <w:spacing w:line="360" w:lineRule="auto"/>
        <w:ind w:firstLine="720"/>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 xml:space="preserve">The </w:t>
      </w:r>
      <w:r w:rsidR="008A2E62" w:rsidRPr="00A43421">
        <w:rPr>
          <w:rFonts w:ascii="Times New Roman" w:hAnsi="Times New Roman" w:cs="Times New Roman"/>
          <w:color w:val="000000" w:themeColor="text1"/>
          <w:sz w:val="24"/>
          <w:szCs w:val="24"/>
        </w:rPr>
        <w:t xml:space="preserve">food diary response rate </w:t>
      </w:r>
      <w:r w:rsidR="001170A5" w:rsidRPr="00A43421">
        <w:rPr>
          <w:rFonts w:ascii="Times New Roman" w:hAnsi="Times New Roman" w:cs="Times New Roman"/>
          <w:color w:val="000000" w:themeColor="text1"/>
          <w:sz w:val="24"/>
          <w:szCs w:val="24"/>
        </w:rPr>
        <w:t xml:space="preserve">in this study </w:t>
      </w:r>
      <w:r w:rsidR="008A2E62" w:rsidRPr="00A43421">
        <w:rPr>
          <w:rFonts w:ascii="Times New Roman" w:hAnsi="Times New Roman" w:cs="Times New Roman"/>
          <w:color w:val="000000" w:themeColor="text1"/>
          <w:sz w:val="24"/>
          <w:szCs w:val="24"/>
        </w:rPr>
        <w:t xml:space="preserve">was good, being similar </w:t>
      </w:r>
      <w:r w:rsidRPr="00A43421">
        <w:rPr>
          <w:rFonts w:ascii="Times New Roman" w:hAnsi="Times New Roman" w:cs="Times New Roman"/>
          <w:color w:val="000000" w:themeColor="text1"/>
          <w:sz w:val="24"/>
          <w:szCs w:val="24"/>
        </w:rPr>
        <w:t xml:space="preserve">to other </w:t>
      </w:r>
      <w:r w:rsidR="008A2E62" w:rsidRPr="00A43421">
        <w:rPr>
          <w:rFonts w:ascii="Times New Roman" w:hAnsi="Times New Roman" w:cs="Times New Roman"/>
          <w:color w:val="000000" w:themeColor="text1"/>
          <w:sz w:val="24"/>
          <w:szCs w:val="24"/>
        </w:rPr>
        <w:t xml:space="preserve">food allergy </w:t>
      </w:r>
      <w:r w:rsidRPr="00A43421">
        <w:rPr>
          <w:rFonts w:ascii="Times New Roman" w:hAnsi="Times New Roman" w:cs="Times New Roman"/>
          <w:color w:val="000000" w:themeColor="text1"/>
          <w:sz w:val="24"/>
          <w:szCs w:val="24"/>
        </w:rPr>
        <w:t>studies</w:t>
      </w:r>
      <w:r w:rsidR="008A2E62" w:rsidRPr="00A43421">
        <w:rPr>
          <w:rFonts w:ascii="Times New Roman" w:hAnsi="Times New Roman" w:cs="Times New Roman"/>
          <w:color w:val="000000" w:themeColor="text1"/>
          <w:sz w:val="24"/>
          <w:szCs w:val="24"/>
          <w:vertAlign w:val="superscript"/>
        </w:rPr>
        <w:fldChar w:fldCharType="begin" w:fldLock="1"/>
      </w:r>
      <w:r w:rsidR="005D23CA" w:rsidRPr="00A43421">
        <w:rPr>
          <w:rFonts w:ascii="Times New Roman" w:hAnsi="Times New Roman" w:cs="Times New Roman"/>
          <w:color w:val="000000" w:themeColor="text1"/>
          <w:sz w:val="24"/>
          <w:szCs w:val="24"/>
          <w:vertAlign w:val="superscript"/>
        </w:rPr>
        <w:instrText>ADDIN CSL_CITATION { "citationItems" : [ { "id" : "ITEM-1", "itemData" : { "DOI" : "10.1016/S0002-8223(02)90351-2", "ISSN" : "00028223", "PMID" : "12449289", "abstract" : "Objectives: To identify if specific food allergies, elimination diets, or other variables associated with food allergies have an impact on the growth and nutrient intake of children with food allergies. Design: Measurements of height, weight, and body mass index were used to determine potential growth problems. Estimates of energy and nutrient intakes were based on 3-day diet records. A questionnaire was used to determine number of food allergies and other variables. Subjects: Ninety-eight children with food allergies (subjects, mean age 3.7\u00b12.3 years) and 99 children without food allergies (controls, mean age 4.1\u00b12.4 years) participated in this age-matched, consecutive sampling, cross-sectional study. Statistical analysis performed: Cochran-Mantel-Haenszel statistics using general association and Fisher Exact Test, with 2-sided probability, were conducted. Results: Children with two or more food allergies were shorter, based on height-for-age percentiles, than those with one food allergy (P&lt;.05). More than 25% of children in both groups consumed less than 67% of the DRI (RDA or AI) for calcium, vitamin D, and vitamin E. More children with cow's milk allergy or multiple food allergies consumed dietary calcium less than age- and gender-specific recommendations compared with children without cow's milk allergy and/or one food allergy. The possibility of consuming a less than recommended intake of calcium and vitamin D in children with food allergy was less if the child received nutrition counseling (P&lt;.05) or consumed a safe infant/toddler formula or fortified soy beverage. Applications/conclusions: Children diagnosed with food allergies need an annual nutrition assessment to prevent growth problems or inadequate nutrient intake. Children with milk allergies or multiple food allergies are at greater risk. Nutrition education needs to address how to avoid all forms of the allergen and incorporate alternative nutrient-dense foods. This population would benefit from the development and validation of a medical nutrition therapy protocol.", "author" : [ { "dropping-particle" : "", "family" : "Christie", "given" : "Lynn", "non-dropping-particle" : "", "parse-names" : false, "suffix" : "" }, { "dropping-particle" : "", "family" : "Hine", "given" : "R. Jean", "non-dropping-particle" : "", "parse-names" : false, "suffix" : "" }, { "dropping-particle" : "", "family" : "Parker", "given" : "James G.", "non-dropping-particle" : "", "parse-names" : false, "suffix" : "" }, { "dropping-particle" : "", "family" : "Burks", "given" : "Wesley", "non-dropping-particle" : "", "parse-names" : false, "suffix" : "" } ], "container-title" : "Journal of the American Dietetic Association", "id" : "ITEM-1", "issue" : "11", "issued" : { "date-parts" : [ [ "2002" ] ] }, "page" : "1648-1651", "title" : "Food allergies in children affect nutrient intake and growth", "type" : "article-journal", "volume" : "102" }, "uris" : [ "http://www.mendeley.com/documents/?uuid=6827fd55-4c0e-4fa4-8211-21434ef4c92f" ] }, { "id" : "ITEM-2", "itemData" : { "DOI" : "10.1111/j.1399-3038.2010.01028.x", "ISSN" : "1399-3038", "PMID" : "20561235", "abstract" : "The aim of the present study was to assess the food intakes and nutritional status of children with food allergies following an elimination diet. We conducted a cross sectional study including 96 children (mean age 4.7 \u00b1 2.5 years) with food allergies and 95 paired controls (mean age 4.7 \u00b1 2.7 years) without food allergies. Nutritional status was assessed using measurements of weight and height and Z scores for weight-for-age, height-for-age and weight-for-height. Nutrient intakes assessment was based on a 3-day diet record. Children with food allergies had weight-for-age and height-for-age Z scores lower than controls (0.1 versus 0.6 and 0.2 versus 0.8 respectively). Children with 3 or more food allergies were smaller than those with 2 or less food allergies (p = 0.04). A total of 62 children with food allergies and 52 controls completed usable diet records. Energy, protein and calcium intakes were similar in the two groups. Children with food allergies were smaller for their age than controls even when they received similar nutrient intakes. Nutritional evaluation is essential for the follow up of children with food allergies.", "author" : [ { "dropping-particle" : "", "family" : "Flammarion", "given" : "Sophie", "non-dropping-particle" : "", "parse-names" : false, "suffix" : "" }, { "dropping-particle" : "", "family" : "Santos", "given" : "Clarisse", "non-dropping-particle" : "", "parse-names" : false, "suffix" : "" }, { "dropping-particle" : "", "family" : "Guimber", "given" : "Dominique", "non-dropping-particle" : "", "parse-names" : false, "suffix" : "" }, { "dropping-particle" : "", "family" : "Jouannic", "given" : "Lyne", "non-dropping-particle" : "", "parse-names" : false, "suffix" : "" }, { "dropping-particle" : "", "family" : "Thumerelle", "given" : "Caroline", "non-dropping-particle" : "", "parse-names" : false, "suffix" : "" }, { "dropping-particle" : "", "family" : "Gottrand", "given" : "Fr\u00e9d\u00e9ric", "non-dropping-particle" : "", "parse-names" : false, "suffix" : "" }, { "dropping-particle" : "", "family" : "Deschildre", "given" : "Antoine", "non-dropping-particle" : "", "parse-names" : false, "suffix" : "" } ], "container-title" : "Pediatric allergy and immunology : official publication of the European Society of Pediatric Allergy and Immunology", "id" : "ITEM-2", "issued" : { "date-parts" : [ [ "2011" ] ] }, "page" : "161-165", "title" : "Diet and nutritional status of children with food allergies.", "type" : "article-journal", "volume" : "22" }, "uris" : [ "http://www.mendeley.com/documents/?uuid=47eac944-9222-4200-b202-eb5eb10e7048" ] } ], "mendeley" : { "formattedCitation" : "(23,24)", "plainTextFormattedCitation" : "(23,24)", "previouslyFormattedCitation" : "(23,24)" }, "properties" : { "noteIndex" : 0 }, "schema" : "https://github.com/citation-style-language/schema/raw/master/csl-citation.json" }</w:instrText>
      </w:r>
      <w:r w:rsidR="008A2E62" w:rsidRPr="00A43421">
        <w:rPr>
          <w:rFonts w:ascii="Times New Roman" w:hAnsi="Times New Roman" w:cs="Times New Roman"/>
          <w:color w:val="000000" w:themeColor="text1"/>
          <w:sz w:val="24"/>
          <w:szCs w:val="24"/>
          <w:vertAlign w:val="superscript"/>
        </w:rPr>
        <w:fldChar w:fldCharType="separate"/>
      </w:r>
      <w:r w:rsidR="0082405F" w:rsidRPr="00A43421">
        <w:rPr>
          <w:rFonts w:ascii="Times New Roman" w:hAnsi="Times New Roman" w:cs="Times New Roman"/>
          <w:noProof/>
          <w:color w:val="000000" w:themeColor="text1"/>
          <w:sz w:val="24"/>
          <w:szCs w:val="24"/>
          <w:vertAlign w:val="superscript"/>
        </w:rPr>
        <w:t>(23,24)</w:t>
      </w:r>
      <w:r w:rsidR="008A2E62" w:rsidRPr="00A43421">
        <w:rPr>
          <w:rFonts w:ascii="Times New Roman" w:hAnsi="Times New Roman" w:cs="Times New Roman"/>
          <w:color w:val="000000" w:themeColor="text1"/>
          <w:sz w:val="24"/>
          <w:szCs w:val="24"/>
          <w:vertAlign w:val="superscript"/>
        </w:rPr>
        <w:fldChar w:fldCharType="end"/>
      </w:r>
      <w:r w:rsidR="008A2E62" w:rsidRPr="00A43421">
        <w:rPr>
          <w:rFonts w:ascii="Times New Roman" w:hAnsi="Times New Roman" w:cs="Times New Roman"/>
          <w:color w:val="000000" w:themeColor="text1"/>
          <w:sz w:val="24"/>
          <w:szCs w:val="24"/>
        </w:rPr>
        <w:t xml:space="preserve"> and superior to the</w:t>
      </w:r>
      <w:r w:rsidRPr="00A43421">
        <w:rPr>
          <w:rFonts w:ascii="Times New Roman" w:hAnsi="Times New Roman" w:cs="Times New Roman"/>
          <w:color w:val="000000" w:themeColor="text1"/>
          <w:sz w:val="24"/>
          <w:szCs w:val="24"/>
        </w:rPr>
        <w:t xml:space="preserve"> NDNS </w:t>
      </w:r>
      <w:r w:rsidR="008A2E62" w:rsidRPr="00A43421">
        <w:rPr>
          <w:rFonts w:ascii="Times New Roman" w:hAnsi="Times New Roman" w:cs="Times New Roman"/>
          <w:color w:val="000000" w:themeColor="text1"/>
          <w:sz w:val="24"/>
          <w:szCs w:val="24"/>
        </w:rPr>
        <w:t xml:space="preserve">response rate of </w:t>
      </w:r>
      <w:r w:rsidRPr="00A43421">
        <w:rPr>
          <w:rFonts w:ascii="Times New Roman" w:hAnsi="Times New Roman" w:cs="Times New Roman"/>
          <w:color w:val="000000" w:themeColor="text1"/>
          <w:sz w:val="24"/>
          <w:szCs w:val="24"/>
        </w:rPr>
        <w:t>56%</w:t>
      </w:r>
      <w:r w:rsidR="00C93532"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"10.1046/j.1467-3010.2000.00027.x", "ISBN" : "1467-3010", "ISSN" : "14719827", "abstract" : "Summary This review describes and present the findings of a survey of the diet and nutrition of young people aged 4\u201318 years living in private households in the UK, carried out between January 1997 and January 1998. The National Diet and Nutrition Survey (NDNS) of young people aged 4\u201318 years forms part of the NDNS programme, which aims to provide a comprehensive, cross-sectional picture of the dietary habits, nutrient intakes and nutritional status of the British population by studying representative samples of defined age groups. The survey components included a detailed interview covering dietary habits, lifestyle and socio-demographic characteristics; a 7-day weighed dietary record; a 7-day physical activity diary; measurements of height, weight, mid-upper arm, waist and hip circumferences, and blood pressure; a blood sample for analysis of a range of nutritional status indices; a single urine sample; and an oral health interview and dental examination. A total of 1701 young people provided 7-day dietary records, representing a response rate of 64%. Results have been published in two volumes covering the diet and nutrition survey and the oral health survey. The reports present results for boys and girls separately in four age groups: 4\u20136 years; 7\u201310 years; 11\u201314 years and 15\u201318 years. Results are also presented by region and by socio-economic characteristics. This review summarises some of the main findings of the diet and nutrition survey, including: the proportion of young people who ate selected foods; energy and nutrient intakes compared with UK Dietary Reference Values; nutritional status; physical measurements; and physical activity. [ABSTRACT FROM AUTHOR]", "author" : [ { "dropping-particle" : "", "family" : "Smithers", "given" : "Miss Gillian", "non-dropping-particle" : "", "parse-names" : false, "suffix" : "" }, { "dropping-particle" : "", "family" : "Smithers", "given" : "Gillian", "non-dropping-particle" : "", "parse-names" : false, "suffix" : "" }, { "dropping-particle" : "", "family" : "Gregory", "given" : "Janet R", "non-dropping-particle" : "", "parse-names" : false, "suffix" : "" }, { "dropping-particle" : "", "family" : "Bates", "given" : "Christopher J", "non-dropping-particle" : "", "parse-names" : false, "suffix" : "" }, { "dropping-particle" : "", "family" : "Prentice", "given" : "Ann", "non-dropping-particle" : "", "parse-names" : false, "suffix" : "" }, { "dropping-particle" : "V", "family" : "Jackson", "given" : "Lisa", "non-dropping-particle" : "", "parse-names" : false, "suffix" : "" }, { "dropping-particle" : "", "family" : "Wenlock", "given" : "Robert", "non-dropping-particle" : "", "parse-names" : false, "suffix" : "" } ], "container-title" : "Nutrition Bulletin", "id" : "ITEM-1", "issue" : "2", "issued" : { "date-parts" : [ [ "2000" ] ] }, "page" : "105-111", "title" : "The National Diet and Nutrition Survey: young people aged 4\u201318 years.", "type" : "article-journal", "volume" : "25" }, "uris" : [ "http://www.mendeley.com/documents/?uuid=6c479ba5-e3e2-4598-8e07-692d04b74295" ] } ], "mendeley" : { "formattedCitation" : "(34)", "plainTextFormattedCitation" : "(34)", "previouslyFormattedCitation" : "(34)" }, "properties" : { "noteIndex" : 0 }, "schema" : "https://github.com/citation-style-language/schema/raw/master/csl-citation.json" }</w:instrText>
      </w:r>
      <w:r w:rsidR="00C93532"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(34)</w:t>
      </w:r>
      <w:r w:rsidR="00C93532" w:rsidRPr="00A43421">
        <w:rPr>
          <w:rFonts w:ascii="Times New Roman" w:hAnsi="Times New Roman" w:cs="Times New Roman"/>
          <w:color w:val="000000" w:themeColor="text1"/>
          <w:sz w:val="24"/>
          <w:szCs w:val="24"/>
          <w:vertAlign w:val="superscript"/>
        </w:rPr>
        <w:fldChar w:fldCharType="end"/>
      </w:r>
      <w:r w:rsidRPr="00A43421">
        <w:rPr>
          <w:rFonts w:ascii="Times New Roman" w:hAnsi="Times New Roman" w:cs="Times New Roman"/>
          <w:color w:val="000000" w:themeColor="text1"/>
          <w:sz w:val="24"/>
          <w:szCs w:val="24"/>
        </w:rPr>
        <w:t>.</w:t>
      </w:r>
      <w:r w:rsidR="008A2E62" w:rsidRPr="00A43421">
        <w:rPr>
          <w:rFonts w:ascii="Times New Roman" w:hAnsi="Times New Roman" w:cs="Times New Roman"/>
          <w:b/>
          <w:color w:val="000000" w:themeColor="text1"/>
          <w:sz w:val="24"/>
          <w:szCs w:val="24"/>
        </w:rPr>
        <w:t xml:space="preserve"> </w:t>
      </w:r>
      <w:r w:rsidR="001253A2" w:rsidRPr="00A43421">
        <w:rPr>
          <w:rFonts w:ascii="Times New Roman" w:hAnsi="Times New Roman" w:cs="Times New Roman"/>
          <w:color w:val="000000" w:themeColor="text1"/>
          <w:sz w:val="24"/>
          <w:szCs w:val="24"/>
        </w:rPr>
        <w:t>Because</w:t>
      </w:r>
      <w:r w:rsidRPr="00A43421">
        <w:rPr>
          <w:rFonts w:ascii="Times New Roman" w:hAnsi="Times New Roman" w:cs="Times New Roman"/>
          <w:color w:val="000000" w:themeColor="text1"/>
          <w:sz w:val="24"/>
          <w:szCs w:val="24"/>
        </w:rPr>
        <w:t xml:space="preserve"> UK nutritional requirements </w:t>
      </w:r>
      <w:r w:rsidR="001253A2" w:rsidRPr="00A43421">
        <w:rPr>
          <w:rFonts w:ascii="Times New Roman" w:hAnsi="Times New Roman" w:cs="Times New Roman"/>
          <w:color w:val="000000" w:themeColor="text1"/>
          <w:sz w:val="24"/>
          <w:szCs w:val="24"/>
        </w:rPr>
        <w:t>are</w:t>
      </w:r>
      <w:r w:rsidRPr="00A43421">
        <w:rPr>
          <w:rFonts w:ascii="Times New Roman" w:hAnsi="Times New Roman" w:cs="Times New Roman"/>
          <w:color w:val="000000" w:themeColor="text1"/>
          <w:sz w:val="24"/>
          <w:szCs w:val="24"/>
        </w:rPr>
        <w:t xml:space="preserve"> grouped into two age brackets that did not </w:t>
      </w:r>
      <w:r w:rsidR="00C93532" w:rsidRPr="00A43421">
        <w:rPr>
          <w:rFonts w:ascii="Times New Roman" w:hAnsi="Times New Roman" w:cs="Times New Roman"/>
          <w:color w:val="000000" w:themeColor="text1"/>
          <w:sz w:val="24"/>
          <w:szCs w:val="24"/>
        </w:rPr>
        <w:t>precisely</w:t>
      </w:r>
      <w:r w:rsidRPr="00A43421">
        <w:rPr>
          <w:rFonts w:ascii="Times New Roman" w:hAnsi="Times New Roman" w:cs="Times New Roman"/>
          <w:color w:val="000000" w:themeColor="text1"/>
          <w:sz w:val="24"/>
          <w:szCs w:val="24"/>
        </w:rPr>
        <w:t xml:space="preserve"> match this study, the 7-10 year age bracket </w:t>
      </w:r>
      <w:r w:rsidR="00FD6C09" w:rsidRPr="00A43421">
        <w:rPr>
          <w:rFonts w:ascii="Times New Roman" w:hAnsi="Times New Roman" w:cs="Times New Roman"/>
          <w:color w:val="000000" w:themeColor="text1"/>
          <w:sz w:val="24"/>
          <w:szCs w:val="24"/>
        </w:rPr>
        <w:t>was used</w:t>
      </w:r>
      <w:r w:rsidR="00C93532"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"author" : [ { "dropping-particle" : "", "family" : "Department of Health", "given" : "", "non-dropping-particle" : "", "parse-names" : false, "suffix" : "" } ], "id" : "ITEM-1", "issued" : { "date-parts" : [ [ "1991" ] ] }, "publisher-place" : "United Kingdom", "title" : "Dietary Reference Values for Food Energy and Nutrients for the United Kingdom", "type" : "report" }, "uris" : [ "http://www.mendeley.com/documents/?uuid=1ac57b7e-f0b4-44a0-a2d6-4bfbe6348aef" ] } ], "mendeley" : { "formattedCitation" : "(37)", "plainTextFormattedCitation" : "(37)", "previouslyFormattedCitation" : "(37)" }, "properties" : { "noteIndex" : 0 }, "schema" : "https://github.com/citation-style-language/schema/raw/master/csl-citation.json" }</w:instrText>
      </w:r>
      <w:r w:rsidR="00C93532"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(37)</w:t>
      </w:r>
      <w:r w:rsidR="00C93532" w:rsidRPr="00A43421">
        <w:rPr>
          <w:rFonts w:ascii="Times New Roman" w:hAnsi="Times New Roman" w:cs="Times New Roman"/>
          <w:color w:val="000000" w:themeColor="text1"/>
          <w:sz w:val="24"/>
          <w:szCs w:val="24"/>
          <w:vertAlign w:val="superscript"/>
        </w:rPr>
        <w:fldChar w:fldCharType="end"/>
      </w:r>
      <w:r w:rsidR="00C93532" w:rsidRPr="00A43421">
        <w:rPr>
          <w:rFonts w:ascii="Times New Roman" w:hAnsi="Times New Roman" w:cs="Times New Roman"/>
          <w:color w:val="000000" w:themeColor="text1"/>
          <w:sz w:val="24"/>
          <w:szCs w:val="24"/>
        </w:rPr>
        <w:t xml:space="preserve">. </w:t>
      </w:r>
      <w:r w:rsidR="00127505" w:rsidRPr="00A43421">
        <w:rPr>
          <w:rFonts w:ascii="Times New Roman" w:hAnsi="Times New Roman" w:cs="Times New Roman"/>
          <w:color w:val="000000" w:themeColor="text1"/>
          <w:sz w:val="24"/>
          <w:szCs w:val="24"/>
        </w:rPr>
        <w:t>Overall, p</w:t>
      </w:r>
      <w:r w:rsidRPr="00A43421">
        <w:rPr>
          <w:rFonts w:ascii="Times New Roman" w:hAnsi="Times New Roman" w:cs="Times New Roman"/>
          <w:color w:val="000000" w:themeColor="text1"/>
          <w:sz w:val="24"/>
          <w:szCs w:val="24"/>
        </w:rPr>
        <w:t xml:space="preserve">articipants met the </w:t>
      </w:r>
      <w:r w:rsidR="008A2E62" w:rsidRPr="00A43421">
        <w:rPr>
          <w:rFonts w:ascii="Times New Roman" w:hAnsi="Times New Roman" w:cs="Times New Roman"/>
          <w:color w:val="000000" w:themeColor="text1"/>
          <w:sz w:val="24"/>
          <w:szCs w:val="24"/>
        </w:rPr>
        <w:t xml:space="preserve">EAR </w:t>
      </w:r>
      <w:r w:rsidRPr="00A43421">
        <w:rPr>
          <w:rFonts w:ascii="Times New Roman" w:hAnsi="Times New Roman" w:cs="Times New Roman"/>
          <w:color w:val="000000" w:themeColor="text1"/>
          <w:sz w:val="24"/>
          <w:szCs w:val="24"/>
        </w:rPr>
        <w:t xml:space="preserve">for all nutrients. Intakes of some minerals appeared suboptimal, however all </w:t>
      </w:r>
      <w:r w:rsidR="008A2E62" w:rsidRPr="00A43421">
        <w:rPr>
          <w:rFonts w:ascii="Times New Roman" w:hAnsi="Times New Roman" w:cs="Times New Roman"/>
          <w:color w:val="000000" w:themeColor="text1"/>
          <w:sz w:val="24"/>
          <w:szCs w:val="24"/>
        </w:rPr>
        <w:t>exceeded</w:t>
      </w:r>
      <w:r w:rsidRPr="00A43421">
        <w:rPr>
          <w:rFonts w:ascii="Times New Roman" w:hAnsi="Times New Roman" w:cs="Times New Roman"/>
          <w:color w:val="000000" w:themeColor="text1"/>
          <w:sz w:val="24"/>
          <w:szCs w:val="24"/>
        </w:rPr>
        <w:t xml:space="preserve"> the LRNI. This i</w:t>
      </w:r>
      <w:r w:rsidR="008A2E62" w:rsidRPr="00A43421">
        <w:rPr>
          <w:rFonts w:ascii="Times New Roman" w:hAnsi="Times New Roman" w:cs="Times New Roman"/>
          <w:color w:val="000000" w:themeColor="text1"/>
          <w:sz w:val="24"/>
          <w:szCs w:val="24"/>
        </w:rPr>
        <w:t xml:space="preserve">s </w:t>
      </w:r>
      <w:r w:rsidR="001170A5" w:rsidRPr="00A43421">
        <w:rPr>
          <w:rFonts w:ascii="Times New Roman" w:hAnsi="Times New Roman" w:cs="Times New Roman"/>
          <w:color w:val="000000" w:themeColor="text1"/>
          <w:sz w:val="24"/>
          <w:szCs w:val="24"/>
        </w:rPr>
        <w:t>very</w:t>
      </w:r>
      <w:r w:rsidR="008A2E62" w:rsidRPr="00A43421">
        <w:rPr>
          <w:rFonts w:ascii="Times New Roman" w:hAnsi="Times New Roman" w:cs="Times New Roman"/>
          <w:color w:val="000000" w:themeColor="text1"/>
          <w:sz w:val="24"/>
          <w:szCs w:val="24"/>
        </w:rPr>
        <w:t xml:space="preserve"> similar </w:t>
      </w:r>
      <w:r w:rsidRPr="00A43421">
        <w:rPr>
          <w:rFonts w:ascii="Times New Roman" w:hAnsi="Times New Roman" w:cs="Times New Roman"/>
          <w:color w:val="000000" w:themeColor="text1"/>
          <w:sz w:val="24"/>
          <w:szCs w:val="24"/>
        </w:rPr>
        <w:t>the most recent NDNS which reported</w:t>
      </w:r>
      <w:r w:rsidRPr="00A43421">
        <w:rPr>
          <w:rFonts w:ascii="Times New Roman" w:hAnsi="Times New Roman" w:cs="Times New Roman"/>
          <w:color w:val="000000" w:themeColor="text1"/>
          <w:sz w:val="24"/>
          <w:szCs w:val="24"/>
          <w:lang w:val="en-US" w:eastAsia="en-GB"/>
        </w:rPr>
        <w:t xml:space="preserve"> that</w:t>
      </w:r>
      <w:r w:rsidR="00127505" w:rsidRPr="00A43421">
        <w:rPr>
          <w:rFonts w:ascii="Times New Roman" w:hAnsi="Times New Roman" w:cs="Times New Roman"/>
          <w:color w:val="000000" w:themeColor="text1"/>
          <w:sz w:val="24"/>
          <w:szCs w:val="24"/>
          <w:lang w:val="en-US" w:eastAsia="en-GB"/>
        </w:rPr>
        <w:t xml:space="preserve"> in children under 11 years old </w:t>
      </w:r>
      <w:r w:rsidRPr="00A43421">
        <w:rPr>
          <w:rFonts w:ascii="Times New Roman" w:hAnsi="Times New Roman" w:cs="Times New Roman"/>
          <w:color w:val="000000" w:themeColor="text1"/>
          <w:sz w:val="24"/>
          <w:szCs w:val="24"/>
          <w:lang w:val="en-US" w:eastAsia="en-GB"/>
        </w:rPr>
        <w:t xml:space="preserve"> intakes of all minerals were </w:t>
      </w:r>
      <w:r w:rsidR="001170A5" w:rsidRPr="00A43421">
        <w:rPr>
          <w:rFonts w:ascii="Times New Roman" w:hAnsi="Times New Roman" w:cs="Times New Roman"/>
          <w:color w:val="000000" w:themeColor="text1"/>
          <w:sz w:val="24"/>
          <w:szCs w:val="24"/>
          <w:lang w:val="en-US" w:eastAsia="en-GB"/>
        </w:rPr>
        <w:t>at</w:t>
      </w:r>
      <w:r w:rsidR="00FD6C09" w:rsidRPr="00A43421">
        <w:rPr>
          <w:rFonts w:ascii="Times New Roman" w:hAnsi="Times New Roman" w:cs="Times New Roman"/>
          <w:color w:val="000000" w:themeColor="text1"/>
          <w:sz w:val="24"/>
          <w:szCs w:val="24"/>
          <w:lang w:val="en-US" w:eastAsia="en-GB"/>
        </w:rPr>
        <w:t xml:space="preserve"> or above the RNI</w:t>
      </w:r>
      <w:r w:rsidR="00C93532" w:rsidRPr="00A43421">
        <w:rPr>
          <w:rFonts w:ascii="Times New Roman" w:hAnsi="Times New Roman" w:cs="Times New Roman"/>
          <w:color w:val="000000" w:themeColor="text1"/>
          <w:sz w:val="24"/>
          <w:szCs w:val="24"/>
          <w:vertAlign w:val="superscript"/>
          <w:lang w:val="en-US" w:eastAsia="en-GB"/>
        </w:rPr>
        <w:fldChar w:fldCharType="begin" w:fldLock="1"/>
      </w:r>
      <w:r w:rsidR="001B2983" w:rsidRPr="00A43421">
        <w:rPr>
          <w:rFonts w:ascii="Times New Roman" w:hAnsi="Times New Roman" w:cs="Times New Roman"/>
          <w:color w:val="000000" w:themeColor="text1"/>
          <w:sz w:val="24"/>
          <w:szCs w:val="24"/>
          <w:vertAlign w:val="superscript"/>
          <w:lang w:val="en-US" w:eastAsia="en-GB"/>
        </w:rPr>
        <w:instrText>ADDIN CSL_CITATION { "citationItems" : [ { "id" : "ITEM-1", "itemData" : { "DOI" : "10.1046/j.1467-3010.2000.00027.x", "ISBN" : "1467-3010", "ISSN" : "14719827", "abstract" : "Summary This review describes and present the findings of a survey of the diet and nutrition of young people aged 4\u201318 years living in private households in the UK, carried out between January 1997 and January 1998. The National Diet and Nutrition Survey (NDNS) of young people aged 4\u201318 years forms part of the NDNS programme, which aims to provide a comprehensive, cross-sectional picture of the dietary habits, nutrient intakes and nutritional status of the British population by studying representative samples of defined age groups. The survey components included a detailed interview covering dietary habits, lifestyle and socio-demographic characteristics; a 7-day weighed dietary record; a 7-day physical activity diary; measurements of height, weight, mid-upper arm, waist and hip circumferences, and blood pressure; a blood sample for analysis of a range of nutritional status indices; a single urine sample; and an oral health interview and dental examination. A total of 1701 young people provided 7-day dietary records, representing a response rate of 64%. Results have been published in two volumes covering the diet and nutrition survey and the oral health survey. The reports present results for boys and girls separately in four age groups: 4\u20136 years; 7\u201310 years; 11\u201314 years and 15\u201318 years. Results are also presented by region and by socio-economic characteristics. This review summarises some of the main findings of the diet and nutrition survey, including: the proportion of young people who ate selected foods; energy and nutrient intakes compared with UK Dietary Reference Values; nutritional status; physical measurements; and physical activity. [ABSTRACT FROM AUTHOR]", "author" : [ { "dropping-particle" : "", "family" : "Smithers", "given" : "Miss Gillian", "non-dropping-particle" : "", "parse-names" : false, "suffix" : "" }, { "dropping-particle" : "", "family" : "Smithers", "given" : "Gillian", "non-dropping-particle" : "", "parse-names" : false, "suffix" : "" }, { "dropping-particle" : "", "family" : "Gregory", "given" : "Janet R", "non-dropping-particle" : "", "parse-names" : false, "suffix" : "" }, { "dropping-particle" : "", "family" : "Bates", "given" : "Christopher J", "non-dropping-particle" : "", "parse-names" : false, "suffix" : "" }, { "dropping-particle" : "", "family" : "Prentice", "given" : "Ann", "non-dropping-particle" : "", "parse-names" : false, "suffix" : "" }, { "dropping-particle" : "V", "family" : "Jackson", "given" : "Lisa", "non-dropping-particle" : "", "parse-names" : false, "suffix" : "" }, { "dropping-particle" : "", "family" : "Wenlock", "given" : "Robert", "non-dropping-particle" : "", "parse-names" : false, "suffix" : "" } ], "container-title" : "Nutrition Bulletin", "id" : "ITEM-1", "issue" : "2", "issued" : { "date-parts" : [ [ "2000" ] ] }, "page" : "105-111", "title" : "The National Diet and Nutrition Survey: young people aged 4\u201318 years.", "type" : "article-journal", "volume" : "25" }, "uris" : [ "http://www.mendeley.com/documents/?uuid=6c479ba5-e3e2-4598-8e07-692d04b74295" ] } ], "mendeley" : { "formattedCitation" : "(34)", "plainTextFormattedCitation" : "(34)", "previouslyFormattedCitation" : "(34)" }, "properties" : { "noteIndex" : 0 }, "schema" : "https://github.com/citation-style-language/schema/raw/master/csl-citation.json" }</w:instrText>
      </w:r>
      <w:r w:rsidR="00C93532" w:rsidRPr="00A43421">
        <w:rPr>
          <w:rFonts w:ascii="Times New Roman" w:hAnsi="Times New Roman" w:cs="Times New Roman"/>
          <w:color w:val="000000" w:themeColor="text1"/>
          <w:sz w:val="24"/>
          <w:szCs w:val="24"/>
          <w:vertAlign w:val="superscript"/>
          <w:lang w:val="en-US" w:eastAsia="en-GB"/>
        </w:rPr>
        <w:fldChar w:fldCharType="separate"/>
      </w:r>
      <w:r w:rsidR="001B2983" w:rsidRPr="00A43421">
        <w:rPr>
          <w:rFonts w:ascii="Times New Roman" w:hAnsi="Times New Roman" w:cs="Times New Roman"/>
          <w:noProof/>
          <w:color w:val="000000" w:themeColor="text1"/>
          <w:sz w:val="24"/>
          <w:szCs w:val="24"/>
          <w:vertAlign w:val="superscript"/>
          <w:lang w:val="en-US" w:eastAsia="en-GB"/>
        </w:rPr>
        <w:t>(34)</w:t>
      </w:r>
      <w:r w:rsidR="00C93532" w:rsidRPr="00A43421">
        <w:rPr>
          <w:rFonts w:ascii="Times New Roman" w:hAnsi="Times New Roman" w:cs="Times New Roman"/>
          <w:color w:val="000000" w:themeColor="text1"/>
          <w:sz w:val="24"/>
          <w:szCs w:val="24"/>
          <w:vertAlign w:val="superscript"/>
          <w:lang w:val="en-US" w:eastAsia="en-GB"/>
        </w:rPr>
        <w:fldChar w:fldCharType="end"/>
      </w:r>
      <w:r w:rsidRPr="00A43421">
        <w:rPr>
          <w:rFonts w:ascii="Times New Roman" w:hAnsi="Times New Roman" w:cs="Times New Roman"/>
          <w:color w:val="000000" w:themeColor="text1"/>
          <w:sz w:val="24"/>
          <w:szCs w:val="24"/>
          <w:lang w:val="en-US" w:eastAsia="en-GB"/>
        </w:rPr>
        <w:t xml:space="preserve">. </w:t>
      </w:r>
      <w:r w:rsidRPr="00A43421">
        <w:rPr>
          <w:rFonts w:ascii="Times New Roman" w:hAnsi="Times New Roman" w:cs="Times New Roman"/>
          <w:color w:val="000000" w:themeColor="text1"/>
          <w:sz w:val="24"/>
          <w:szCs w:val="24"/>
        </w:rPr>
        <w:t>Median vitamin D intakes were low in all participants</w:t>
      </w:r>
      <w:r w:rsidR="001170A5" w:rsidRPr="00A43421">
        <w:rPr>
          <w:rFonts w:ascii="Times New Roman" w:hAnsi="Times New Roman" w:cs="Times New Roman"/>
          <w:color w:val="000000" w:themeColor="text1"/>
          <w:sz w:val="24"/>
          <w:szCs w:val="24"/>
        </w:rPr>
        <w:t xml:space="preserve"> (1.83 mcg/day). Likewise </w:t>
      </w:r>
      <w:r w:rsidR="005D23CA" w:rsidRPr="00A43421">
        <w:rPr>
          <w:rFonts w:ascii="Times New Roman" w:hAnsi="Times New Roman" w:cs="Times New Roman"/>
          <w:color w:val="000000" w:themeColor="text1"/>
          <w:sz w:val="24"/>
          <w:szCs w:val="24"/>
        </w:rPr>
        <w:t xml:space="preserve">the NDNS reported </w:t>
      </w:r>
      <w:r w:rsidR="001170A5" w:rsidRPr="00A43421">
        <w:rPr>
          <w:rFonts w:ascii="Times New Roman" w:hAnsi="Times New Roman" w:cs="Times New Roman"/>
          <w:color w:val="000000" w:themeColor="text1"/>
          <w:sz w:val="24"/>
          <w:szCs w:val="24"/>
        </w:rPr>
        <w:t>m</w:t>
      </w:r>
      <w:r w:rsidRPr="00A43421">
        <w:rPr>
          <w:rFonts w:ascii="Times New Roman" w:hAnsi="Times New Roman" w:cs="Times New Roman"/>
          <w:color w:val="000000" w:themeColor="text1"/>
          <w:sz w:val="24"/>
          <w:szCs w:val="24"/>
          <w:lang w:val="en-US"/>
        </w:rPr>
        <w:t xml:space="preserve">ean daily intake for </w:t>
      </w:r>
      <w:r w:rsidR="005D23CA" w:rsidRPr="00A43421">
        <w:rPr>
          <w:rFonts w:ascii="Times New Roman" w:hAnsi="Times New Roman" w:cs="Times New Roman"/>
          <w:color w:val="000000" w:themeColor="text1"/>
          <w:sz w:val="24"/>
          <w:szCs w:val="24"/>
          <w:lang w:val="en-US"/>
        </w:rPr>
        <w:t>children and adolescents</w:t>
      </w:r>
      <w:r w:rsidR="001170A5" w:rsidRPr="00A43421">
        <w:rPr>
          <w:rFonts w:ascii="Times New Roman" w:hAnsi="Times New Roman" w:cs="Times New Roman"/>
          <w:color w:val="000000" w:themeColor="text1"/>
          <w:sz w:val="24"/>
          <w:szCs w:val="24"/>
          <w:lang w:val="en-US"/>
        </w:rPr>
        <w:t xml:space="preserve"> </w:t>
      </w:r>
      <w:r w:rsidR="005D23CA" w:rsidRPr="00A43421">
        <w:rPr>
          <w:rFonts w:ascii="Times New Roman" w:hAnsi="Times New Roman" w:cs="Times New Roman"/>
          <w:color w:val="000000" w:themeColor="text1"/>
          <w:sz w:val="24"/>
          <w:szCs w:val="24"/>
          <w:lang w:val="en-US"/>
        </w:rPr>
        <w:t>of</w:t>
      </w:r>
      <w:r w:rsidRPr="00A43421">
        <w:rPr>
          <w:rFonts w:ascii="Times New Roman" w:hAnsi="Times New Roman" w:cs="Times New Roman"/>
          <w:color w:val="000000" w:themeColor="text1"/>
          <w:sz w:val="24"/>
          <w:szCs w:val="24"/>
          <w:lang w:val="en-US"/>
        </w:rPr>
        <w:t xml:space="preserve"> 2.7</w:t>
      </w:r>
      <w:r w:rsidR="00C93532" w:rsidRPr="00A43421">
        <w:rPr>
          <w:rFonts w:ascii="Times New Roman" w:hAnsi="Times New Roman" w:cs="Times New Roman"/>
          <w:color w:val="000000" w:themeColor="text1"/>
          <w:sz w:val="24"/>
          <w:szCs w:val="24"/>
          <w:lang w:val="en-US"/>
        </w:rPr>
        <w:t xml:space="preserve"> </w:t>
      </w:r>
      <w:r w:rsidRPr="00A43421">
        <w:rPr>
          <w:rFonts w:ascii="Times New Roman" w:hAnsi="Times New Roman" w:cs="Times New Roman"/>
          <w:color w:val="000000" w:themeColor="text1"/>
          <w:sz w:val="24"/>
          <w:szCs w:val="24"/>
          <w:lang w:val="en-US"/>
        </w:rPr>
        <w:t>mcg and 2.4 mcg respectively, with 20% of chil</w:t>
      </w:r>
      <w:r w:rsidR="00FD6C09" w:rsidRPr="00A43421">
        <w:rPr>
          <w:rFonts w:ascii="Times New Roman" w:hAnsi="Times New Roman" w:cs="Times New Roman"/>
          <w:color w:val="000000" w:themeColor="text1"/>
          <w:sz w:val="24"/>
          <w:szCs w:val="24"/>
          <w:lang w:val="en-US"/>
        </w:rPr>
        <w:t>dren having low serum vitamin D</w:t>
      </w:r>
      <w:r w:rsidR="00C93532" w:rsidRPr="00A43421">
        <w:rPr>
          <w:rFonts w:ascii="Times New Roman" w:hAnsi="Times New Roman" w:cs="Times New Roman"/>
          <w:color w:val="000000" w:themeColor="text1"/>
          <w:sz w:val="24"/>
          <w:szCs w:val="24"/>
          <w:vertAlign w:val="superscript"/>
          <w:lang w:val="en-US"/>
        </w:rPr>
        <w:fldChar w:fldCharType="begin" w:fldLock="1"/>
      </w:r>
      <w:r w:rsidR="001B2983" w:rsidRPr="00A43421">
        <w:rPr>
          <w:rFonts w:ascii="Times New Roman" w:hAnsi="Times New Roman" w:cs="Times New Roman"/>
          <w:color w:val="000000" w:themeColor="text1"/>
          <w:sz w:val="24"/>
          <w:szCs w:val="24"/>
          <w:vertAlign w:val="superscript"/>
          <w:lang w:val="en-US"/>
        </w:rPr>
        <w:instrText>ADDIN CSL_CITATION { "citationItems" : [ { "id" : "ITEM-1", "itemData" : { "DOI" : "10.1046/j.1467-3010.2000.00027.x", "ISBN" : "1467-3010", "ISSN" : "14719827", "abstract" : "Summary This review describes and present the findings of a survey of the diet and nutrition of young people aged 4\u201318 years living in private households in the UK, carried out between January 1997 and January 1998. The National Diet and Nutrition Survey (NDNS) of young people aged 4\u201318 years forms part of the NDNS programme, which aims to provide a comprehensive, cross-sectional picture of the dietary habits, nutrient intakes and nutritional status of the British population by studying representative samples of defined age groups. The survey components included a detailed interview covering dietary habits, lifestyle and socio-demographic characteristics; a 7-day weighed dietary record; a 7-day physical activity diary; measurements of height, weight, mid-upper arm, waist and hip circumferences, and blood pressure; a blood sample for analysis of a range of nutritional status indices; a single urine sample; and an oral health interview and dental examination. A total of 1701 young people provided 7-day dietary records, representing a response rate of 64%. Results have been published in two volumes covering the diet and nutrition survey and the oral health survey. The reports present results for boys and girls separately in four age groups: 4\u20136 years; 7\u201310 years; 11\u201314 years and 15\u201318 years. Results are also presented by region and by socio-economic characteristics. This review summarises some of the main findings of the diet and nutrition survey, including: the proportion of young people who ate selected foods; energy and nutrient intakes compared with UK Dietary Reference Values; nutritional status; physical measurements; and physical activity. [ABSTRACT FROM AUTHOR]", "author" : [ { "dropping-particle" : "", "family" : "Smithers", "given" : "Miss Gillian", "non-dropping-particle" : "", "parse-names" : false, "suffix" : "" }, { "dropping-particle" : "", "family" : "Smithers", "given" : "Gillian", "non-dropping-particle" : "", "parse-names" : false, "suffix" : "" }, { "dropping-particle" : "", "family" : "Gregory", "given" : "Janet R", "non-dropping-particle" : "", "parse-names" : false, "suffix" : "" }, { "dropping-particle" : "", "family" : "Bates", "given" : "Christopher J", "non-dropping-particle" : "", "parse-names" : false, "suffix" : "" }, { "dropping-particle" : "", "family" : "Prentice", "given" : "Ann", "non-dropping-particle" : "", "parse-names" : false, "suffix" : "" }, { "dropping-particle" : "V", "family" : "Jackson", "given" : "Lisa", "non-dropping-particle" : "", "parse-names" : false, "suffix" : "" }, { "dropping-particle" : "", "family" : "Wenlock", "given" : "Robert", "non-dropping-particle" : "", "parse-names" : false, "suffix" : "" } ], "container-title" : "Nutrition Bulletin", "id" : "ITEM-1", "issue" : "2", "issued" : { "date-parts" : [ [ "2000" ] ] }, "page" : "105-111", "title" : "The National Diet and Nutrition Survey: young people aged 4\u201318 years.", "type" : "article-journal", "volume" : "25" }, "uris" : [ "http://www.mendeley.com/documents/?uuid=6c479ba5-e3e2-4598-8e07-692d04b74295" ] } ], "mendeley" : { "formattedCitation" : "(34)", "plainTextFormattedCitation" : "(34)", "previouslyFormattedCitation" : "(34)" }, "properties" : { "noteIndex" : 0 }, "schema" : "https://github.com/citation-style-language/schema/raw/master/csl-citation.json" }</w:instrText>
      </w:r>
      <w:r w:rsidR="00C93532" w:rsidRPr="00A43421">
        <w:rPr>
          <w:rFonts w:ascii="Times New Roman" w:hAnsi="Times New Roman" w:cs="Times New Roman"/>
          <w:color w:val="000000" w:themeColor="text1"/>
          <w:sz w:val="24"/>
          <w:szCs w:val="24"/>
          <w:vertAlign w:val="superscript"/>
          <w:lang w:val="en-US"/>
        </w:rPr>
        <w:fldChar w:fldCharType="separate"/>
      </w:r>
      <w:r w:rsidR="001B2983" w:rsidRPr="00A43421">
        <w:rPr>
          <w:rFonts w:ascii="Times New Roman" w:hAnsi="Times New Roman" w:cs="Times New Roman"/>
          <w:noProof/>
          <w:color w:val="000000" w:themeColor="text1"/>
          <w:sz w:val="24"/>
          <w:szCs w:val="24"/>
          <w:vertAlign w:val="superscript"/>
          <w:lang w:val="en-US"/>
        </w:rPr>
        <w:t>(34)</w:t>
      </w:r>
      <w:r w:rsidR="00C93532" w:rsidRPr="00A43421">
        <w:rPr>
          <w:rFonts w:ascii="Times New Roman" w:hAnsi="Times New Roman" w:cs="Times New Roman"/>
          <w:color w:val="000000" w:themeColor="text1"/>
          <w:sz w:val="24"/>
          <w:szCs w:val="24"/>
          <w:vertAlign w:val="superscript"/>
          <w:lang w:val="en-US"/>
        </w:rPr>
        <w:fldChar w:fldCharType="end"/>
      </w:r>
      <w:r w:rsidR="00C93532" w:rsidRPr="00A43421">
        <w:rPr>
          <w:rFonts w:ascii="Times New Roman" w:hAnsi="Times New Roman" w:cs="Times New Roman"/>
          <w:color w:val="000000" w:themeColor="text1"/>
          <w:sz w:val="24"/>
          <w:szCs w:val="24"/>
          <w:lang w:val="en-US"/>
        </w:rPr>
        <w:t xml:space="preserve">. </w:t>
      </w:r>
      <w:r w:rsidRPr="00A43421">
        <w:rPr>
          <w:rFonts w:ascii="Times New Roman" w:hAnsi="Times New Roman" w:cs="Times New Roman"/>
          <w:color w:val="000000" w:themeColor="text1"/>
          <w:sz w:val="24"/>
          <w:szCs w:val="24"/>
        </w:rPr>
        <w:t xml:space="preserve">Although there is no DRV in the UK for vitamin D for children over five years old, using the arbitrary </w:t>
      </w:r>
      <w:r w:rsidR="001170A5" w:rsidRPr="00A43421">
        <w:rPr>
          <w:rFonts w:ascii="Times New Roman" w:hAnsi="Times New Roman" w:cs="Times New Roman"/>
          <w:color w:val="000000" w:themeColor="text1"/>
          <w:sz w:val="24"/>
          <w:szCs w:val="24"/>
        </w:rPr>
        <w:t>value</w:t>
      </w:r>
      <w:r w:rsidRPr="00A43421">
        <w:rPr>
          <w:rFonts w:ascii="Times New Roman" w:hAnsi="Times New Roman" w:cs="Times New Roman"/>
          <w:color w:val="000000" w:themeColor="text1"/>
          <w:sz w:val="24"/>
          <w:szCs w:val="24"/>
        </w:rPr>
        <w:t xml:space="preserve"> of 10</w:t>
      </w:r>
      <w:r w:rsidR="00C93532" w:rsidRPr="00A43421">
        <w:rPr>
          <w:rFonts w:ascii="Times New Roman" w:hAnsi="Times New Roman" w:cs="Times New Roman"/>
          <w:color w:val="000000" w:themeColor="text1"/>
          <w:sz w:val="24"/>
          <w:szCs w:val="24"/>
        </w:rPr>
        <w:t xml:space="preserve"> </w:t>
      </w:r>
      <w:r w:rsidR="00FD6C09" w:rsidRPr="00A43421">
        <w:rPr>
          <w:rFonts w:ascii="Times New Roman" w:hAnsi="Times New Roman" w:cs="Times New Roman"/>
          <w:color w:val="000000" w:themeColor="text1"/>
          <w:sz w:val="24"/>
          <w:szCs w:val="24"/>
        </w:rPr>
        <w:t>mcg/day</w:t>
      </w:r>
      <w:r w:rsidR="00C93532"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"10.1186/s13601-015-0054-y", "ISBN" : "1360101500", "ISSN" : "2045-7022", "author" : [ { "dropping-particle" : "", "family" : "Meyer", "given" : "Rosan", "non-dropping-particle" : "", "parse-names" : false, "suffix" : "" }, { "dropping-particle" : "", "family" : "Koker", "given" : "Claire", "non-dropping-particle" : "De", "parse-names" : false, "suffix" : "" }, { "dropping-particle" : "", "family" : "Dziubak", "given" : "Robert", "non-dropping-particle" : "", "parse-names" : false, "suffix" : "" }, { "dropping-particle" : "", "family" : "Skrapac", "given" : "Ana-Kristina", "non-dropping-particle" : "", "parse-names" : false, "suffix" : "" }, { "dropping-particle" : "", "family" : "Godwin", "given" : "Heather", "non-dropping-particle" : "", "parse-names" : false, "suffix" : "" }, { "dropping-particle" : "", "family" : "Reeve", "given" : "Kate", "non-dropping-particle" : "", "parse-names" : false, "suffix" : "" }, { "dropping-particle" : "", "family" : "Chebar-Lozinsky", "given" : "Adriana", "non-dropping-particle" : "", "parse-names" : false, "suffix" : "" }, { "dropping-particle" : "", "family" : "Shah", "given" : "Neil", "non-dropping-particle" : "", "parse-names" : false, "suffix" : "" } ], "container-title" : "Clinical and Translational Allergy", "id" : "ITEM-1", "issue" : "1", "issued" : { "date-parts" : [ [ "2015" ] ] }, "page" : "5-11", "title" : "A practical approach to vitamin and mineral supplementation in food allergic children", "type" : "article-journal", "volume" : "5" }, "uris" : [ "http://www.mendeley.com/documents/?uuid=10bc9151-3661-4613-9279-c95cb6407fc6" ] } ], "mendeley" : { "formattedCitation" : "(50)", "plainTextFormattedCitation" : "(50)", "previouslyFormattedCitation" : "(50)" }, "properties" : { "noteIndex" : 0 }, "schema" : "https://github.com/citation-style-language/schema/raw/master/csl-citation.json" }</w:instrText>
      </w:r>
      <w:r w:rsidR="00C93532"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(50)</w:t>
      </w:r>
      <w:r w:rsidR="00C93532" w:rsidRPr="00A43421">
        <w:rPr>
          <w:rFonts w:ascii="Times New Roman" w:hAnsi="Times New Roman" w:cs="Times New Roman"/>
          <w:color w:val="000000" w:themeColor="text1"/>
          <w:sz w:val="24"/>
          <w:szCs w:val="24"/>
          <w:vertAlign w:val="superscript"/>
        </w:rPr>
        <w:fldChar w:fldCharType="end"/>
      </w:r>
      <w:r w:rsidRPr="00A43421">
        <w:rPr>
          <w:rFonts w:ascii="Times New Roman" w:hAnsi="Times New Roman" w:cs="Times New Roman"/>
          <w:color w:val="000000" w:themeColor="text1"/>
          <w:sz w:val="24"/>
          <w:szCs w:val="24"/>
        </w:rPr>
        <w:t>; it can be conclud</w:t>
      </w:r>
      <w:r w:rsidR="00E31904" w:rsidRPr="00A43421">
        <w:rPr>
          <w:rFonts w:ascii="Times New Roman" w:hAnsi="Times New Roman" w:cs="Times New Roman"/>
          <w:color w:val="000000" w:themeColor="text1"/>
          <w:sz w:val="24"/>
          <w:szCs w:val="24"/>
        </w:rPr>
        <w:t>ed that intake</w:t>
      </w:r>
      <w:r w:rsidRPr="00A43421">
        <w:rPr>
          <w:rFonts w:ascii="Times New Roman" w:hAnsi="Times New Roman" w:cs="Times New Roman"/>
          <w:color w:val="000000" w:themeColor="text1"/>
          <w:sz w:val="24"/>
          <w:szCs w:val="24"/>
        </w:rPr>
        <w:t xml:space="preserve"> in </w:t>
      </w:r>
      <w:r w:rsidR="00E31904" w:rsidRPr="00A43421">
        <w:rPr>
          <w:rFonts w:ascii="Times New Roman" w:hAnsi="Times New Roman" w:cs="Times New Roman"/>
          <w:color w:val="000000" w:themeColor="text1"/>
          <w:sz w:val="24"/>
          <w:szCs w:val="24"/>
        </w:rPr>
        <w:t>all</w:t>
      </w:r>
      <w:r w:rsidRPr="00A43421">
        <w:rPr>
          <w:rFonts w:ascii="Times New Roman" w:hAnsi="Times New Roman" w:cs="Times New Roman"/>
          <w:color w:val="000000" w:themeColor="text1"/>
          <w:sz w:val="24"/>
          <w:szCs w:val="24"/>
        </w:rPr>
        <w:t xml:space="preserve"> participants </w:t>
      </w:r>
      <w:r w:rsidR="00E31904" w:rsidRPr="00A43421">
        <w:rPr>
          <w:rFonts w:ascii="Times New Roman" w:hAnsi="Times New Roman" w:cs="Times New Roman"/>
          <w:color w:val="000000" w:themeColor="text1"/>
          <w:sz w:val="24"/>
          <w:szCs w:val="24"/>
        </w:rPr>
        <w:t>is</w:t>
      </w:r>
      <w:r w:rsidRPr="00A43421">
        <w:rPr>
          <w:rFonts w:ascii="Times New Roman" w:hAnsi="Times New Roman" w:cs="Times New Roman"/>
          <w:color w:val="000000" w:themeColor="text1"/>
          <w:sz w:val="24"/>
          <w:szCs w:val="24"/>
        </w:rPr>
        <w:t xml:space="preserve"> </w:t>
      </w:r>
      <w:r w:rsidR="001170A5" w:rsidRPr="00A43421">
        <w:rPr>
          <w:rFonts w:ascii="Times New Roman" w:hAnsi="Times New Roman" w:cs="Times New Roman"/>
          <w:color w:val="000000" w:themeColor="text1"/>
          <w:sz w:val="24"/>
          <w:szCs w:val="24"/>
        </w:rPr>
        <w:t>insufficient.</w:t>
      </w:r>
    </w:p>
    <w:p w14:paraId="431DFA1D" w14:textId="35C7443E" w:rsidR="0018479C" w:rsidRPr="00A43421" w:rsidRDefault="00B43E0F" w:rsidP="00083A30">
      <w:pPr>
        <w:spacing w:line="360" w:lineRule="auto"/>
        <w:ind w:firstLine="720"/>
        <w:jc w:val="both"/>
        <w:rPr>
          <w:rFonts w:ascii="Times New Roman" w:hAnsi="Times New Roman" w:cs="Times New Roman"/>
          <w:b/>
          <w:color w:val="000000" w:themeColor="text1"/>
          <w:sz w:val="24"/>
          <w:szCs w:val="24"/>
        </w:rPr>
      </w:pPr>
      <w:r w:rsidRPr="00A43421">
        <w:rPr>
          <w:rFonts w:ascii="Times New Roman" w:hAnsi="Times New Roman" w:cs="Times New Roman"/>
          <w:color w:val="000000" w:themeColor="text1"/>
          <w:sz w:val="24"/>
          <w:szCs w:val="24"/>
        </w:rPr>
        <w:t>Calcium has been identified as the key at-risk nutrient in chi</w:t>
      </w:r>
      <w:r w:rsidR="00FD6C09" w:rsidRPr="00A43421">
        <w:rPr>
          <w:rFonts w:ascii="Times New Roman" w:hAnsi="Times New Roman" w:cs="Times New Roman"/>
          <w:color w:val="000000" w:themeColor="text1"/>
          <w:sz w:val="24"/>
          <w:szCs w:val="24"/>
        </w:rPr>
        <w:t>ldren consuming exclusion diets</w:t>
      </w:r>
      <w:r w:rsidRPr="00A43421">
        <w:rPr>
          <w:rFonts w:ascii="Times New Roman" w:hAnsi="Times New Roman" w:cs="Times New Roman"/>
          <w:color w:val="000000" w:themeColor="text1"/>
          <w:sz w:val="24"/>
          <w:szCs w:val="24"/>
          <w:vertAlign w:val="superscript"/>
        </w:rPr>
        <w:fldChar w:fldCharType="begin" w:fldLock="1"/>
      </w:r>
      <w:r w:rsidR="005D23CA" w:rsidRPr="00A43421">
        <w:rPr>
          <w:rFonts w:ascii="Times New Roman" w:hAnsi="Times New Roman" w:cs="Times New Roman"/>
          <w:color w:val="000000" w:themeColor="text1"/>
          <w:sz w:val="24"/>
          <w:szCs w:val="24"/>
          <w:vertAlign w:val="superscript"/>
        </w:rPr>
        <w:instrText>ADDIN CSL_CITATION { "citationItems" : [ { "id" : "ITEM-1", "itemData" : { "ISSN" : "0803-5253", "PMID" : "10772273", "abstract" : "Approximately 2-3% of young children develop allergy or intolerance to cows' milk. The only available treatment is elimination of milk from the diet. However, as milk is an important source of nutrients in childhood, a milk-free diet may not adequately meet the child's nutritional needs. A dietary survey was conducted to assess the nutrient intake of children on cows' milk-restricted diets. A population-based sample of families with young children (31-37 mo) with adverse reaction to cows' milk and/or eggs was contacted, of which 75% agreed to complete a dietary intake assessment. Dietary intake was assessed using a 4-d weighed recording. The nutrient intake in a group of children on cows' milk protein-free (n = 16) and cows' milk reduced (n = 8) diets were compared to a group of cows' milk consumers (n = 10). There were significant differences in nutrient intake of children on milk-free diets and children consuming milk. Children on milk-free diets had significantly lower intake of energy, fat, protein, calcium, riboflavin and niacin. Use of milk substitutes improved the nutritional content of the cows' milk-free diets; however, the recommendations for riboflavin and calcium were still not met. CONCLUSION: The results reveal a risk for malnutrition in children on cows' milk-free diets, unless precautions are taken to replace the valuable nutrients from milk in the diet. Parents of children on milk-free diets need advice about food choices in order to reduce the risk of low intake of energy, fat and protein. Supplements with calcium, vitamin D and riboflavin are indicated.", "author" : [ { "dropping-particle" : "", "family" : "Henriksen", "given" : "C", "non-dropping-particle" : "", "parse-names" : false, "suffix" : "" }, { "dropping-particle" : "", "family" : "Eggesb\u00f8", "given" : "M", "non-dropping-particle" : "", "parse-names" : false, "suffix" : "" }, { "dropping-particle" : "", "family" : "Halvorsen", "given" : "R", "non-dropping-particle" : "", "parse-names" : false, "suffix" : "" }, { "dropping-particle" : "", "family" : "Botten", "given" : "G", "non-dropping-particle" : "", "parse-names" : false, "suffix" : "" } ], "container-title" : "Acta paediatrica", "id" : "ITEM-1", "issue" : "3", "issued" : { "date-parts" : [ [ "2000" ] ] }, "page" : "272-278", "title" : "Nutrient intake among two-year-old children on cows' milk-restricted diets.", "type" : "article-journal", "volume" : "89" }, "uris" : [ "http://www.mendeley.com/documents/?uuid=69222114-4e09-4529-8d63-572964d8dbc6" ] } ], "mendeley" : { "formattedCitation" : "(26)", "plainTextFormattedCitation" : "(26)", "previouslyFormattedCitation" : "(26)" }, "properties" : { "noteIndex" : 0 }, "schema" : "https://github.com/citation-style-language/schema/raw/master/csl-citation.json" }</w:instrText>
      </w:r>
      <w:r w:rsidRPr="00A43421">
        <w:rPr>
          <w:rFonts w:ascii="Times New Roman" w:hAnsi="Times New Roman" w:cs="Times New Roman"/>
          <w:color w:val="000000" w:themeColor="text1"/>
          <w:sz w:val="24"/>
          <w:szCs w:val="24"/>
          <w:vertAlign w:val="superscript"/>
        </w:rPr>
        <w:fldChar w:fldCharType="separate"/>
      </w:r>
      <w:r w:rsidR="0082405F" w:rsidRPr="00A43421">
        <w:rPr>
          <w:rFonts w:ascii="Times New Roman" w:hAnsi="Times New Roman" w:cs="Times New Roman"/>
          <w:noProof/>
          <w:color w:val="000000" w:themeColor="text1"/>
          <w:sz w:val="24"/>
          <w:szCs w:val="24"/>
          <w:vertAlign w:val="superscript"/>
        </w:rPr>
        <w:t>(26)</w:t>
      </w:r>
      <w:r w:rsidRPr="00A43421">
        <w:rPr>
          <w:rFonts w:ascii="Times New Roman" w:hAnsi="Times New Roman" w:cs="Times New Roman"/>
          <w:color w:val="000000" w:themeColor="text1"/>
          <w:sz w:val="24"/>
          <w:szCs w:val="24"/>
          <w:vertAlign w:val="superscript"/>
        </w:rPr>
        <w:fldChar w:fldCharType="end"/>
      </w:r>
      <w:r w:rsidRPr="00A43421">
        <w:rPr>
          <w:rFonts w:ascii="Times New Roman" w:hAnsi="Times New Roman" w:cs="Times New Roman"/>
          <w:color w:val="000000" w:themeColor="text1"/>
          <w:sz w:val="24"/>
          <w:szCs w:val="24"/>
        </w:rPr>
        <w:t>, although more recent research highlights that other micronutrients are at risk of deficiency and excess, with under and</w:t>
      </w:r>
      <w:r w:rsidR="00FD6C09" w:rsidRPr="00A43421">
        <w:rPr>
          <w:rFonts w:ascii="Times New Roman" w:hAnsi="Times New Roman" w:cs="Times New Roman"/>
          <w:color w:val="000000" w:themeColor="text1"/>
          <w:sz w:val="24"/>
          <w:szCs w:val="24"/>
        </w:rPr>
        <w:t xml:space="preserve"> over supplementation a concern</w:t>
      </w:r>
      <w:r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"10.1186/s13601-015-0054-y", "ISBN" : "1360101500", "ISSN" : "2045-7022", "author" : [ { "dropping-particle" : "", "family" : "Meyer", "given" : "Rosan", "non-dropping-particle" : "", "parse-names" : false, "suffix" : "" }, { "dropping-particle" : "", "family" : "Koker", "given" : "Claire", "non-dropping-particle" : "De", "parse-names" : false, "suffix" : "" }, { "dropping-particle" : "", "family" : "Dziubak", "given" : "Robert", "non-dropping-particle" : "", "parse-names" : false, "suffix" : "" }, { "dropping-particle" : "", "family" : "Skrapac", "given" : "Ana-Kristina", "non-dropping-particle" : "", "parse-names" : false, "suffix" : "" }, { "dropping-particle" : "", "family" : "Godwin", "given" : "Heather", "non-dropping-particle" : "", "parse-names" : false, "suffix" : "" }, { "dropping-particle" : "", "family" : "Reeve", "given" : "Kate", "non-dropping-particle" : "", "parse-names" : false, "suffix" : "" }, { "dropping-particle" : "", "family" : "Chebar-Lozinsky", "given" : "Adriana", "non-dropping-particle" : "", "parse-names" : false, "suffix" : "" }, { "dropping-particle" : "", "family" : "Shah", "given" : "Neil", "non-dropping-particle" : "", "parse-names" : false, "suffix" : "" } ], "container-title" : "Clinical and Translational Allergy", "id" : "ITEM-1", "issue" : "1", "issued" : { "date-parts" : [ [ "2015" ] ] }, "page" : "5-11", "title" : "A practical approach to vitamin and mineral supplementation in food allergic children", "type" : "article-journal", "volume" : "5" }, "uris" : [ "http://www.mendeley.com/documents/?uuid=10bc9151-3661-4613-9279-c95cb6407fc6" ] }, { "id" : "ITEM-2", "itemData" : { "author" : [ { "dropping-particle" : "", "family" : "Robbins", "given" : "Karen A", "non-dropping-particle" : "", "parse-names" : false, "suffix" : "" }, { "dropping-particle" : "", "family" : "Guerrerio", "given" : "AL", "non-dropping-particle" : "", "parse-names" : false, "suffix" : "" }, { "dropping-particle" : "", "family" : "Hauck", "given" : "SA", "non-dropping-particle" : "", "parse-names" : false, "suffix" : "" }, { "dropping-particle" : "", "family" : "Henry", "given" : "BJ", "non-dropping-particle" : "", "parse-names" : false, "suffix" : "" }, { "dropping-particle" : "", "family" : "Keet", "given" : "Corinne A", "non-dropping-particle" : "", "parse-names" : false, "suffix" : "" }, { "dropping-particle" : "", "family" : "Brereton", "given" : "NH", "non-dropping-particle" : "", "parse-names" : false, "suffix" : "" }, { "dropping-particle" : "", "family" : "Oh", "given" : "S", "non-dropping-particle" : "", "parse-names" : false, "suffix" : "" }, { "dropping-particle" : "", "family" : "Stasinopoulos", "given" : "DM", "non-dropping-particle" : "", "parse-names" : false, "suffix" : "" }, { "dropping-particle" : "", "family" : "Wood", "given" : "Robert A", "non-dropping-particle" : "", "parse-names" : false, "suffix" : "" } ], "container-title" : "Journal of Allergy and Clinical Immunology", "id" : "ITEM-2", "issue" : "6", "issued" : { "date-parts" : [ [ "2015" ] ] }, "page" : "1463-1466", "title" : "Growth and nutrition in children with food allergy requiring amino acid-based nutritional formulas", "type" : "article-journal", "volume" : "134" }, "uris" : [ "http://www.mendeley.com/documents/?uuid=23b76190-1acf-4e0e-99b6-4973a2e2c806" ] } ], "mendeley" : { "formattedCitation" : "(50,51)", "plainTextFormattedCitation" : "(50,51)", "previouslyFormattedCitation" : "(50,51)" }, "properties" : { "noteIndex" : 0 }, "schema" : "https://github.com/citation-style-language/schema/raw/master/csl-citation.json" }</w:instrText>
      </w:r>
      <w:r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(50,51)</w:t>
      </w:r>
      <w:r w:rsidRPr="00A43421">
        <w:rPr>
          <w:rFonts w:ascii="Times New Roman" w:hAnsi="Times New Roman" w:cs="Times New Roman"/>
          <w:color w:val="000000" w:themeColor="text1"/>
          <w:sz w:val="24"/>
          <w:szCs w:val="24"/>
          <w:vertAlign w:val="superscript"/>
        </w:rPr>
        <w:fldChar w:fldCharType="end"/>
      </w:r>
      <w:r w:rsidRPr="00A43421">
        <w:rPr>
          <w:rFonts w:ascii="Times New Roman" w:hAnsi="Times New Roman" w:cs="Times New Roman"/>
          <w:color w:val="000000" w:themeColor="text1"/>
          <w:sz w:val="24"/>
          <w:szCs w:val="24"/>
        </w:rPr>
        <w:t xml:space="preserve">. </w:t>
      </w:r>
      <w:r w:rsidR="001170A5" w:rsidRPr="00A43421">
        <w:rPr>
          <w:rFonts w:ascii="Times New Roman" w:hAnsi="Times New Roman" w:cs="Times New Roman"/>
          <w:color w:val="000000" w:themeColor="text1"/>
          <w:sz w:val="24"/>
          <w:szCs w:val="24"/>
        </w:rPr>
        <w:t xml:space="preserve"> </w:t>
      </w:r>
      <w:r w:rsidR="00FB2F0F" w:rsidRPr="00A43421">
        <w:rPr>
          <w:rFonts w:ascii="Times New Roman" w:hAnsi="Times New Roman" w:cs="Times New Roman"/>
          <w:color w:val="000000" w:themeColor="text1"/>
          <w:sz w:val="24"/>
          <w:szCs w:val="24"/>
        </w:rPr>
        <w:t>The results of food category analysis show that the CME group consumed significantly less dairy p</w:t>
      </w:r>
      <w:r w:rsidR="009E7CE7" w:rsidRPr="00A43421">
        <w:rPr>
          <w:rFonts w:ascii="Times New Roman" w:hAnsi="Times New Roman" w:cs="Times New Roman"/>
          <w:color w:val="000000" w:themeColor="text1"/>
          <w:sz w:val="24"/>
          <w:szCs w:val="24"/>
        </w:rPr>
        <w:t xml:space="preserve">roducts over a four day period. As there was no difference in calcium intake between groups, it is possible </w:t>
      </w:r>
      <w:r w:rsidR="00FB2F0F" w:rsidRPr="00A43421">
        <w:rPr>
          <w:rFonts w:ascii="Times New Roman" w:hAnsi="Times New Roman" w:cs="Times New Roman"/>
          <w:color w:val="000000" w:themeColor="text1"/>
          <w:sz w:val="24"/>
          <w:szCs w:val="24"/>
        </w:rPr>
        <w:t>that</w:t>
      </w:r>
      <w:r w:rsidR="0018479C" w:rsidRPr="00A43421">
        <w:rPr>
          <w:rFonts w:ascii="Times New Roman" w:hAnsi="Times New Roman" w:cs="Times New Roman"/>
          <w:color w:val="000000" w:themeColor="text1"/>
          <w:sz w:val="24"/>
          <w:szCs w:val="24"/>
        </w:rPr>
        <w:t xml:space="preserve"> the CME group </w:t>
      </w:r>
      <w:r w:rsidR="008A2E62" w:rsidRPr="00A43421">
        <w:rPr>
          <w:rFonts w:ascii="Times New Roman" w:hAnsi="Times New Roman" w:cs="Times New Roman"/>
          <w:color w:val="000000" w:themeColor="text1"/>
          <w:sz w:val="24"/>
          <w:szCs w:val="24"/>
        </w:rPr>
        <w:t>take</w:t>
      </w:r>
      <w:r w:rsidR="0018479C" w:rsidRPr="00A43421">
        <w:rPr>
          <w:rFonts w:ascii="Times New Roman" w:hAnsi="Times New Roman" w:cs="Times New Roman"/>
          <w:color w:val="000000" w:themeColor="text1"/>
          <w:sz w:val="24"/>
          <w:szCs w:val="24"/>
        </w:rPr>
        <w:t xml:space="preserve"> dietary supplements to compensate for the possible deficit</w:t>
      </w:r>
      <w:r w:rsidR="009E7CE7" w:rsidRPr="00A43421">
        <w:rPr>
          <w:rFonts w:ascii="Times New Roman" w:hAnsi="Times New Roman" w:cs="Times New Roman"/>
          <w:color w:val="000000" w:themeColor="text1"/>
          <w:sz w:val="24"/>
          <w:szCs w:val="24"/>
        </w:rPr>
        <w:t xml:space="preserve"> of calcium</w:t>
      </w:r>
      <w:r w:rsidR="0018479C" w:rsidRPr="00A43421">
        <w:rPr>
          <w:rFonts w:ascii="Times New Roman" w:hAnsi="Times New Roman" w:cs="Times New Roman"/>
          <w:color w:val="000000" w:themeColor="text1"/>
          <w:sz w:val="24"/>
          <w:szCs w:val="24"/>
        </w:rPr>
        <w:t xml:space="preserve"> incurred</w:t>
      </w:r>
      <w:r w:rsidR="009E7CE7" w:rsidRPr="00A43421">
        <w:rPr>
          <w:rFonts w:ascii="Times New Roman" w:hAnsi="Times New Roman" w:cs="Times New Roman"/>
          <w:color w:val="000000" w:themeColor="text1"/>
          <w:sz w:val="24"/>
          <w:szCs w:val="24"/>
        </w:rPr>
        <w:t>, however this is only speculation</w:t>
      </w:r>
      <w:r w:rsidR="0018479C" w:rsidRPr="00A43421">
        <w:rPr>
          <w:rFonts w:ascii="Times New Roman" w:hAnsi="Times New Roman" w:cs="Times New Roman"/>
          <w:color w:val="000000" w:themeColor="text1"/>
          <w:sz w:val="24"/>
          <w:szCs w:val="24"/>
        </w:rPr>
        <w:t xml:space="preserve">. </w:t>
      </w:r>
      <w:r w:rsidR="0018479C" w:rsidRPr="00A43421">
        <w:rPr>
          <w:rFonts w:ascii="Times New Roman" w:eastAsia="Times New Roman" w:hAnsi="Times New Roman" w:cs="Times New Roman"/>
          <w:color w:val="000000" w:themeColor="text1"/>
          <w:sz w:val="24"/>
          <w:szCs w:val="24"/>
        </w:rPr>
        <w:t xml:space="preserve">Dairy products are an important dietary source of calcium, phosphorus, magnesium, zinc, </w:t>
      </w:r>
      <w:r w:rsidR="0018479C" w:rsidRPr="00A43421">
        <w:rPr>
          <w:rStyle w:val="highlight"/>
          <w:rFonts w:ascii="Times New Roman" w:eastAsia="Times New Roman" w:hAnsi="Times New Roman" w:cs="Times New Roman"/>
          <w:color w:val="000000" w:themeColor="text1"/>
          <w:sz w:val="24"/>
          <w:szCs w:val="24"/>
        </w:rPr>
        <w:t>iodine</w:t>
      </w:r>
      <w:r w:rsidR="0018479C" w:rsidRPr="00A43421">
        <w:rPr>
          <w:rFonts w:ascii="Times New Roman" w:eastAsia="Times New Roman" w:hAnsi="Times New Roman" w:cs="Times New Roman"/>
          <w:color w:val="000000" w:themeColor="text1"/>
          <w:sz w:val="24"/>
          <w:szCs w:val="24"/>
        </w:rPr>
        <w:t xml:space="preserve">, potassium, vitamin A, vitamin D, vitamin B12, and </w:t>
      </w:r>
      <w:r w:rsidR="0018479C" w:rsidRPr="00A43421">
        <w:rPr>
          <w:rStyle w:val="highlight"/>
          <w:rFonts w:ascii="Times New Roman" w:eastAsia="Times New Roman" w:hAnsi="Times New Roman" w:cs="Times New Roman"/>
          <w:color w:val="000000" w:themeColor="text1"/>
          <w:sz w:val="24"/>
          <w:szCs w:val="24"/>
        </w:rPr>
        <w:t>riboflavin</w:t>
      </w:r>
      <w:r w:rsidR="0018479C" w:rsidRPr="00A43421">
        <w:rPr>
          <w:rFonts w:ascii="Times New Roman" w:eastAsia="Times New Roman" w:hAnsi="Times New Roman" w:cs="Times New Roman"/>
          <w:color w:val="000000" w:themeColor="text1"/>
          <w:sz w:val="24"/>
          <w:szCs w:val="24"/>
        </w:rPr>
        <w:t xml:space="preserve">. </w:t>
      </w:r>
      <w:r w:rsidR="0018479C" w:rsidRPr="00A43421">
        <w:rPr>
          <w:rFonts w:ascii="Times New Roman" w:hAnsi="Times New Roman" w:cs="Times New Roman"/>
          <w:color w:val="000000" w:themeColor="text1"/>
          <w:sz w:val="24"/>
          <w:szCs w:val="24"/>
        </w:rPr>
        <w:t>In this study, the significantly lo</w:t>
      </w:r>
      <w:r w:rsidR="001F1BB5" w:rsidRPr="00A43421">
        <w:rPr>
          <w:rFonts w:ascii="Times New Roman" w:hAnsi="Times New Roman" w:cs="Times New Roman"/>
          <w:color w:val="000000" w:themeColor="text1"/>
          <w:sz w:val="24"/>
          <w:szCs w:val="24"/>
        </w:rPr>
        <w:t xml:space="preserve">wer intakes for iodine </w:t>
      </w:r>
      <w:r w:rsidR="00F03018" w:rsidRPr="00A43421">
        <w:rPr>
          <w:rFonts w:ascii="Times New Roman" w:hAnsi="Times New Roman" w:cs="Times New Roman"/>
          <w:color w:val="000000" w:themeColor="text1"/>
          <w:sz w:val="24"/>
          <w:szCs w:val="24"/>
        </w:rPr>
        <w:t xml:space="preserve">and riboflavin </w:t>
      </w:r>
      <w:r w:rsidR="0018479C" w:rsidRPr="00A43421">
        <w:rPr>
          <w:rFonts w:ascii="Times New Roman" w:hAnsi="Times New Roman" w:cs="Times New Roman"/>
          <w:color w:val="000000" w:themeColor="text1"/>
          <w:sz w:val="24"/>
          <w:szCs w:val="24"/>
        </w:rPr>
        <w:t>in the CME group could be attributed to a lower intake of dairy products.</w:t>
      </w:r>
      <w:r w:rsidR="0018479C" w:rsidRPr="00A43421">
        <w:rPr>
          <w:rFonts w:ascii="Times New Roman" w:hAnsi="Times New Roman" w:cs="Times New Roman"/>
          <w:i/>
          <w:color w:val="000000" w:themeColor="text1"/>
          <w:sz w:val="24"/>
          <w:szCs w:val="24"/>
        </w:rPr>
        <w:t xml:space="preserve"> </w:t>
      </w:r>
      <w:r w:rsidR="0018479C" w:rsidRPr="00A43421">
        <w:rPr>
          <w:rFonts w:ascii="Times New Roman" w:hAnsi="Times New Roman" w:cs="Times New Roman"/>
          <w:color w:val="000000" w:themeColor="text1"/>
          <w:sz w:val="24"/>
          <w:szCs w:val="24"/>
        </w:rPr>
        <w:t>In the NDNS, the major contributor to riboflavin intake was ‘milk and milk products’, accounting</w:t>
      </w:r>
      <w:r w:rsidR="001F1BB5" w:rsidRPr="00A43421">
        <w:rPr>
          <w:rFonts w:ascii="Times New Roman" w:hAnsi="Times New Roman" w:cs="Times New Roman"/>
          <w:color w:val="000000" w:themeColor="text1"/>
          <w:sz w:val="24"/>
          <w:szCs w:val="24"/>
        </w:rPr>
        <w:t xml:space="preserve"> for 41% of daily intake in </w:t>
      </w:r>
      <w:r w:rsidR="0018479C" w:rsidRPr="00A43421">
        <w:rPr>
          <w:rFonts w:ascii="Times New Roman" w:hAnsi="Times New Roman" w:cs="Times New Roman"/>
          <w:color w:val="000000" w:themeColor="text1"/>
          <w:sz w:val="24"/>
          <w:szCs w:val="24"/>
        </w:rPr>
        <w:t>children aged 4-10 years. Similarly ‘milk and milk products’ was the largest contributor to iodine</w:t>
      </w:r>
      <w:r w:rsidR="005D23CA" w:rsidRPr="00A43421">
        <w:rPr>
          <w:rFonts w:ascii="Times New Roman" w:hAnsi="Times New Roman" w:cs="Times New Roman"/>
          <w:color w:val="000000" w:themeColor="text1"/>
          <w:sz w:val="24"/>
          <w:szCs w:val="24"/>
        </w:rPr>
        <w:t>,</w:t>
      </w:r>
      <w:r w:rsidR="0018479C" w:rsidRPr="00A43421">
        <w:rPr>
          <w:rFonts w:ascii="Times New Roman" w:hAnsi="Times New Roman" w:cs="Times New Roman"/>
          <w:color w:val="000000" w:themeColor="text1"/>
          <w:sz w:val="24"/>
          <w:szCs w:val="24"/>
        </w:rPr>
        <w:t xml:space="preserve"> providing 51%</w:t>
      </w:r>
      <w:r w:rsidR="005D23CA" w:rsidRPr="00A43421">
        <w:rPr>
          <w:rFonts w:ascii="Times New Roman" w:hAnsi="Times New Roman" w:cs="Times New Roman"/>
          <w:color w:val="000000" w:themeColor="text1"/>
          <w:sz w:val="24"/>
          <w:szCs w:val="24"/>
        </w:rPr>
        <w:t xml:space="preserve"> of intake</w:t>
      </w:r>
      <w:r w:rsidR="00E31904"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"10.1046/j.1467-3010.2000.00027.x", "ISBN" : "1467-3010", "ISSN" : "14719827", "abstract" : "Summary This review describes and present the findings of a survey of the diet and nutrition of young people aged 4\u201318 years living in private households in the UK, carried out between January 1997 and January 1998. The National Diet and Nutrition Survey (NDNS) of young people aged 4\u201318 years forms part of the NDNS programme, which aims to provide a comprehensive, cross-sectional picture of the dietary habits, nutrient intakes and nutritional status of the British population by studying representative samples of defined age groups. The survey components included a detailed interview covering dietary habits, lifestyle and socio-demographic characteristics; a 7-day weighed dietary record; a 7-day physical activity diary; measurements of height, weight, mid-upper arm, waist and hip circumferences, and blood pressure; a blood sample for analysis of a range of nutritional status indices; a single urine sample; and an oral health interview and dental examination. A total of 1701 young people provided 7-day dietary records, representing a response rate of 64%. Results have been published in two volumes covering the diet and nutrition survey and the oral health survey. The reports present results for boys and girls separately in four age groups: 4\u20136 years; 7\u201310 years; 11\u201314 years and 15\u201318 years. Results are also presented by region and by socio-economic characteristics. This review summarises some of the main findings of the diet and nutrition survey, including: the proportion of young people who ate selected foods; energy and nutrient intakes compared with UK Dietary Reference Values; nutritional status; physical measurements; and physical activity. [ABSTRACT FROM AUTHOR]", "author" : [ { "dropping-particle" : "", "family" : "Smithers", "given" : "Miss Gillian", "non-dropping-particle" : "", "parse-names" : false, "suffix" : "" }, { "dropping-particle" : "", "family" : "Smithers", "given" : "Gillian", "non-dropping-particle" : "", "parse-names" : false, "suffix" : "" }, { "dropping-particle" : "", "family" : "Gregory", "given" : "Janet R", "non-dropping-particle" : "", "parse-names" : false, "suffix" : "" }, { "dropping-particle" : "", "family" : "Bates", "given" : "Christopher J", "non-dropping-particle" : "", "parse-names" : false, "suffix" : "" }, { "dropping-particle" : "", "family" : "Prentice", "given" : "Ann", "non-dropping-particle" : "", "parse-names" : false, "suffix" : "" }, { "dropping-particle" : "V", "family" : "Jackson", "given" : "Lisa", "non-dropping-particle" : "", "parse-names" : false, "suffix" : "" }, { "dropping-particle" : "", "family" : "Wenlock", "given" : "Robert", "non-dropping-particle" : "", "parse-names" : false, "suffix" : "" } ], "container-title" : "Nutrition Bulletin", "id" : "ITEM-1", "issue" : "2", "issued" : { "date-parts" : [ [ "2000" ] ] }, "page" : "105-111", "title" : "The National Diet and Nutrition Survey: young people aged 4\u201318 years.", "type" : "article-journal", "volume" : "25" }, "uris" : [ "http://www.mendeley.com/documents/?uuid=6c479ba5-e3e2-4598-8e07-692d04b74295" ] } ], "mendeley" : { "formattedCitation" : "(34)", "plainTextFormattedCitation" : "(34)", "previouslyFormattedCitation" : "(34)" }, "properties" : { "noteIndex" : 0 }, "schema" : "https://github.com/citation-style-language/schema/raw/master/csl-citation.json" }</w:instrText>
      </w:r>
      <w:r w:rsidR="00E31904"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(34)</w:t>
      </w:r>
      <w:r w:rsidR="00E31904" w:rsidRPr="00A43421">
        <w:rPr>
          <w:rFonts w:ascii="Times New Roman" w:hAnsi="Times New Roman" w:cs="Times New Roman"/>
          <w:color w:val="000000" w:themeColor="text1"/>
          <w:sz w:val="24"/>
          <w:szCs w:val="24"/>
          <w:vertAlign w:val="superscript"/>
        </w:rPr>
        <w:fldChar w:fldCharType="end"/>
      </w:r>
      <w:r w:rsidR="0018479C" w:rsidRPr="00A43421">
        <w:rPr>
          <w:rFonts w:ascii="Times New Roman" w:hAnsi="Times New Roman" w:cs="Times New Roman"/>
          <w:color w:val="000000" w:themeColor="text1"/>
          <w:sz w:val="24"/>
          <w:szCs w:val="24"/>
        </w:rPr>
        <w:t xml:space="preserve">. </w:t>
      </w:r>
    </w:p>
    <w:p w14:paraId="7010F89C" w14:textId="4B4C6490" w:rsidR="0018479C" w:rsidRPr="00A43421" w:rsidRDefault="0018479C" w:rsidP="00083A30">
      <w:pPr>
        <w:tabs>
          <w:tab w:val="left" w:pos="0"/>
        </w:tabs>
        <w:spacing w:line="360" w:lineRule="auto"/>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lang w:val="en-US"/>
        </w:rPr>
        <w:tab/>
        <w:t xml:space="preserve">Conversely, the significantly higher intakes in the CME group for </w:t>
      </w:r>
      <w:r w:rsidRPr="00A43421">
        <w:rPr>
          <w:rFonts w:ascii="Times New Roman" w:hAnsi="Times New Roman" w:cs="Times New Roman"/>
          <w:color w:val="000000" w:themeColor="text1"/>
          <w:sz w:val="24"/>
          <w:szCs w:val="24"/>
        </w:rPr>
        <w:t>sodium and selenium could be explained by proportionately higher intakes of non-dairy foods</w:t>
      </w:r>
      <w:r w:rsidR="00127CED" w:rsidRPr="00A43421">
        <w:rPr>
          <w:rFonts w:ascii="Times New Roman" w:hAnsi="Times New Roman" w:cs="Times New Roman"/>
          <w:color w:val="000000" w:themeColor="text1"/>
          <w:sz w:val="24"/>
          <w:szCs w:val="24"/>
        </w:rPr>
        <w:t>, specifically soya products are a good source of selenium</w:t>
      </w:r>
      <w:r w:rsidRPr="00A43421">
        <w:rPr>
          <w:rFonts w:ascii="Times New Roman" w:hAnsi="Times New Roman" w:cs="Times New Roman"/>
          <w:i/>
          <w:color w:val="000000" w:themeColor="text1"/>
          <w:sz w:val="24"/>
          <w:szCs w:val="24"/>
        </w:rPr>
        <w:t xml:space="preserve">. </w:t>
      </w:r>
      <w:r w:rsidRPr="00A43421">
        <w:rPr>
          <w:rFonts w:ascii="Times New Roman" w:hAnsi="Times New Roman" w:cs="Times New Roman"/>
          <w:color w:val="000000" w:themeColor="text1"/>
          <w:sz w:val="24"/>
          <w:szCs w:val="24"/>
        </w:rPr>
        <w:t xml:space="preserve">NDNS data indicates that </w:t>
      </w:r>
      <w:r w:rsidRPr="00A43421">
        <w:rPr>
          <w:rFonts w:ascii="Times New Roman" w:hAnsi="Times New Roman" w:cs="Times New Roman"/>
          <w:color w:val="000000" w:themeColor="text1"/>
          <w:sz w:val="24"/>
          <w:szCs w:val="24"/>
          <w:lang w:val="en-US"/>
        </w:rPr>
        <w:t xml:space="preserve">approximately one third of both sodium and selenium intakes in 4-10 year olds is derived </w:t>
      </w:r>
      <w:r w:rsidR="00B43E0F" w:rsidRPr="00A43421">
        <w:rPr>
          <w:rFonts w:ascii="Times New Roman" w:hAnsi="Times New Roman" w:cs="Times New Roman"/>
          <w:color w:val="000000" w:themeColor="text1"/>
          <w:sz w:val="24"/>
          <w:szCs w:val="24"/>
          <w:lang w:val="en-US"/>
        </w:rPr>
        <w:t xml:space="preserve">from </w:t>
      </w:r>
      <w:r w:rsidRPr="00A43421">
        <w:rPr>
          <w:rFonts w:ascii="Times New Roman" w:hAnsi="Times New Roman" w:cs="Times New Roman"/>
          <w:color w:val="000000" w:themeColor="text1"/>
          <w:sz w:val="24"/>
          <w:szCs w:val="24"/>
          <w:lang w:val="en-US"/>
        </w:rPr>
        <w:t>cereal produc</w:t>
      </w:r>
      <w:r w:rsidR="001F1BB5" w:rsidRPr="00A43421">
        <w:rPr>
          <w:rFonts w:ascii="Times New Roman" w:hAnsi="Times New Roman" w:cs="Times New Roman"/>
          <w:color w:val="000000" w:themeColor="text1"/>
          <w:sz w:val="24"/>
          <w:szCs w:val="24"/>
          <w:lang w:val="en-US"/>
        </w:rPr>
        <w:t>ts, followed by meat/</w:t>
      </w:r>
      <w:r w:rsidRPr="00A43421">
        <w:rPr>
          <w:rFonts w:ascii="Times New Roman" w:hAnsi="Times New Roman" w:cs="Times New Roman"/>
          <w:color w:val="000000" w:themeColor="text1"/>
          <w:sz w:val="24"/>
          <w:szCs w:val="24"/>
          <w:lang w:val="en-US"/>
        </w:rPr>
        <w:t>meat products</w:t>
      </w:r>
      <w:r w:rsidR="00E31904" w:rsidRPr="00A43421">
        <w:rPr>
          <w:rFonts w:ascii="Times New Roman" w:hAnsi="Times New Roman" w:cs="Times New Roman"/>
          <w:color w:val="000000" w:themeColor="text1"/>
          <w:sz w:val="24"/>
          <w:szCs w:val="24"/>
          <w:vertAlign w:val="superscript"/>
          <w:lang w:val="en-US"/>
        </w:rPr>
        <w:fldChar w:fldCharType="begin" w:fldLock="1"/>
      </w:r>
      <w:r w:rsidR="001B2983" w:rsidRPr="00A43421">
        <w:rPr>
          <w:rFonts w:ascii="Times New Roman" w:hAnsi="Times New Roman" w:cs="Times New Roman"/>
          <w:color w:val="000000" w:themeColor="text1"/>
          <w:sz w:val="24"/>
          <w:szCs w:val="24"/>
          <w:vertAlign w:val="superscript"/>
          <w:lang w:val="en-US"/>
        </w:rPr>
        <w:instrText>ADDIN CSL_CITATION { "citationItems" : [ { "id" : "ITEM-1", "itemData" : { "DOI" : "10.1046/j.1467-3010.2000.00027.x", "ISBN" : "1467-3010", "ISSN" : "14719827", "abstract" : "Summary This review describes and present the findings of a survey of the diet and nutrition of young people aged 4\u201318 years living in private households in the UK, carried out between January 1997 and January 1998. The National Diet and Nutrition Survey (NDNS) of young people aged 4\u201318 years forms part of the NDNS programme, which aims to provide a comprehensive, cross-sectional picture of the dietary habits, nutrient intakes and nutritional status of the British population by studying representative samples of defined age groups. The survey components included a detailed interview covering dietary habits, lifestyle and socio-demographic characteristics; a 7-day weighed dietary record; a 7-day physical activity diary; measurements of height, weight, mid-upper arm, waist and hip circumferences, and blood pressure; a blood sample for analysis of a range of nutritional status indices; a single urine sample; and an oral health interview and dental examination. A total of 1701 young people provided 7-day dietary records, representing a response rate of 64%. Results have been published in two volumes covering the diet and nutrition survey and the oral health survey. The reports present results for boys and girls separately in four age groups: 4\u20136 years; 7\u201310 years; 11\u201314 years and 15\u201318 years. Results are also presented by region and by socio-economic characteristics. This review summarises some of the main findings of the diet and nutrition survey, including: the proportion of young people who ate selected foods; energy and nutrient intakes compared with UK Dietary Reference Values; nutritional status; physical measurements; and physical activity. [ABSTRACT FROM AUTHOR]", "author" : [ { "dropping-particle" : "", "family" : "Smithers", "given" : "Miss Gillian", "non-dropping-particle" : "", "parse-names" : false, "suffix" : "" }, { "dropping-particle" : "", "family" : "Smithers", "given" : "Gillian", "non-dropping-particle" : "", "parse-names" : false, "suffix" : "" }, { "dropping-particle" : "", "family" : "Gregory", "given" : "Janet R", "non-dropping-particle" : "", "parse-names" : false, "suffix" : "" }, { "dropping-particle" : "", "family" : "Bates", "given" : "Christopher J", "non-dropping-particle" : "", "parse-names" : false, "suffix" : "" }, { "dropping-particle" : "", "family" : "Prentice", "given" : "Ann", "non-dropping-particle" : "", "parse-names" : false, "suffix" : "" }, { "dropping-particle" : "V", "family" : "Jackson", "given" : "Lisa", "non-dropping-particle" : "", "parse-names" : false, "suffix" : "" }, { "dropping-particle" : "", "family" : "Wenlock", "given" : "Robert", "non-dropping-particle" : "", "parse-names" : false, "suffix" : "" } ], "container-title" : "Nutrition Bulletin", "id" : "ITEM-1", "issue" : "2", "issued" : { "date-parts" : [ [ "2000" ] ] }, "page" : "105-111", "title" : "The National Diet and Nutrition Survey: young people aged 4\u201318 years.", "type" : "article-journal", "volume" : "25" }, "uris" : [ "http://www.mendeley.com/documents/?uuid=6c479ba5-e3e2-4598-8e07-692d04b74295" ] } ], "mendeley" : { "formattedCitation" : "(34)", "plainTextFormattedCitation" : "(34)", "previouslyFormattedCitation" : "(34)" }, "properties" : { "noteIndex" : 0 }, "schema" : "https://github.com/citation-style-language/schema/raw/master/csl-citation.json" }</w:instrText>
      </w:r>
      <w:r w:rsidR="00E31904" w:rsidRPr="00A43421">
        <w:rPr>
          <w:rFonts w:ascii="Times New Roman" w:hAnsi="Times New Roman" w:cs="Times New Roman"/>
          <w:color w:val="000000" w:themeColor="text1"/>
          <w:sz w:val="24"/>
          <w:szCs w:val="24"/>
          <w:vertAlign w:val="superscript"/>
          <w:lang w:val="en-US"/>
        </w:rPr>
        <w:fldChar w:fldCharType="separate"/>
      </w:r>
      <w:r w:rsidR="001B2983" w:rsidRPr="00A43421">
        <w:rPr>
          <w:rFonts w:ascii="Times New Roman" w:hAnsi="Times New Roman" w:cs="Times New Roman"/>
          <w:noProof/>
          <w:color w:val="000000" w:themeColor="text1"/>
          <w:sz w:val="24"/>
          <w:szCs w:val="24"/>
          <w:vertAlign w:val="superscript"/>
          <w:lang w:val="en-US"/>
        </w:rPr>
        <w:t>(34)</w:t>
      </w:r>
      <w:r w:rsidR="00E31904" w:rsidRPr="00A43421">
        <w:rPr>
          <w:rFonts w:ascii="Times New Roman" w:hAnsi="Times New Roman" w:cs="Times New Roman"/>
          <w:color w:val="000000" w:themeColor="text1"/>
          <w:sz w:val="24"/>
          <w:szCs w:val="24"/>
          <w:vertAlign w:val="superscript"/>
          <w:lang w:val="en-US"/>
        </w:rPr>
        <w:fldChar w:fldCharType="end"/>
      </w:r>
      <w:r w:rsidRPr="00A43421">
        <w:rPr>
          <w:rFonts w:ascii="Times New Roman" w:hAnsi="Times New Roman" w:cs="Times New Roman"/>
          <w:color w:val="000000" w:themeColor="text1"/>
          <w:sz w:val="24"/>
          <w:szCs w:val="24"/>
          <w:lang w:val="en-US"/>
        </w:rPr>
        <w:t xml:space="preserve">. </w:t>
      </w:r>
      <w:r w:rsidR="005D23CA" w:rsidRPr="00A43421">
        <w:rPr>
          <w:rFonts w:ascii="Times New Roman" w:hAnsi="Times New Roman" w:cs="Times New Roman"/>
          <w:color w:val="000000" w:themeColor="text1"/>
          <w:sz w:val="24"/>
          <w:szCs w:val="24"/>
        </w:rPr>
        <w:t xml:space="preserve">We showed that the CME group consume slightly more fruit than the control group over a 4 day period, however this difference was not significant. </w:t>
      </w:r>
      <w:r w:rsidR="006576E1" w:rsidRPr="00A43421">
        <w:rPr>
          <w:rFonts w:ascii="Times New Roman" w:hAnsi="Times New Roman" w:cs="Times New Roman"/>
          <w:color w:val="000000" w:themeColor="text1"/>
          <w:sz w:val="24"/>
          <w:szCs w:val="24"/>
        </w:rPr>
        <w:t>T</w:t>
      </w:r>
      <w:r w:rsidR="00B43E0F" w:rsidRPr="00A43421">
        <w:rPr>
          <w:rFonts w:ascii="Times New Roman" w:hAnsi="Times New Roman" w:cs="Times New Roman"/>
          <w:color w:val="000000" w:themeColor="text1"/>
          <w:sz w:val="24"/>
          <w:szCs w:val="24"/>
        </w:rPr>
        <w:t xml:space="preserve">he </w:t>
      </w:r>
      <w:r w:rsidRPr="00A43421">
        <w:rPr>
          <w:rFonts w:ascii="Times New Roman" w:hAnsi="Times New Roman" w:cs="Times New Roman"/>
          <w:color w:val="000000" w:themeColor="text1"/>
          <w:sz w:val="24"/>
          <w:szCs w:val="24"/>
        </w:rPr>
        <w:t>trend of hig</w:t>
      </w:r>
      <w:r w:rsidR="006576E1" w:rsidRPr="00A43421">
        <w:rPr>
          <w:rFonts w:ascii="Times New Roman" w:hAnsi="Times New Roman" w:cs="Times New Roman"/>
          <w:color w:val="000000" w:themeColor="text1"/>
          <w:sz w:val="24"/>
          <w:szCs w:val="24"/>
        </w:rPr>
        <w:t>her intakes of fibre, vitamin A and</w:t>
      </w:r>
      <w:r w:rsidRPr="00A43421">
        <w:rPr>
          <w:rFonts w:ascii="Times New Roman" w:hAnsi="Times New Roman" w:cs="Times New Roman"/>
          <w:color w:val="000000" w:themeColor="text1"/>
          <w:sz w:val="24"/>
          <w:szCs w:val="24"/>
        </w:rPr>
        <w:t xml:space="preserve"> vitamin C in the CME group, would c</w:t>
      </w:r>
      <w:r w:rsidR="00F03018" w:rsidRPr="00A43421">
        <w:rPr>
          <w:rFonts w:ascii="Times New Roman" w:hAnsi="Times New Roman" w:cs="Times New Roman"/>
          <w:color w:val="000000" w:themeColor="text1"/>
          <w:sz w:val="24"/>
          <w:szCs w:val="24"/>
        </w:rPr>
        <w:t>oncur</w:t>
      </w:r>
      <w:r w:rsidRPr="00A43421">
        <w:rPr>
          <w:rFonts w:ascii="Times New Roman" w:hAnsi="Times New Roman" w:cs="Times New Roman"/>
          <w:color w:val="000000" w:themeColor="text1"/>
          <w:sz w:val="24"/>
          <w:szCs w:val="24"/>
        </w:rPr>
        <w:t xml:space="preserve"> with this hypothesis as these are nutrients that are typically </w:t>
      </w:r>
      <w:r w:rsidR="00B43E0F" w:rsidRPr="00A43421">
        <w:rPr>
          <w:rFonts w:ascii="Times New Roman" w:hAnsi="Times New Roman" w:cs="Times New Roman"/>
          <w:color w:val="000000" w:themeColor="text1"/>
          <w:sz w:val="24"/>
          <w:szCs w:val="24"/>
        </w:rPr>
        <w:t xml:space="preserve">found </w:t>
      </w:r>
      <w:r w:rsidR="006576E1" w:rsidRPr="00A43421">
        <w:rPr>
          <w:rFonts w:ascii="Times New Roman" w:hAnsi="Times New Roman" w:cs="Times New Roman"/>
          <w:color w:val="000000" w:themeColor="text1"/>
          <w:sz w:val="24"/>
          <w:szCs w:val="24"/>
        </w:rPr>
        <w:t>in fruit</w:t>
      </w:r>
      <w:r w:rsidRPr="00A43421">
        <w:rPr>
          <w:rFonts w:ascii="Times New Roman" w:hAnsi="Times New Roman" w:cs="Times New Roman"/>
          <w:color w:val="000000" w:themeColor="text1"/>
          <w:sz w:val="24"/>
          <w:szCs w:val="24"/>
        </w:rPr>
        <w:t>. Indeed it has previously been suggested that children with a food allergy</w:t>
      </w:r>
      <w:r w:rsidR="006576E1" w:rsidRPr="00A43421">
        <w:rPr>
          <w:rFonts w:ascii="Times New Roman" w:hAnsi="Times New Roman" w:cs="Times New Roman"/>
          <w:color w:val="000000" w:themeColor="text1"/>
          <w:sz w:val="24"/>
          <w:szCs w:val="24"/>
        </w:rPr>
        <w:t xml:space="preserve"> history</w:t>
      </w:r>
      <w:r w:rsidRPr="00A43421">
        <w:rPr>
          <w:rFonts w:ascii="Times New Roman" w:hAnsi="Times New Roman" w:cs="Times New Roman"/>
          <w:color w:val="000000" w:themeColor="text1"/>
          <w:sz w:val="24"/>
          <w:szCs w:val="24"/>
        </w:rPr>
        <w:t xml:space="preserve"> have a tendency to establish “healthie</w:t>
      </w:r>
      <w:r w:rsidR="00FD6C09" w:rsidRPr="00A43421">
        <w:rPr>
          <w:rFonts w:ascii="Times New Roman" w:hAnsi="Times New Roman" w:cs="Times New Roman"/>
          <w:color w:val="000000" w:themeColor="text1"/>
          <w:sz w:val="24"/>
          <w:szCs w:val="24"/>
        </w:rPr>
        <w:t>r” eating habits</w:t>
      </w:r>
      <w:r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"10.2332/allergolint.10-OA-0188", "ISBN" : "1440-1592 (Electronic)\\r1323-8930 (Linking)", "ISSN" : "1323-8930", "PMID" : "20864793", "abstract" : "The influence of food avoidance due to allergic symptoms in infancy on the growth of children at school age has not been well evaluated.", "author" : [ { "dropping-particle" : "", "family" : "Mukaida", "given" : "Kumiko", "non-dropping-particle" : "", "parse-names" : false, "suffix" : "" }, { "dropping-particle" : "", "family" : "Kusunoki", "given" : "Takashi", "non-dropping-particle" : "", "parse-names" : false, "suffix" : "" }, { "dropping-particle" : "", "family" : "Morimoto", "given" : "Takeshi", "non-dropping-particle" : "", "parse-names" : false, "suffix" : "" }, { "dropping-particle" : "", "family" : "Yasumi", "given" : "Takahiro", "non-dropping-particle" : "", "parse-names" : false, "suffix" : "" }, { "dropping-particle" : "", "family" : "Nishikomori", "given" : "Ryuta", "non-dropping-particle" : "", "parse-names" : false, "suffix" : "" }, { "dropping-particle" : "", "family" : "Heike", "given" : "Toshio", "non-dropping-particle" : "", "parse-names" : false, "suffix" : "" }, { "dropping-particle" : "", "family" : "Fujii", "given" : "Tatsuya", "non-dropping-particle" : "", "parse-names" : false, "suffix" : "" }, { "dropping-particle" : "", "family" : "Nakahata", "given" : "Tatsutoshi", "non-dropping-particle" : "", "parse-names" : false, "suffix" : "" } ], "container-title" : "Allergology international : official journal of the Japanese Society of Allergology", "id" : "ITEM-1", "issue" : "4", "issued" : { "date-parts" : [ [ "2010" ] ] }, "page" : "369-374", "title" : "The effect of past food avoidance due to allergic symptoms on the growth of children at school age.", "type" : "article-journal", "volume" : "59" }, "uris" : [ "http://www.mendeley.com/documents/?uuid=eb67e0c2-2f6d-4dcc-b7a5-d8d72334fe2d" ] } ], "mendeley" : { "formattedCitation" : "(52)", "plainTextFormattedCitation" : "(52)", "previouslyFormattedCitation" : "(52)" }, "properties" : { "noteIndex" : 0 }, "schema" : "https://github.com/citation-style-language/schema/raw/master/csl-citation.json" }</w:instrText>
      </w:r>
      <w:r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(52)</w:t>
      </w:r>
      <w:r w:rsidRPr="00A43421">
        <w:rPr>
          <w:rFonts w:ascii="Times New Roman" w:hAnsi="Times New Roman" w:cs="Times New Roman"/>
          <w:color w:val="000000" w:themeColor="text1"/>
          <w:sz w:val="24"/>
          <w:szCs w:val="24"/>
          <w:vertAlign w:val="superscript"/>
        </w:rPr>
        <w:fldChar w:fldCharType="end"/>
      </w:r>
      <w:r w:rsidRPr="00A43421">
        <w:rPr>
          <w:rFonts w:ascii="Times New Roman" w:hAnsi="Times New Roman" w:cs="Times New Roman"/>
          <w:color w:val="000000" w:themeColor="text1"/>
          <w:sz w:val="24"/>
          <w:szCs w:val="24"/>
        </w:rPr>
        <w:t>. Overall it is unlik</w:t>
      </w:r>
      <w:r w:rsidR="006576E1" w:rsidRPr="00A43421">
        <w:rPr>
          <w:rFonts w:ascii="Times New Roman" w:hAnsi="Times New Roman" w:cs="Times New Roman"/>
          <w:color w:val="000000" w:themeColor="text1"/>
          <w:sz w:val="24"/>
          <w:szCs w:val="24"/>
        </w:rPr>
        <w:t>ely that the</w:t>
      </w:r>
      <w:r w:rsidRPr="00A43421">
        <w:rPr>
          <w:rFonts w:ascii="Times New Roman" w:hAnsi="Times New Roman" w:cs="Times New Roman"/>
          <w:color w:val="000000" w:themeColor="text1"/>
          <w:sz w:val="24"/>
          <w:szCs w:val="24"/>
        </w:rPr>
        <w:t xml:space="preserve"> differences between groups would have a meaningful health significance as both groups met the EAR for all nutrients. However, the suboptimal vitamin D content across all participants is of concern.</w:t>
      </w:r>
    </w:p>
    <w:p w14:paraId="561E5CDA" w14:textId="6C1967E4" w:rsidR="00B43E0F" w:rsidRPr="00A43421" w:rsidRDefault="00B43E0F" w:rsidP="00083A30">
      <w:pPr>
        <w:spacing w:line="360" w:lineRule="auto"/>
        <w:ind w:firstLine="720"/>
        <w:jc w:val="both"/>
        <w:rPr>
          <w:rFonts w:ascii="Times New Roman" w:hAnsi="Times New Roman" w:cs="Times New Roman"/>
          <w:b/>
          <w:color w:val="000000" w:themeColor="text1"/>
          <w:sz w:val="24"/>
          <w:szCs w:val="24"/>
        </w:rPr>
      </w:pPr>
      <w:r w:rsidRPr="00A43421">
        <w:rPr>
          <w:rFonts w:ascii="Times New Roman" w:hAnsi="Times New Roman" w:cs="Times New Roman"/>
          <w:color w:val="000000" w:themeColor="text1"/>
          <w:sz w:val="24"/>
          <w:szCs w:val="24"/>
        </w:rPr>
        <w:t>Growth of children with CMA and other food allergens has been thoroughly inv</w:t>
      </w:r>
      <w:r w:rsidR="00FD6C09" w:rsidRPr="00A43421">
        <w:rPr>
          <w:rFonts w:ascii="Times New Roman" w:hAnsi="Times New Roman" w:cs="Times New Roman"/>
          <w:color w:val="000000" w:themeColor="text1"/>
          <w:sz w:val="24"/>
          <w:szCs w:val="24"/>
        </w:rPr>
        <w:t>estigated across many countries</w:t>
      </w:r>
      <w:r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"10.1111/j.1399-3038.2007.00566.x", "ISBN" : "0905-6157", "ISSN" : "09056157", "PMID" : "17561927", "abstract" : "Observational studies have shown that allergic infants, irrespective of the type of diet, show various degrees of growth depression in the first year of life. We investigated whether the type of milk in the complementary feeding period (6-12 months of age) is associated with differences in the increase of standardized growth indices (weight-for-age, WA; length-for-age, LA; and weight-for-length, WL, z-scores) in infants with cow's milk allergy (CMA). Infants with immunoglobulin E-mediated CMA breastfed at least 4 months and progressively weaned in the 5- to 6-month period were randomly assigned to three special formulas, a soy formula (n = 32), a casein hydrolysate (n = 31), and a rice hydrolysate (n = 30). A fourth, non-randomized group was made up by allergic infants still breastfed up to 12 months (n = 32). Groups were compared for WA, LA, and WL z-scores at 6, 9 and 12 months of age. All groups showed low WA and LA z-scores at 6 months of age. Infants fed hydrolyzed products showed a trend toward higher WA z-score increments in the 6- to 12-month period. The use of casein- and rice-based hydrolyzed formulas resulted in higher changes in WA compared with soy formula. Further research should be aimed at optimizing the dietary needs and feeding regimens for infants with CMA.", "author" : [ { "dropping-particle" : "", "family" : "Agostoni", "given" : "Carlo", "non-dropping-particle" : "", "parse-names" : false, "suffix" : "" }, { "dropping-particle" : "", "family" : "Fiocchi", "given" : "Alessandro", "non-dropping-particle" : "", "parse-names" : false, "suffix" : "" }, { "dropping-particle" : "", "family" : "Riva", "given" : "Enrica", "non-dropping-particle" : "", "parse-names" : false, "suffix" : "" }, { "dropping-particle" : "", "family" : "Terracciano", "given" : "Luigi", "non-dropping-particle" : "", "parse-names" : false, "suffix" : "" }, { "dropping-particle" : "", "family" : "Sarratud", "given" : "Teresita", "non-dropping-particle" : "", "parse-names" : false, "suffix" : "" }, { "dropping-particle" : "", "family" : "Martelli", "given" : "Alberto", "non-dropping-particle" : "", "parse-names" : false, "suffix" : "" }, { "dropping-particle" : "", "family" : "Lodi", "given" : "Fabio", "non-dropping-particle" : "", "parse-names" : false, "suffix" : "" }, { "dropping-particle" : "", "family" : "D'Auria", "given" : "Enza", "non-dropping-particle" : "", "parse-names" : false, "suffix" : "" }, { "dropping-particle" : "", "family" : "Zuccotti", "given" : "Gianvincenzo", "non-dropping-particle" : "", "parse-names" : false, "suffix" : "" }, { "dropping-particle" : "", "family" : "Giovannini", "given" : "Marcello", "non-dropping-particle" : "", "parse-names" : false, "suffix" : "" } ], "container-title" : "Pediatric Allergy and Immunology", "id" : "ITEM-1", "issue" : "7", "issued" : { "date-parts" : [ [ "2007" ] ] }, "page" : "599-606", "title" : "Growth of infants with IgE-mediated cow's milk allergy fed different formulas in the complementary feeding period", "type" : "article-journal", "volume" : "18" }, "uris" : [ "http://www.mendeley.com/documents/?uuid=df4ef9f5-eb8d-4319-bff1-de42b3a92158" ] }, { "id" : "ITEM-2", "itemData" : { "DOI" : "10.1111/j.1399-3038.2010.01028.x", "ISSN" : "1399-3038", "PMID" : "20561235", "abstract" : "The aim of the present study was to assess the food intakes and nutritional status of children with food allergies following an elimination diet. We conducted a cross sectional study including 96 children (mean age 4.7 \u00b1 2.5 years) with food allergies and 95 paired controls (mean age 4.7 \u00b1 2.7 years) without food allergies. Nutritional status was assessed using measurements of weight and height and Z scores for weight-for-age, height-for-age and weight-for-height. Nutrient intakes assessment was based on a 3-day diet record. Children with food allergies had weight-for-age and height-for-age Z scores lower than controls (0.1 versus 0.6 and 0.2 versus 0.8 respectively). Children with 3 or more food allergies were smaller than those with 2 or less food allergies (p = 0.04). A total of 62 children with food allergies and 52 controls completed usable diet records. Energy, protein and calcium intakes were similar in the two groups. Children with food allergies were smaller for their age than controls even when they received similar nutrient intakes. Nutritional evaluation is essential for the follow up of children with food allergies.", "author" : [ { "dropping-particle" : "", "family" : "Flammarion", "given" : "Sophie", "non-dropping-particle" : "", "parse-names" : false, "suffix" : "" }, { "dropping-particle" : "", "family" : "Santos", "given" : "Clarisse", "non-dropping-particle" : "", "parse-names" : false, "suffix" : "" }, { "dropping-particle" : "", "family" : "Guimber", "given" : "Dominique", "non-dropping-particle" : "", "parse-names" : false, "suffix" : "" }, { "dropping-particle" : "", "family" : "Jouannic", "given" : "Lyne", "non-dropping-particle" : "", "parse-names" : false, "suffix" : "" }, { "dropping-particle" : "", "family" : "Thumerelle", "given" : "Caroline", "non-dropping-particle" : "", "parse-names" : false, "suffix" : "" }, { "dropping-particle" : "", "family" : "Gottrand", "given" : "Fr\u00e9d\u00e9ric", "non-dropping-particle" : "", "parse-names" : false, "suffix" : "" }, { "dropping-particle" : "", "family" : "Deschildre", "given" : "Antoine", "non-dropping-particle" : "", "parse-names" : false, "suffix" : "" } ], "container-title" : "Pediatric allergy and immunology : official publication of the European Society of Pediatric Allergy and Immunology", "id" : "ITEM-2", "issued" : { "date-parts" : [ [ "2011" ] ] }, "page" : "161-165", "title" : "Diet and nutritional status of children with food allergies.", "type" : "article-journal", "volume" : "22" }, "uris" : [ "http://www.mendeley.com/documents/?uuid=47eac944-9222-4200-b202-eb5eb10e7048" ] }, { "id" : "ITEM-3", "itemData" : { "DOI" : "10.1016/S0022-3476(98)70399-3", "ISBN" : "0022-3476 (Print)\\r0022-3476 (Linking)", "ISSN" : "00223476", "PMID" : "9627594", "abstract" : "Objective: The objective of this study was to evaluate the nutritional impact of therapeutic elimination diets and to identify risk factors predisposing infants with food allergy to poor growth. Study design: We studied 100 children (mean age 7 months) with atopic dermatitis and challenge-proven cow's milk allergy and evaluated their growth during the symptomatic period before diagnosis and during the therapeutic elimination diet. Results: Clinical control of symptoms was achieved in all patients. The mean length SD score and weight-for-length index of patients decreased compared with those in healthy age-matched children, p &lt; 0.0001 and p = 0.03, respectively. Low serum albumin was present in 6% of the patients, 24% had an abnormal urea concentration, and 8% had a low serum phospholipid docosahexaenoic acid. The delay in growth was more pronounced in a subgroup of patients with early onset than in those with later of symptoms (F = 6.65, p &lt; 0.0001). The duration of breast-feeding correlated positively with the sum of n-3 polyunsaturated fatty acids (r = 0.39, p = 0.001) and with the relative amount of docosahexaenoic acid (r = 0.36, p = 0.002). Conclusion: A delicate balance exists between the benefits and the risks of elimination diets.", "author" : [ { "dropping-particle" : "", "family" : "Isolauri", "given" : "E.", "non-dropping-particle" : "", "parse-names" : false, "suffix" : "" }, { "dropping-particle" : "", "family" : "Sutas", "given" : "Y.", "non-dropping-particle" : "", "parse-names" : false, "suffix" : "" }, { "dropping-particle" : "", "family" : "Salo", "given" : "M. K.", "non-dropping-particle" : "", "parse-names" : false, "suffix" : "" }, { "dropping-particle" : "", "family" : "Isosomppi", "given" : "R.", "non-dropping-particle" : "", "parse-names" : false, "suffix" : "" }, { "dropping-particle" : "", "family" : "Kaila", "given" : "M.", "non-dropping-particle" : "", "parse-names" : false, "suffix" : "" } ], "container-title" : "Journal of Pediatrics", "id" : "ITEM-3", "issue" : "6", "issued" : { "date-parts" : [ [ "1998" ] ] }, "page" : "1004-1009", "title" : "Elimination diet in cow's milk allergy: Risk for impaired growth in young children", "type" : "article-journal", "volume" : "132" }, "uris" : [ "http://www.mendeley.com/documents/?uuid=e883a931-d80a-4c5e-9aba-014ccf2b7f8a" ] }, { "id" : "ITEM-4", "itemData" : { "DOI" : "10.1111/jhn.12149", "ISSN" : "1365277X", "PMID" : "23937486", "abstract" : "BACKGROUND: The mainstay of dietary management of food allergies remains the elimination diet. However, the removal of major food groups may predispose children to an inadequate nutrient intake. We therefore set out to establish growth status in food allergic children receiving dietetic input in the UK.\\n\\nMETHODS: Dietitians were approached via the Food Allergy and Intolerance Specialist Group from the British Dietetic Association and asked to submit anthropometrical data for children with food allergies. Data collected related to the systems involved and number of foods excluded. Malnutrition was defined according to World Health Organization standards.\\n\\nRESULTS: Data from 13 different centres yielded 97 patients (51 male and 46 female) of which 66 excluded \u22642 foods and 31 excluded \u22653 foods. Data indicated that 8.5% had a weight for age \u2264\u00a0-2 Z-score and, conversely, 8.5% were \u22652 Z-score. For height for age, 11.1% were \u2264\u00a0-2 Z-score and, for weight for height, 3.7% were \u2264\u00a0-2 Z-score and 7.5% \u22652 Z-score. Type of allergy, system involved and specific food elimination did not impact on the level of malnutrition. However, the elimination of \u22653 foods significantly impacted on weight for age (P\u00a0=\u00a00.044).\\n\\nCONCLUSIONS: The present study demonstrates that children with food allergies are more underweight than the general UK population, which appears to be linked to the number of foods excluded. However, the impact of the disease process itself should not be disregarded. Additionally, obesity can also occur in this population despite dietary elimination.", "author" : [ { "dropping-particle" : "", "family" : "Meyer", "given" : "R.", "non-dropping-particle" : "", "parse-names" : false, "suffix" : "" }, { "dropping-particle" : "", "family" : "Koker", "given" : "C.", "non-dropping-particle" : "De", "parse-names" : false, "suffix" : "" }, { "dropping-particle" : "", "family" : "Dziubak", "given" : "R.", "non-dropping-particle" : "", "parse-names" : false, "suffix" : "" }, { "dropping-particle" : "", "family" : "Venter", "given" : "C.", "non-dropping-particle" : "", "parse-names" : false, "suffix" : "" }, { "dropping-particle" : "", "family" : "Dominguez-Ortega", "given" : "G.", "non-dropping-particle" : "", "parse-names" : false, "suffix" : "" }, { "dropping-particle" : "", "family" : "Cutts", "given" : "R.", "non-dropping-particle" : "", "parse-names" : false, "suffix" : "" }, { "dropping-particle" : "", "family" : "Yerlett", "given" : "N.", "non-dropping-particle" : "", "parse-names" : false, "suffix" : "" }, { "dropping-particle" : "", "family" : "Skrapak", "given" : "A. K.", "non-dropping-particle" : "", "parse-names" : false, "suffix" : "" }, { "dropping-particle" : "", "family" : "Fox", "given" : "A. T.", "non-dropping-particle" : "", "parse-names" : false, "suffix" : "" }, { "dropping-particle" : "", "family" : "Shah", "given" : "N.", "non-dropping-particle" : "", "parse-names" : false, "suffix" : "" } ], "container-title" : "Journal of Human Nutrition and Dietetics", "id" : "ITEM-4", "issue" : "3", "issued" : { "date-parts" : [ [ "2014" ] ] }, "page" : "227-235", "title" : "Malnutrition in children with food allergies in the UK", "type" : "article-journal", "volume" : "27" }, "uris" : [ "http://www.mendeley.com/documents/?uuid=3fd4c702-75db-4de4-acfa-05e31c3da5af" ] }, { "id" : "ITEM-5", "itemData" : { "DOI" : "10.1097/ACI.0b013e328360949d", "ISBN" : "15284050 (ISSN)", "ISSN" : "1473-6322", "PMID" : "23510952", "abstract" : "PURPOSE OF REVIEW: To describe the potential effect that avoidance diets for food allergy may have on nutrition and growth in children.\\n\\nRECENT FINDINGS: We report here the findings from the previous studies suggesting impairment of growth and nutritional deficiencies because of elimination diets for food allergy. Feeding difficulties have also been reported, particularly in children with eosinophilic esophagitis that may further impact the nutrient intake.\\n\\nSUMMARY: Food allergies are becoming more prevalent and better recognized. Treatment options typically include strict dietary elimination of major food allergens such as milk, eggs, wheat, soy, peanut, tree nuts, fish and shellfish. Monitoring growth and guiding food allergic patients in choosing appropriate alternatives to supply necessary nutrients becomes crucial to avoid deficiencies and retardation in growth.", "author" : [ { "dropping-particle" : "", "family" : "Mehta", "given" : "Harshna", "non-dropping-particle" : "", "parse-names" : false, "suffix" : "" }, { "dropping-particle" : "", "family" : "Groetch", "given" : "Marion", "non-dropping-particle" : "", "parse-names" : false, "suffix" : "" }, { "dropping-particle" : "", "family" : "Wang", "given" : "Julie", "non-dropping-particle" : "", "parse-names" : false, "suffix" : "" } ], "container-title" : "Current opinion in allergy and clinical immunology", "id" : "ITEM-5", "issue" : "3", "issued" : { "date-parts" : [ [ "2013" ] ] }, "page" : "275-9", "title" : "Growth and nutritional concerns in children with food allergy.", "type" : "article-journal", "volume" : "13" }, "uris" : [ "http://www.mendeley.com/documents/?uuid=e8fdb70d-0953-4aeb-a62a-ae0a8fa488eb" ] }, { "id" : "ITEM-6", "itemData" : { "DOI" : "10.1097/01.mpg.0000221918.19006.a0", "ISBN" : "0002-9165 (Print)", "ISSN" : "00029165", "PMID" : "16002812", "abstract" : "BACKGROUND: Infants with cow milk allergy (CMA) are reported to have reduced growth and special nutritional needs. OBJECTIVE: The aim of the present study was to compare nutrient intake, nutritional status, and growth in infants with CMA who were fed either a soy formula or an extensively hydrolyzed whey formula. DESIGN: The study group comprised 168 double-blind challenge-proven infants with CMA. Eighty-four of the infants were fed a soy formula (mean starting age: 7.8 mo), and the other 84 infants were fed an extensively hydrolyzed whey formula (mean starting age: 7.5 mo). RESULTS: The length (SD score) of the infants was close to the mean Finnish reference growth by age 2 y in both groups. Weight-for-length measurements continued to reach the 50th percentile by age 4 y in both study groups. The mean nutrient intake followed the recommended intake in both groups, although most of the infants were supplemented with calcium and vitamin D. The observed serum transferrin receptor concentrations indicated a greater iron inadequacy in the tissue of infants in the soy formula group than in the hydrolyzed whey formula group (P = 0.08). However, there were no significant differences between the groups either in the percentages of abnormally low laboratory values (mean cell volume, hemoglobin, zinc, and ferritin) or in the percentages of high alkaline phosphatase activity, which indicates the comparable safety and effectiveness of the formulas studied. CONCLUSIONS: Both nutritional status and growth were well within reference values in the 2 groups, and the selection of a formula can largely be made on the basis of infant tolerance to the formulas.", "author" : [ { "dropping-particle" : "", "family" : "Seppo", "given" : "Leena", "non-dropping-particle" : "", "parse-names" : false, "suffix" : "" }, { "dropping-particle" : "", "family" : "Korpela", "given" : "Riitta", "non-dropping-particle" : "", "parse-names" : false, "suffix" : "" }, { "dropping-particle" : "", "family" : "L\u00f6nnerdal", "given" : "Bo", "non-dropping-particle" : "", "parse-names" : false, "suffix" : "" }, { "dropping-particle" : "", "family" : "Mets\u00e4niitty", "given" : "Leena", "non-dropping-particle" : "", "parse-names" : false, "suffix" : "" }, { "dropping-particle" : "", "family" : "Juntunen-Backman", "given" : "Kaisu", "non-dropping-particle" : "", "parse-names" : false, "suffix" : "" }, { "dropping-particle" : "", "family" : "Klemola", "given" : "Timo", "non-dropping-particle" : "", "parse-names" : false, "suffix" : "" }, { "dropping-particle" : "", "family" : "Paganus", "given" : "Aila", "non-dropping-particle" : "", "parse-names" : false, "suffix" : "" }, { "dropping-particle" : "", "family" : "Vanto", "given" : "Timo", "non-dropping-particle" : "", "parse-names" : false, "suffix" : "" } ], "container-title" : "American Journal of Clinical Nutrition", "id" : "ITEM-6", "issue" : "1", "issued" : { "date-parts" : [ [ "2005" ] ] }, "page" : "140-145", "title" : "A follow-up study of nutrient intake, nutritional status, and growth in infants with cow milk allergy fed either a soy formula or an extensively hydrolyzed whey formula", "type" : "article-journal", "volume" : "82" }, "uris" : [ "http://www.mendeley.com/documents/?uuid=4d390ace-f7ed-457c-b035-7fa01ffb2df6" ] } ], "mendeley" : { "formattedCitation" : "(23,53\u201357)", "plainTextFormattedCitation" : "(23,53\u201357)", "previouslyFormattedCitation" : "(23,53\u201357)" }, "properties" : { "noteIndex" : 0 }, "schema" : "https://github.com/citation-style-language/schema/raw/master/csl-citation.json" }</w:instrText>
      </w:r>
      <w:r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(23,53–57)</w:t>
      </w:r>
      <w:r w:rsidRPr="00A43421">
        <w:rPr>
          <w:rFonts w:ascii="Times New Roman" w:hAnsi="Times New Roman" w:cs="Times New Roman"/>
          <w:color w:val="000000" w:themeColor="text1"/>
          <w:sz w:val="24"/>
          <w:szCs w:val="24"/>
          <w:vertAlign w:val="superscript"/>
        </w:rPr>
        <w:fldChar w:fldCharType="end"/>
      </w:r>
      <w:r w:rsidRPr="00A43421">
        <w:rPr>
          <w:rFonts w:ascii="Times New Roman" w:hAnsi="Times New Roman" w:cs="Times New Roman"/>
          <w:color w:val="000000" w:themeColor="text1"/>
          <w:sz w:val="24"/>
          <w:szCs w:val="24"/>
        </w:rPr>
        <w:t xml:space="preserve">. The only study comparing long term growth of children fed substitute formula for CMA did not show any difference in growth at age 10 years </w:t>
      </w:r>
      <w:r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"10.3945/ajcn.2008.27373", "ISBN" : "1938-3207 (Electronic)\\r0002-9165 (Linking)", "ISSN" : "00029165", "PMID" : "19369380", "abstract" : "BACKGROUND: The short- and long-term effects of feeding with hydrolyzed formulas on growth are uncertain. OBJECTIVE: Our aim was to investigate the potential differences in body mass index (BMI) over the first 6 y of life between infants fed with partially hydrolyzed whey (pHF-W), extensively hydrolyzed whey (eHF-W), extensively hydrolyzed casein (eHF-C), or cow-milk formula (CMF) and infants exclusively breastfed for the first 16 wk of life. DESIGN: We established a prospective, randomized, double-blind trial of full-term neonates with atopic heredity in the German birth cohort followed by the German Infant Nutritional Intervention Study through the first 6 y of life. Intention-to-treat and per-protocol analyses of absolute and World Health Organization-standardized BMI trajectories for 1840 infants (pHF-W: n = 253; eHF-W: n = 265; eHF-C: n = 250, CMF: n = 276; breastfed: n = 796) were performed. RESULTS: No significant differences in absolute or World Health Organization-standardized BMI trajectories were found among the pHF-W, eHF-W, CMF, and breastfed groups during the 6-y follow-up. However, in the eHF-C group, both intention-to-treat and per-protocol analyses showed a significantly slower sex-adjusted BMI gain through the 8th to 48th week of life (-0.1 to -0.2 lower BMI z score) but not beyond. Analyses of weight and length revealed that this difference is due to a slightly diminished weight gain in the first year of life because growth in length did not differ among study groups for the entire follow-up. CONCLUSIONS: To our knowledge, this is the first randomized trial investigating both short- and long-term effects of partially and extensively hydrolyzed formula (pHF-W, eHF-W, eHF-C), CMF, and breastfeeding on growth in one trial. Feeding with eHF-C led to a transient lower weight gain in the first year of life. No long-term consequences of different formulas on BMI were observed.", "author" : [ { "dropping-particle" : "", "family" : "Rzehak", "given" : "Peter", "non-dropping-particle" : "", "parse-names" : false, "suffix" : "" }, { "dropping-particle" : "", "family" : "Sausenthaler", "given" : "Stefanie", "non-dropping-particle" : "", "parse-names" : false, "suffix" : "" }, { "dropping-particle" : "", "family" : "Koletzko", "given" : "Sibylle", "non-dropping-particle" : "", "parse-names" : false, "suffix" : "" }, { "dropping-particle" : "", "family" : "Reinhardt", "given" : "Dietrich", "non-dropping-particle" : "", "parse-names" : false, "suffix" : "" }, { "dropping-particle" : "", "family" : "Berg", "given" : "Andrea", "non-dropping-particle" : "Von", "parse-names" : false, "suffix" : "" }, { "dropping-particle" : "", "family" : "Kr\u00e4mer", "given" : "Ursula", "non-dropping-particle" : "", "parse-names" : false, "suffix" : "" }, { "dropping-particle" : "", "family" : "Berdel", "given" : "Dietrich", "non-dropping-particle" : "", "parse-names" : false, "suffix" : "" }, { "dropping-particle" : "", "family" : "Bollrath", "given" : "Christina", "non-dropping-particle" : "", "parse-names" : false, "suffix" : "" }, { "dropping-particle" : "", "family" : "Gr\u00fcbl", "given" : "Armin", "non-dropping-particle" : "", "parse-names" : false, "suffix" : "" }, { "dropping-particle" : "", "family" : "Bauer", "given" : "Carl Peter", "non-dropping-particle" : "", "parse-names" : false, "suffix" : "" }, { "dropping-particle" : "", "family" : "Wichmann", "given" : "H. Erich", "non-dropping-particle" : "", "parse-names" : false, "suffix" : "" }, { "dropping-particle" : "", "family" : "Heinrich", "given" : "Joachim", "non-dropping-particle" : "", "parse-names" : false, "suffix" : "" } ], "container-title" : "American Journal of Clinical Nutrition", "id" : "ITEM-1", "issue" : "6", "issued" : { "date-parts" : [ [ "2009" ] ] }, "page" : "1846-1856", "title" : "Short- and long-term effects of feeding hydrolyzed protein infant formulas on growth at \u22646 y of age: Results from the German Infant Nutritional Intervention Study", "type" : "article-journal", "volume" : "89" }, "uris" : [ "http://www.mendeley.com/documents/?uuid=5acbf29d-f9f9-41ac-baa1-b03779500d11" ] } ], "mendeley" : { "formattedCitation" : "(58)", "plainTextFormattedCitation" : "(58)", "previouslyFormattedCitation" : "(58)" }, "properties" : { "noteIndex" : 0 }, "schema" : "https://github.com/citation-style-language/schema/raw/master/csl-citation.json" }</w:instrText>
      </w:r>
      <w:r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(58)</w:t>
      </w:r>
      <w:r w:rsidRPr="00A43421">
        <w:rPr>
          <w:rFonts w:ascii="Times New Roman" w:hAnsi="Times New Roman" w:cs="Times New Roman"/>
          <w:color w:val="000000" w:themeColor="text1"/>
          <w:sz w:val="24"/>
          <w:szCs w:val="24"/>
          <w:vertAlign w:val="superscript"/>
        </w:rPr>
        <w:fldChar w:fldCharType="end"/>
      </w:r>
      <w:r w:rsidRPr="00A43421">
        <w:rPr>
          <w:rFonts w:ascii="Times New Roman" w:hAnsi="Times New Roman" w:cs="Times New Roman"/>
          <w:color w:val="000000" w:themeColor="text1"/>
          <w:sz w:val="24"/>
          <w:szCs w:val="24"/>
        </w:rPr>
        <w:t>. A Japanese study of 7-15 year olds</w:t>
      </w:r>
      <w:r w:rsidR="00FD6C09" w:rsidRPr="00A43421">
        <w:rPr>
          <w:rFonts w:ascii="Times New Roman" w:hAnsi="Times New Roman" w:cs="Times New Roman"/>
          <w:color w:val="000000" w:themeColor="text1"/>
          <w:sz w:val="24"/>
          <w:szCs w:val="24"/>
        </w:rPr>
        <w:t xml:space="preserve"> (n = 14669)</w:t>
      </w:r>
      <w:r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"10.2332/allergolint.10-OA-0188", "ISBN" : "1440-1592 (Electronic)\\r1323-8930 (Linking)", "ISSN" : "1323-8930", "PMID" : "20864793", "abstract" : "The influence of food avoidance due to allergic symptoms in infancy on the growth of children at school age has not been well evaluated.", "author" : [ { "dropping-particle" : "", "family" : "Mukaida", "given" : "Kumiko", "non-dropping-particle" : "", "parse-names" : false, "suffix" : "" }, { "dropping-particle" : "", "family" : "Kusunoki", "given" : "Takashi", "non-dropping-particle" : "", "parse-names" : false, "suffix" : "" }, { "dropping-particle" : "", "family" : "Morimoto", "given" : "Takeshi", "non-dropping-particle" : "", "parse-names" : false, "suffix" : "" }, { "dropping-particle" : "", "family" : "Yasumi", "given" : "Takahiro", "non-dropping-particle" : "", "parse-names" : false, "suffix" : "" }, { "dropping-particle" : "", "family" : "Nishikomori", "given" : "Ryuta", "non-dropping-particle" : "", "parse-names" : false, "suffix" : "" }, { "dropping-particle" : "", "family" : "Heike", "given" : "Toshio", "non-dropping-particle" : "", "parse-names" : false, "suffix" : "" }, { "dropping-particle" : "", "family" : "Fujii", "given" : "Tatsuya", "non-dropping-particle" : "", "parse-names" : false, "suffix" : "" }, { "dropping-particle" : "", "family" : "Nakahata", "given" : "Tatsutoshi", "non-dropping-particle" : "", "parse-names" : false, "suffix" : "" } ], "container-title" : "Allergology international : official journal of the Japanese Society of Allergology", "id" : "ITEM-1", "issue" : "4", "issued" : { "date-parts" : [ [ "2010" ] ] }, "page" : "369-374", "title" : "The effect of past food avoidance due to allergic symptoms on the growth of children at school age.", "type" : "article-journal", "volume" : "59" }, "uris" : [ "http://www.mendeley.com/documents/?uuid=eb67e0c2-2f6d-4dcc-b7a5-d8d72334fe2d" ] } ], "mendeley" : { "formattedCitation" : "(52)", "plainTextFormattedCitation" : "(52)", "previouslyFormattedCitation" : "(52)" }, "properties" : { "noteIndex" : 0 }, "schema" : "https://github.com/citation-style-language/schema/raw/master/csl-citation.json" }</w:instrText>
      </w:r>
      <w:r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(52)</w:t>
      </w:r>
      <w:r w:rsidRPr="00A43421">
        <w:rPr>
          <w:rFonts w:ascii="Times New Roman" w:hAnsi="Times New Roman" w:cs="Times New Roman"/>
          <w:color w:val="000000" w:themeColor="text1"/>
          <w:sz w:val="24"/>
          <w:szCs w:val="24"/>
          <w:vertAlign w:val="superscript"/>
        </w:rPr>
        <w:fldChar w:fldCharType="end"/>
      </w:r>
      <w:r w:rsidRPr="00A43421">
        <w:rPr>
          <w:rFonts w:ascii="Times New Roman" w:hAnsi="Times New Roman" w:cs="Times New Roman"/>
          <w:color w:val="000000" w:themeColor="text1"/>
          <w:sz w:val="24"/>
          <w:szCs w:val="24"/>
        </w:rPr>
        <w:t xml:space="preserve"> reported that those with a history of </w:t>
      </w:r>
      <w:r w:rsidR="006576E1" w:rsidRPr="00A43421">
        <w:rPr>
          <w:rFonts w:ascii="Times New Roman" w:hAnsi="Times New Roman" w:cs="Times New Roman"/>
          <w:color w:val="000000" w:themeColor="text1"/>
          <w:sz w:val="24"/>
          <w:szCs w:val="24"/>
        </w:rPr>
        <w:t>consuming</w:t>
      </w:r>
      <w:r w:rsidRPr="00A43421">
        <w:rPr>
          <w:rFonts w:ascii="Times New Roman" w:hAnsi="Times New Roman" w:cs="Times New Roman"/>
          <w:color w:val="000000" w:themeColor="text1"/>
          <w:sz w:val="24"/>
          <w:szCs w:val="24"/>
        </w:rPr>
        <w:t xml:space="preserve"> an exclusion diet had lower weight z scores, with an overall lower incidence of overweight and obesity; however the data on food avoidance was collected retrospectively. </w:t>
      </w:r>
      <w:r w:rsidR="0018479C" w:rsidRPr="00A43421">
        <w:rPr>
          <w:rFonts w:ascii="Times New Roman" w:hAnsi="Times New Roman" w:cs="Times New Roman"/>
          <w:color w:val="000000" w:themeColor="text1"/>
          <w:sz w:val="24"/>
          <w:szCs w:val="24"/>
        </w:rPr>
        <w:t xml:space="preserve">The lack of significant difference detected between dietary exclusion groups </w:t>
      </w:r>
      <w:r w:rsidR="00493720" w:rsidRPr="00A43421">
        <w:rPr>
          <w:rFonts w:ascii="Times New Roman" w:hAnsi="Times New Roman" w:cs="Times New Roman"/>
          <w:color w:val="000000" w:themeColor="text1"/>
          <w:sz w:val="24"/>
          <w:szCs w:val="24"/>
        </w:rPr>
        <w:t xml:space="preserve">in the present study </w:t>
      </w:r>
      <w:r w:rsidRPr="00A43421">
        <w:rPr>
          <w:rFonts w:ascii="Times New Roman" w:hAnsi="Times New Roman" w:cs="Times New Roman"/>
          <w:color w:val="000000" w:themeColor="text1"/>
          <w:sz w:val="24"/>
          <w:szCs w:val="24"/>
        </w:rPr>
        <w:t>could be</w:t>
      </w:r>
      <w:r w:rsidR="0018479C" w:rsidRPr="00A43421">
        <w:rPr>
          <w:rFonts w:ascii="Times New Roman" w:hAnsi="Times New Roman" w:cs="Times New Roman"/>
          <w:color w:val="000000" w:themeColor="text1"/>
          <w:sz w:val="24"/>
          <w:szCs w:val="24"/>
        </w:rPr>
        <w:t xml:space="preserve"> expected given the</w:t>
      </w:r>
      <w:r w:rsidR="00E31904" w:rsidRPr="00A43421">
        <w:rPr>
          <w:rFonts w:ascii="Times New Roman" w:hAnsi="Times New Roman" w:cs="Times New Roman"/>
          <w:color w:val="000000" w:themeColor="text1"/>
          <w:sz w:val="24"/>
          <w:szCs w:val="24"/>
        </w:rPr>
        <w:t xml:space="preserve"> </w:t>
      </w:r>
      <w:r w:rsidR="0018479C" w:rsidRPr="00A43421">
        <w:rPr>
          <w:rFonts w:ascii="Times New Roman" w:hAnsi="Times New Roman" w:cs="Times New Roman"/>
          <w:color w:val="000000" w:themeColor="text1"/>
          <w:sz w:val="24"/>
          <w:szCs w:val="24"/>
        </w:rPr>
        <w:t>sample size, the multitude of factors that influence growth and</w:t>
      </w:r>
      <w:r w:rsidRPr="00A43421">
        <w:rPr>
          <w:rFonts w:ascii="Times New Roman" w:hAnsi="Times New Roman" w:cs="Times New Roman"/>
          <w:color w:val="000000" w:themeColor="text1"/>
          <w:sz w:val="24"/>
          <w:szCs w:val="24"/>
        </w:rPr>
        <w:t xml:space="preserve"> because</w:t>
      </w:r>
      <w:r w:rsidR="0018479C" w:rsidRPr="00A43421">
        <w:rPr>
          <w:rFonts w:ascii="Times New Roman" w:hAnsi="Times New Roman" w:cs="Times New Roman"/>
          <w:color w:val="000000" w:themeColor="text1"/>
          <w:sz w:val="24"/>
          <w:szCs w:val="24"/>
        </w:rPr>
        <w:t xml:space="preserve"> most macro and micro nutrient intakes did not differ significantly between groups</w:t>
      </w:r>
      <w:r w:rsidR="0018479C" w:rsidRPr="00A43421">
        <w:rPr>
          <w:rFonts w:ascii="Times New Roman" w:hAnsi="Times New Roman" w:cs="Times New Roman"/>
          <w:b/>
          <w:color w:val="000000" w:themeColor="text1"/>
          <w:sz w:val="24"/>
          <w:szCs w:val="24"/>
        </w:rPr>
        <w:t xml:space="preserve">. </w:t>
      </w:r>
      <w:r w:rsidR="0071438A" w:rsidRPr="00A43421">
        <w:rPr>
          <w:rFonts w:ascii="Times New Roman" w:hAnsi="Times New Roman" w:cs="Times New Roman"/>
          <w:color w:val="000000" w:themeColor="text1"/>
          <w:sz w:val="24"/>
          <w:szCs w:val="24"/>
        </w:rPr>
        <w:t>The finding that a higher percentage of</w:t>
      </w:r>
      <w:r w:rsidR="0071438A" w:rsidRPr="00A43421">
        <w:rPr>
          <w:rFonts w:ascii="Times New Roman" w:hAnsi="Times New Roman" w:cs="Times New Roman"/>
          <w:b/>
          <w:color w:val="000000" w:themeColor="text1"/>
          <w:sz w:val="24"/>
          <w:szCs w:val="24"/>
        </w:rPr>
        <w:t xml:space="preserve"> </w:t>
      </w:r>
      <w:r w:rsidR="0071438A" w:rsidRPr="00A43421">
        <w:rPr>
          <w:rFonts w:ascii="Times New Roman" w:hAnsi="Times New Roman" w:cs="Times New Roman"/>
          <w:color w:val="000000" w:themeColor="text1"/>
          <w:sz w:val="24"/>
          <w:szCs w:val="24"/>
        </w:rPr>
        <w:t>participants in the CME group consumed &gt;100% of the EAR for energy, is a novel finding and is worth further exploration.</w:t>
      </w:r>
    </w:p>
    <w:p w14:paraId="65DCEB7D" w14:textId="2B07C8E3" w:rsidR="0018479C" w:rsidRPr="00A43421" w:rsidRDefault="00B43E0F" w:rsidP="00083A30">
      <w:pPr>
        <w:spacing w:line="360" w:lineRule="auto"/>
        <w:ind w:firstLine="720"/>
        <w:jc w:val="both"/>
        <w:rPr>
          <w:rFonts w:ascii="Times New Roman" w:hAnsi="Times New Roman" w:cs="Times New Roman"/>
          <w:color w:val="000000" w:themeColor="text1"/>
          <w:sz w:val="24"/>
          <w:szCs w:val="24"/>
        </w:rPr>
      </w:pPr>
      <w:r w:rsidRPr="00A43421">
        <w:rPr>
          <w:rFonts w:ascii="Times New Roman" w:hAnsi="Times New Roman" w:cs="Times New Roman"/>
          <w:color w:val="000000" w:themeColor="text1"/>
          <w:sz w:val="24"/>
          <w:szCs w:val="24"/>
        </w:rPr>
        <w:t>The high median waist circumference centile</w:t>
      </w:r>
      <w:r w:rsidR="00127505" w:rsidRPr="00A43421">
        <w:rPr>
          <w:rFonts w:ascii="Times New Roman" w:hAnsi="Times New Roman" w:cs="Times New Roman"/>
          <w:color w:val="000000" w:themeColor="text1"/>
          <w:sz w:val="24"/>
          <w:szCs w:val="24"/>
        </w:rPr>
        <w:t xml:space="preserve"> observed</w:t>
      </w:r>
      <w:r w:rsidRPr="00A43421">
        <w:rPr>
          <w:rFonts w:ascii="Times New Roman" w:hAnsi="Times New Roman" w:cs="Times New Roman"/>
          <w:color w:val="000000" w:themeColor="text1"/>
          <w:sz w:val="24"/>
          <w:szCs w:val="24"/>
        </w:rPr>
        <w:t xml:space="preserve"> is possibly a reflection of the rising rate of central obesity and that waist circumference charts rely on data collected in 1990 </w:t>
      </w:r>
      <w:r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"10.1038/sj.ejcn.1601240", "ISBN" : "0954-3007 (Print)\\n0954-3007 (Linking)", "ISSN" : "09543007", "PMID" : "11593353", "abstract" : "Objective: To develop waist circumference percentile curves for British children and to compare these curves with those from other countries. Design: Cross-sectional study. Setting: School-aged population. Subjects: A representative sample of school children from the geographical regions of Great Britain, approxi- mately in proportion to their age distribution. The sample population consisted of 8355 children (3585 males, 4770 females) with ages ranging between 5.0 and 16.9 y. Interventions: Waist circumferences were measured with a flexible non-elastic tape and waist circumference percentiles were constructed and smoothed using the LMS method. Main outcome measures: Smoothed waist circumference percentile curves. Results: Mean waist circumference increased with age in both boys and girls. For girls, curves began to plateau after the age of 13 y whereas, for boys, waist percentile curves continued to increase more sharply after this age. However, these curves mainly reflect the patterns of waist circumference in Caucasian children. Conclusions: These curves represent the first waist circumference percentiles for British children and could be used provisionally for both clinical and possibly epidemiological use, although they should be validated against equivalent longitudinal data. Sponsorship:", "author" : [ { "dropping-particle" : "", "family" : "Science", "given" : "Sports", "non-dropping-particle" : "", "parse-names" : false, "suffix" : "" }, { "dropping-particle" : "", "family" : "McCarthy", "given" : "H D", "non-dropping-particle" : "", "parse-names" : false, "suffix" : "" }, { "dropping-particle" : "V", "family" : "Jarrett", "given" : "K", "non-dropping-particle" : "", "parse-names" : false, "suffix" : "" }, { "dropping-particle" : "", "family" : "Crawley", "given" : "H F", "non-dropping-particle" : "", "parse-names" : false, "suffix" : "" }, { "dropping-particle" : "", "family" : "HD McCarthy", "given" : "Kv Jarrett and Hf Crawley", "non-dropping-particle" : "", "parse-names" : false, "suffix" : "" } ], "container-title" : "European Journal of Clinical Nutrition", "id" : "ITEM-1", "issue" : "10", "issued" : { "date-parts" : [ [ "2001" ] ] }, "page" : "902-907", "title" : "Original Communication The development of waist circumference percentiles in British children aged 5.0 \u2013 16.9 y", "type" : "article-journal", "volume" : "55" }, "uris" : [ "http://www.mendeley.com/documents/?uuid=228b380b-c63a-4afc-90b7-b62d78b0f25d" ] } ], "mendeley" : { "formattedCitation" : "(59)", "plainTextFormattedCitation" : "(59)", "previouslyFormattedCitation" : "(59)" }, "properties" : { "noteIndex" : 0 }, "schema" : "https://github.com/citation-style-language/schema/raw/master/csl-citation.json" }</w:instrText>
      </w:r>
      <w:r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(59)</w:t>
      </w:r>
      <w:r w:rsidRPr="00A43421">
        <w:rPr>
          <w:rFonts w:ascii="Times New Roman" w:hAnsi="Times New Roman" w:cs="Times New Roman"/>
          <w:color w:val="000000" w:themeColor="text1"/>
          <w:sz w:val="24"/>
          <w:szCs w:val="24"/>
          <w:vertAlign w:val="superscript"/>
        </w:rPr>
        <w:fldChar w:fldCharType="end"/>
      </w:r>
      <w:r w:rsidRPr="00A43421">
        <w:rPr>
          <w:rFonts w:ascii="Times New Roman" w:hAnsi="Times New Roman" w:cs="Times New Roman"/>
          <w:color w:val="000000" w:themeColor="text1"/>
          <w:sz w:val="24"/>
          <w:szCs w:val="24"/>
        </w:rPr>
        <w:t xml:space="preserve">. </w:t>
      </w:r>
      <w:r w:rsidR="00E31904" w:rsidRPr="00A43421">
        <w:rPr>
          <w:rFonts w:ascii="Times New Roman" w:hAnsi="Times New Roman" w:cs="Times New Roman"/>
          <w:color w:val="000000" w:themeColor="text1"/>
          <w:sz w:val="24"/>
          <w:szCs w:val="24"/>
        </w:rPr>
        <w:t xml:space="preserve">The overall percentage of children classified as overweight or obese (19%) is </w:t>
      </w:r>
      <w:r w:rsidR="001F1BB5" w:rsidRPr="00A43421">
        <w:rPr>
          <w:rFonts w:ascii="Times New Roman" w:hAnsi="Times New Roman" w:cs="Times New Roman"/>
          <w:color w:val="000000" w:themeColor="text1"/>
          <w:sz w:val="24"/>
          <w:szCs w:val="24"/>
        </w:rPr>
        <w:t>lower than</w:t>
      </w:r>
      <w:r w:rsidR="00E31904" w:rsidRPr="00A43421">
        <w:rPr>
          <w:rFonts w:ascii="Times New Roman" w:hAnsi="Times New Roman" w:cs="Times New Roman"/>
          <w:color w:val="000000" w:themeColor="text1"/>
          <w:sz w:val="24"/>
          <w:szCs w:val="24"/>
        </w:rPr>
        <w:t xml:space="preserve"> national statistics, with the most recent </w:t>
      </w:r>
      <w:r w:rsidR="006576E1" w:rsidRPr="00A43421">
        <w:rPr>
          <w:rFonts w:ascii="Times New Roman" w:hAnsi="Times New Roman" w:cs="Times New Roman"/>
          <w:color w:val="000000" w:themeColor="text1"/>
          <w:sz w:val="24"/>
          <w:szCs w:val="24"/>
        </w:rPr>
        <w:t>data</w:t>
      </w:r>
      <w:r w:rsidR="00E31904" w:rsidRPr="00A43421">
        <w:rPr>
          <w:rFonts w:ascii="Times New Roman" w:hAnsi="Times New Roman" w:cs="Times New Roman"/>
          <w:color w:val="000000" w:themeColor="text1"/>
          <w:sz w:val="24"/>
          <w:szCs w:val="24"/>
        </w:rPr>
        <w:t xml:space="preserve"> </w:t>
      </w:r>
      <w:r w:rsidRPr="00A43421">
        <w:rPr>
          <w:rFonts w:ascii="Times New Roman" w:eastAsia="Times New Roman" w:hAnsi="Times New Roman" w:cs="Times New Roman"/>
          <w:color w:val="000000" w:themeColor="text1"/>
          <w:sz w:val="24"/>
          <w:szCs w:val="24"/>
        </w:rPr>
        <w:t>indicating</w:t>
      </w:r>
      <w:r w:rsidR="00E31904" w:rsidRPr="00A43421">
        <w:rPr>
          <w:rFonts w:ascii="Times New Roman" w:eastAsia="Times New Roman" w:hAnsi="Times New Roman" w:cs="Times New Roman"/>
          <w:color w:val="000000" w:themeColor="text1"/>
          <w:sz w:val="24"/>
          <w:szCs w:val="24"/>
        </w:rPr>
        <w:t xml:space="preserve"> 19.1% of children aged 10-11 </w:t>
      </w:r>
      <w:r w:rsidR="006576E1" w:rsidRPr="00A43421">
        <w:rPr>
          <w:rFonts w:ascii="Times New Roman" w:eastAsia="Times New Roman" w:hAnsi="Times New Roman" w:cs="Times New Roman"/>
          <w:color w:val="000000" w:themeColor="text1"/>
          <w:sz w:val="24"/>
          <w:szCs w:val="24"/>
        </w:rPr>
        <w:t>are</w:t>
      </w:r>
      <w:r w:rsidR="00E31904" w:rsidRPr="00A43421">
        <w:rPr>
          <w:rFonts w:ascii="Times New Roman" w:eastAsia="Times New Roman" w:hAnsi="Times New Roman" w:cs="Times New Roman"/>
          <w:color w:val="000000" w:themeColor="text1"/>
          <w:sz w:val="24"/>
          <w:szCs w:val="24"/>
        </w:rPr>
        <w:t xml:space="preserve"> obese and a further 14.4% </w:t>
      </w:r>
      <w:r w:rsidR="006576E1" w:rsidRPr="00A43421">
        <w:rPr>
          <w:rFonts w:ascii="Times New Roman" w:eastAsia="Times New Roman" w:hAnsi="Times New Roman" w:cs="Times New Roman"/>
          <w:color w:val="000000" w:themeColor="text1"/>
          <w:sz w:val="24"/>
          <w:szCs w:val="24"/>
        </w:rPr>
        <w:t>are</w:t>
      </w:r>
      <w:r w:rsidR="00E31904" w:rsidRPr="00A43421">
        <w:rPr>
          <w:rFonts w:ascii="Times New Roman" w:eastAsia="Times New Roman" w:hAnsi="Times New Roman" w:cs="Times New Roman"/>
          <w:color w:val="000000" w:themeColor="text1"/>
          <w:sz w:val="24"/>
          <w:szCs w:val="24"/>
        </w:rPr>
        <w:t xml:space="preserve"> overweight</w:t>
      </w:r>
      <w:r w:rsidR="00E31904" w:rsidRPr="00A43421">
        <w:rPr>
          <w:rFonts w:ascii="Times New Roman" w:eastAsia="Times New Roman" w:hAnsi="Times New Roman" w:cs="Times New Roman"/>
          <w:color w:val="000000" w:themeColor="text1"/>
          <w:sz w:val="24"/>
          <w:szCs w:val="24"/>
          <w:vertAlign w:val="superscript"/>
        </w:rPr>
        <w:fldChar w:fldCharType="begin" w:fldLock="1"/>
      </w:r>
      <w:r w:rsidR="001B2983" w:rsidRPr="00A43421">
        <w:rPr>
          <w:rFonts w:ascii="Times New Roman" w:eastAsia="Times New Roman" w:hAnsi="Times New Roman" w:cs="Times New Roman"/>
          <w:color w:val="000000" w:themeColor="text1"/>
          <w:sz w:val="24"/>
          <w:szCs w:val="24"/>
          <w:vertAlign w:val="superscript"/>
        </w:rPr>
        <w:instrText>ADDIN CSL_CITATION { "citationItems" : [ { "id" : "ITEM-1", "itemData" : { "author" : [ { "dropping-particle" : "", "family" : "Health and Social Care Information Centre", "given" : "", "non-dropping-particle" : "", "parse-names" : false, "suffix" : "" } ], "id" : "ITEM-1", "issued" : { "date-parts" : [ [ "2014" ] ] }, "title" : "National Child Measurement Programme: England, 2013/2014 school year", "type" : "report" }, "uris" : [ "http://www.mendeley.com/documents/?uuid=437ded7c-abc5-4c1a-a329-8b875e45384f" ] } ], "mendeley" : { "formattedCitation" : "(60)", "plainTextFormattedCitation" : "(60)", "previouslyFormattedCitation" : "(60)" }, "properties" : { "noteIndex" : 0 }, "schema" : "https://github.com/citation-style-language/schema/raw/master/csl-citation.json" }</w:instrText>
      </w:r>
      <w:r w:rsidR="00E31904" w:rsidRPr="00A43421">
        <w:rPr>
          <w:rFonts w:ascii="Times New Roman" w:eastAsia="Times New Roman" w:hAnsi="Times New Roman" w:cs="Times New Roman"/>
          <w:color w:val="000000" w:themeColor="text1"/>
          <w:sz w:val="24"/>
          <w:szCs w:val="24"/>
          <w:vertAlign w:val="superscript"/>
        </w:rPr>
        <w:fldChar w:fldCharType="separate"/>
      </w:r>
      <w:r w:rsidR="001B2983" w:rsidRPr="00A43421">
        <w:rPr>
          <w:rFonts w:ascii="Times New Roman" w:eastAsia="Times New Roman" w:hAnsi="Times New Roman" w:cs="Times New Roman"/>
          <w:noProof/>
          <w:color w:val="000000" w:themeColor="text1"/>
          <w:sz w:val="24"/>
          <w:szCs w:val="24"/>
          <w:vertAlign w:val="superscript"/>
        </w:rPr>
        <w:t>(60)</w:t>
      </w:r>
      <w:r w:rsidR="00E31904" w:rsidRPr="00A43421">
        <w:rPr>
          <w:rFonts w:ascii="Times New Roman" w:eastAsia="Times New Roman" w:hAnsi="Times New Roman" w:cs="Times New Roman"/>
          <w:color w:val="000000" w:themeColor="text1"/>
          <w:sz w:val="24"/>
          <w:szCs w:val="24"/>
          <w:vertAlign w:val="superscript"/>
        </w:rPr>
        <w:fldChar w:fldCharType="end"/>
      </w:r>
      <w:r w:rsidR="00E31904" w:rsidRPr="00A43421">
        <w:rPr>
          <w:rFonts w:ascii="Times New Roman" w:hAnsi="Times New Roman" w:cs="Times New Roman"/>
          <w:color w:val="000000" w:themeColor="text1"/>
          <w:sz w:val="24"/>
          <w:szCs w:val="24"/>
        </w:rPr>
        <w:t xml:space="preserve">. However it is particularly interesting that proportionately nearly double the amount of children in the CME group were overweight/obese compared to </w:t>
      </w:r>
      <w:r w:rsidR="00FA2BBA" w:rsidRPr="00A43421">
        <w:rPr>
          <w:rFonts w:ascii="Times New Roman" w:hAnsi="Times New Roman" w:cs="Times New Roman"/>
          <w:color w:val="000000" w:themeColor="text1"/>
          <w:sz w:val="24"/>
          <w:szCs w:val="24"/>
        </w:rPr>
        <w:t>the control group</w:t>
      </w:r>
      <w:r w:rsidR="00493720" w:rsidRPr="00A43421">
        <w:rPr>
          <w:rFonts w:ascii="Times New Roman" w:hAnsi="Times New Roman" w:cs="Times New Roman"/>
          <w:color w:val="000000" w:themeColor="text1"/>
          <w:sz w:val="24"/>
          <w:szCs w:val="24"/>
        </w:rPr>
        <w:t>, although this difference was not statistically significant</w:t>
      </w:r>
      <w:r w:rsidR="00FA2BBA" w:rsidRPr="00A43421">
        <w:rPr>
          <w:rFonts w:ascii="Times New Roman" w:hAnsi="Times New Roman" w:cs="Times New Roman"/>
          <w:color w:val="000000" w:themeColor="text1"/>
          <w:sz w:val="24"/>
          <w:szCs w:val="24"/>
        </w:rPr>
        <w:t>. Meyer et al.</w:t>
      </w:r>
      <w:r w:rsidR="00FA2BBA" w:rsidRPr="00A43421">
        <w:rPr>
          <w:rFonts w:ascii="Times New Roman" w:hAnsi="Times New Roman" w:cs="Times New Roman"/>
          <w:color w:val="000000" w:themeColor="text1"/>
          <w:sz w:val="24"/>
          <w:szCs w:val="24"/>
          <w:vertAlign w:val="superscript"/>
        </w:rPr>
        <w:fldChar w:fldCharType="begin" w:fldLock="1"/>
      </w:r>
      <w:r w:rsidR="00FA2BBA" w:rsidRPr="00A43421">
        <w:rPr>
          <w:rFonts w:ascii="Times New Roman" w:hAnsi="Times New Roman" w:cs="Times New Roman"/>
          <w:color w:val="000000" w:themeColor="text1"/>
          <w:sz w:val="24"/>
          <w:szCs w:val="24"/>
          <w:vertAlign w:val="superscript"/>
        </w:rPr>
        <w:instrText>ADDIN CSL_CITATION { "citationItems" : [ { "id" : "ITEM-1", "itemData" : { "DOI" : "10.1111/jhn.12149", "ISSN" : "1365277X", "PMID" : "23937486", "abstract" : "BACKGROUND: The mainstay of dietary management of food allergies remains the elimination diet. However, the removal of major food groups may predispose children to an inadequate nutrient intake. We therefore set out to establish growth status in food allergic children receiving dietetic input in the UK.\\n\\nMETHODS: Dietitians were approached via the Food Allergy and Intolerance Specialist Group from the British Dietetic Association and asked to submit anthropometrical data for children with food allergies. Data collected related to the systems involved and number of foods excluded. Malnutrition was defined according to World Health Organization standards.\\n\\nRESULTS: Data from 13 different centres yielded 97 patients (51 male and 46 female) of which 66 excluded \u22642 foods and 31 excluded \u22653 foods. Data indicated that 8.5% had a weight for age \u2264\u00a0-2 Z-score and, conversely, 8.5% were \u22652 Z-score. For height for age, 11.1% were \u2264\u00a0-2 Z-score and, for weight for height, 3.7% were \u2264\u00a0-2 Z-score and 7.5% \u22652 Z-score. Type of allergy, system involved and specific food elimination did not impact on the level of malnutrition. However, the elimination of \u22653 foods significantly impacted on weight for age (P\u00a0=\u00a00.044).\\n\\nCONCLUSIONS: The present study demonstrates that children with food allergies are more underweight than the general UK population, which appears to be linked to the number of foods excluded. However, the impact of the disease process itself should not be disregarded. Additionally, obesity can also occur in this population despite dietary elimination.", "author" : [ { "dropping-particle" : "", "family" : "Meyer", "given" : "R.", "non-dropping-particle" : "", "parse-names" : false, "suffix" : "" }, { "dropping-particle" : "", "family" : "Koker", "given" : "C.", "non-dropping-particle" : "De", "parse-names" : false, "suffix" : "" }, { "dropping-particle" : "", "family" : "Dziubak", "given" : "R.", "non-dropping-particle" : "", "parse-names" : false, "suffix" : "" }, { "dropping-particle" : "", "family" : "Venter", "given" : "C.", "non-dropping-particle" : "", "parse-names" : false, "suffix" : "" }, { "dropping-particle" : "", "family" : "Dominguez-Ortega", "given" : "G.", "non-dropping-particle" : "", "parse-names" : false, "suffix" : "" }, { "dropping-particle" : "", "family" : "Cutts", "given" : "R.", "non-dropping-particle" : "", "parse-names" : false, "suffix" : "" }, { "dropping-particle" : "", "family" : "Yerlett", "given" : "N.", "non-dropping-particle" : "", "parse-names" : false, "suffix" : "" }, { "dropping-particle" : "", "family" : "Skrapak", "given" : "A. K.", "non-dropping-particle" : "", "parse-names" : false, "suffix" : "" }, { "dropping-particle" : "", "family" : "Fox", "given" : "A. T.", "non-dropping-particle" : "", "parse-names" : false, "suffix" : "" }, { "dropping-particle" : "", "family" : "Shah", "given" : "N.", "non-dropping-particle" : "", "parse-names" : false, "suffix" : "" } ], "container-title" : "Journal of Human Nutrition and Dietetics", "id" : "ITEM-1", "issue" : "3", "issued" : { "date-parts" : [ [ "2014" ] ] }, "page" : "227-235", "title" : "Malnutrition in children with food allergies in the UK", "type" : "article-journal", "volume" : "27" }, "uris" : [ "http://www.mendeley.com/documents/?uuid=3fd4c702-75db-4de4-acfa-05e31c3da5af" ] } ], "mendeley" : { "formattedCitation" : "(55)", "plainTextFormattedCitation" : "(55)" }, "properties" : { "noteIndex" : 0 }, "schema" : "https://github.com/citation-style-language/schema/raw/master/csl-citation.json" }</w:instrText>
      </w:r>
      <w:r w:rsidR="00FA2BBA" w:rsidRPr="00A43421">
        <w:rPr>
          <w:rFonts w:ascii="Times New Roman" w:hAnsi="Times New Roman" w:cs="Times New Roman"/>
          <w:color w:val="000000" w:themeColor="text1"/>
          <w:sz w:val="24"/>
          <w:szCs w:val="24"/>
          <w:vertAlign w:val="superscript"/>
        </w:rPr>
        <w:fldChar w:fldCharType="separate"/>
      </w:r>
      <w:r w:rsidR="00FA2BBA" w:rsidRPr="00A43421">
        <w:rPr>
          <w:rFonts w:ascii="Times New Roman" w:hAnsi="Times New Roman" w:cs="Times New Roman"/>
          <w:noProof/>
          <w:color w:val="000000" w:themeColor="text1"/>
          <w:sz w:val="24"/>
          <w:szCs w:val="24"/>
          <w:vertAlign w:val="superscript"/>
        </w:rPr>
        <w:t>(55)</w:t>
      </w:r>
      <w:r w:rsidR="00FA2BBA" w:rsidRPr="00A43421">
        <w:rPr>
          <w:rFonts w:ascii="Times New Roman" w:hAnsi="Times New Roman" w:cs="Times New Roman"/>
          <w:color w:val="000000" w:themeColor="text1"/>
          <w:sz w:val="24"/>
          <w:szCs w:val="24"/>
          <w:vertAlign w:val="superscript"/>
        </w:rPr>
        <w:fldChar w:fldCharType="end"/>
      </w:r>
      <w:r w:rsidR="00FA2BBA" w:rsidRPr="00A43421">
        <w:rPr>
          <w:rFonts w:ascii="Times New Roman" w:hAnsi="Times New Roman" w:cs="Times New Roman"/>
          <w:color w:val="000000" w:themeColor="text1"/>
          <w:sz w:val="24"/>
          <w:szCs w:val="24"/>
        </w:rPr>
        <w:t xml:space="preserve"> </w:t>
      </w:r>
      <w:r w:rsidR="00E31904" w:rsidRPr="00A43421">
        <w:rPr>
          <w:rFonts w:ascii="Times New Roman" w:hAnsi="Times New Roman" w:cs="Times New Roman"/>
          <w:color w:val="000000" w:themeColor="text1"/>
          <w:sz w:val="24"/>
          <w:szCs w:val="24"/>
        </w:rPr>
        <w:t xml:space="preserve">has previously identified that obesity is an increasing concern in children with food allergy and that the emphasis should not always be on under nutrition. </w:t>
      </w:r>
      <w:r w:rsidR="00114593" w:rsidRPr="00A43421">
        <w:rPr>
          <w:rFonts w:ascii="Times New Roman" w:hAnsi="Times New Roman" w:cs="Times New Roman"/>
          <w:color w:val="000000" w:themeColor="text1"/>
          <w:sz w:val="24"/>
          <w:szCs w:val="24"/>
        </w:rPr>
        <w:t xml:space="preserve">As </w:t>
      </w:r>
      <w:r w:rsidRPr="00A43421">
        <w:rPr>
          <w:rFonts w:ascii="Times New Roman" w:hAnsi="Times New Roman" w:cs="Times New Roman"/>
          <w:color w:val="000000" w:themeColor="text1"/>
          <w:sz w:val="24"/>
          <w:szCs w:val="24"/>
        </w:rPr>
        <w:t xml:space="preserve">we </w:t>
      </w:r>
      <w:r w:rsidR="00114593" w:rsidRPr="00A43421">
        <w:rPr>
          <w:rFonts w:ascii="Times New Roman" w:hAnsi="Times New Roman" w:cs="Times New Roman"/>
          <w:color w:val="000000" w:themeColor="text1"/>
          <w:sz w:val="24"/>
          <w:szCs w:val="24"/>
        </w:rPr>
        <w:t xml:space="preserve">did not measure body composition or </w:t>
      </w:r>
      <w:r w:rsidR="006576E1" w:rsidRPr="00A43421">
        <w:rPr>
          <w:rFonts w:ascii="Times New Roman" w:hAnsi="Times New Roman" w:cs="Times New Roman"/>
          <w:color w:val="000000" w:themeColor="text1"/>
          <w:sz w:val="24"/>
          <w:szCs w:val="24"/>
        </w:rPr>
        <w:t>account for physical activity</w:t>
      </w:r>
      <w:r w:rsidR="00114593" w:rsidRPr="00A43421">
        <w:rPr>
          <w:rFonts w:ascii="Times New Roman" w:hAnsi="Times New Roman" w:cs="Times New Roman"/>
          <w:color w:val="000000" w:themeColor="text1"/>
          <w:sz w:val="24"/>
          <w:szCs w:val="24"/>
        </w:rPr>
        <w:t xml:space="preserve">, it is not possible to </w:t>
      </w:r>
      <w:r w:rsidR="00CE28A9" w:rsidRPr="00A43421">
        <w:rPr>
          <w:rFonts w:ascii="Times New Roman" w:hAnsi="Times New Roman" w:cs="Times New Roman"/>
          <w:color w:val="000000" w:themeColor="text1"/>
          <w:sz w:val="24"/>
          <w:szCs w:val="24"/>
        </w:rPr>
        <w:t>determine</w:t>
      </w:r>
      <w:r w:rsidR="00114593" w:rsidRPr="00A43421">
        <w:rPr>
          <w:rFonts w:ascii="Times New Roman" w:hAnsi="Times New Roman" w:cs="Times New Roman"/>
          <w:color w:val="000000" w:themeColor="text1"/>
          <w:sz w:val="24"/>
          <w:szCs w:val="24"/>
        </w:rPr>
        <w:t xml:space="preserve"> the reason for the</w:t>
      </w:r>
      <w:r w:rsidR="00185688" w:rsidRPr="00A43421">
        <w:rPr>
          <w:rFonts w:ascii="Times New Roman" w:hAnsi="Times New Roman" w:cs="Times New Roman"/>
          <w:color w:val="000000" w:themeColor="text1"/>
          <w:sz w:val="24"/>
          <w:szCs w:val="24"/>
        </w:rPr>
        <w:t xml:space="preserve"> larger</w:t>
      </w:r>
      <w:r w:rsidR="00114593" w:rsidRPr="00A43421">
        <w:rPr>
          <w:rFonts w:ascii="Times New Roman" w:hAnsi="Times New Roman" w:cs="Times New Roman"/>
          <w:color w:val="000000" w:themeColor="text1"/>
          <w:sz w:val="24"/>
          <w:szCs w:val="24"/>
        </w:rPr>
        <w:t xml:space="preserve"> </w:t>
      </w:r>
      <w:r w:rsidR="00185688" w:rsidRPr="00A43421">
        <w:rPr>
          <w:rFonts w:ascii="Times New Roman" w:hAnsi="Times New Roman" w:cs="Times New Roman"/>
          <w:color w:val="000000" w:themeColor="text1"/>
          <w:sz w:val="24"/>
          <w:szCs w:val="24"/>
        </w:rPr>
        <w:t>proportion</w:t>
      </w:r>
      <w:r w:rsidR="00114593" w:rsidRPr="00A43421">
        <w:rPr>
          <w:rFonts w:ascii="Times New Roman" w:hAnsi="Times New Roman" w:cs="Times New Roman"/>
          <w:color w:val="000000" w:themeColor="text1"/>
          <w:sz w:val="24"/>
          <w:szCs w:val="24"/>
        </w:rPr>
        <w:t xml:space="preserve"> of overweight and obese children in the CME category. However</w:t>
      </w:r>
      <w:r w:rsidR="00DB7BEC" w:rsidRPr="00A43421">
        <w:rPr>
          <w:rFonts w:ascii="Times New Roman" w:hAnsi="Times New Roman" w:cs="Times New Roman"/>
          <w:color w:val="000000" w:themeColor="text1"/>
          <w:sz w:val="24"/>
          <w:szCs w:val="24"/>
        </w:rPr>
        <w:t>,</w:t>
      </w:r>
      <w:r w:rsidR="00114593" w:rsidRPr="00A43421">
        <w:rPr>
          <w:rFonts w:ascii="Times New Roman" w:hAnsi="Times New Roman" w:cs="Times New Roman"/>
          <w:color w:val="000000" w:themeColor="text1"/>
          <w:sz w:val="24"/>
          <w:szCs w:val="24"/>
        </w:rPr>
        <w:t xml:space="preserve"> it is clearly an area that requires further examination.</w:t>
      </w:r>
    </w:p>
    <w:p w14:paraId="67430182" w14:textId="3F0A7041" w:rsidR="0018479C" w:rsidRPr="00083A30" w:rsidRDefault="00B43E0F" w:rsidP="00083A30">
      <w:pPr>
        <w:spacing w:line="360" w:lineRule="auto"/>
        <w:ind w:firstLine="720"/>
        <w:jc w:val="both"/>
        <w:rPr>
          <w:rFonts w:ascii="Times New Roman" w:hAnsi="Times New Roman" w:cs="Times New Roman"/>
          <w:sz w:val="24"/>
          <w:szCs w:val="24"/>
        </w:rPr>
      </w:pPr>
      <w:r w:rsidRPr="00A43421">
        <w:rPr>
          <w:rFonts w:ascii="Times New Roman" w:hAnsi="Times New Roman" w:cs="Times New Roman"/>
          <w:color w:val="000000" w:themeColor="text1"/>
          <w:sz w:val="24"/>
          <w:szCs w:val="24"/>
        </w:rPr>
        <w:t xml:space="preserve">There are </w:t>
      </w:r>
      <w:r w:rsidR="003E4DC9" w:rsidRPr="00A43421">
        <w:rPr>
          <w:rFonts w:ascii="Times New Roman" w:hAnsi="Times New Roman" w:cs="Times New Roman"/>
          <w:color w:val="000000" w:themeColor="text1"/>
          <w:sz w:val="24"/>
          <w:szCs w:val="24"/>
        </w:rPr>
        <w:t>both</w:t>
      </w:r>
      <w:r w:rsidRPr="00A43421">
        <w:rPr>
          <w:rFonts w:ascii="Times New Roman" w:hAnsi="Times New Roman" w:cs="Times New Roman"/>
          <w:color w:val="000000" w:themeColor="text1"/>
          <w:sz w:val="24"/>
          <w:szCs w:val="24"/>
        </w:rPr>
        <w:t xml:space="preserve"> limitations </w:t>
      </w:r>
      <w:r w:rsidR="003E4DC9" w:rsidRPr="00A43421">
        <w:rPr>
          <w:rFonts w:ascii="Times New Roman" w:hAnsi="Times New Roman" w:cs="Times New Roman"/>
          <w:color w:val="000000" w:themeColor="text1"/>
          <w:sz w:val="24"/>
          <w:szCs w:val="24"/>
        </w:rPr>
        <w:t xml:space="preserve">and strengths </w:t>
      </w:r>
      <w:r w:rsidRPr="00A43421">
        <w:rPr>
          <w:rFonts w:ascii="Times New Roman" w:hAnsi="Times New Roman" w:cs="Times New Roman"/>
          <w:color w:val="000000" w:themeColor="text1"/>
          <w:sz w:val="24"/>
          <w:szCs w:val="24"/>
        </w:rPr>
        <w:t>to this study.</w:t>
      </w:r>
      <w:r w:rsidR="003E4DC9" w:rsidRPr="00A43421">
        <w:rPr>
          <w:rFonts w:ascii="Times New Roman" w:hAnsi="Times New Roman" w:cs="Times New Roman"/>
          <w:color w:val="000000" w:themeColor="text1"/>
          <w:sz w:val="24"/>
          <w:szCs w:val="24"/>
        </w:rPr>
        <w:t xml:space="preserve"> The taste preference methodology used, although basic and simple in approach and exploratory in nature, used validated scales and dilution of taste substrates that have previously been identified a</w:t>
      </w:r>
      <w:r w:rsidR="00FD6C09" w:rsidRPr="00A43421">
        <w:rPr>
          <w:rFonts w:ascii="Times New Roman" w:hAnsi="Times New Roman" w:cs="Times New Roman"/>
          <w:color w:val="000000" w:themeColor="text1"/>
          <w:sz w:val="24"/>
          <w:szCs w:val="24"/>
        </w:rPr>
        <w:t>s appropriate in this age group</w:t>
      </w:r>
      <w:r w:rsidR="003E4DC9"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"10.1038/ijo.2011.45", "ISBN" : "1476-5497 (Electronic)\\n0307-0565 (Linking)", "ISSN" : "1476-5497", "PMID" : "21483413", "abstract" : "The 5-year multilevel epidemiological IDEFICS (Identification and prevention of dietary- and lifestyle-induced health effects in children and infants) study, launched under the Sixth Framework Programme of the European Commission, aims at counteracting the epidemic of dietary- and lifestyle-induced adverse health effects in children. To reveal possible links between overweight/obesity in childhood with taste sensitivity and taste preferences, special procedures were developed for application at the European level. This paper presents these newly developed procedures.", "author" : [ { "dropping-particle" : "", "family" : "Knof", "given" : "K", "non-dropping-particle" : "", "parse-names" : false, "suffix" : "" }, { "dropping-particle" : "", "family" : "Lanfer", "given" : "A", "non-dropping-particle" : "", "parse-names" : false, "suffix" : "" }, { "dropping-particle" : "", "family" : "Bildstein", "given" : "M O", "non-dropping-particle" : "", "parse-names" : false, "suffix" : "" }, { "dropping-particle" : "", "family" : "Buchecker", "given" : "K", "non-dropping-particle" : "", "parse-names" : false, "suffix" : "" }, { "dropping-particle" : "", "family" : "Hilz", "given" : "H", "non-dropping-particle" : "", "parse-names" : false, "suffix" : "" } ], "container-title" : "International journal of obesity (2005)", "id" : "ITEM-1", "issued" : { "date-parts" : [ [ "2011" ] ] }, "page" : "S131-S136", "title" : "Development of a method to measure sensory perception in children at the European level.", "type" : "article-journal", "volume" : "35 Suppl 1" }, "uris" : [ "http://www.mendeley.com/documents/?uuid=c28851e9-2948-414e-8ca0-380ff2a4c403" ] }, { "id" : "ITEM-2", "itemData" : { "author" : [ { "dropping-particle" : "", "family" : "Kroll", "given" : "B", "non-dropping-particle" : "", "parse-names" : false, "suffix" : "" } ], "container-title" : "Food Technology", "id" : "ITEM-2", "issue" : "11", "issued" : { "date-parts" : [ [ "1990" ] ] }, "page" : "78-86", "title" : "Evaluating rating scales for sensory testing with children", "type" : "article-journal", "volume" : "44" }, "uris" : [ "http://www.mendeley.com/documents/?uuid=23d8a7de-12d9-4675-a931-00f5dc920577" ] } ], "mendeley" : { "formattedCitation" : "(32,61)", "plainTextFormattedCitation" : "(32,61)", "previouslyFormattedCitation" : "(32,61)" }, "properties" : { "noteIndex" : 0 }, "schema" : "https://github.com/citation-style-language/schema/raw/master/csl-citation.json" }</w:instrText>
      </w:r>
      <w:r w:rsidR="003E4DC9"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(32,61)</w:t>
      </w:r>
      <w:r w:rsidR="003E4DC9" w:rsidRPr="00A43421">
        <w:rPr>
          <w:rFonts w:ascii="Times New Roman" w:hAnsi="Times New Roman" w:cs="Times New Roman"/>
          <w:color w:val="000000" w:themeColor="text1"/>
          <w:sz w:val="24"/>
          <w:szCs w:val="24"/>
          <w:vertAlign w:val="superscript"/>
        </w:rPr>
        <w:fldChar w:fldCharType="end"/>
      </w:r>
      <w:r w:rsidR="003E4DC9" w:rsidRPr="00A43421">
        <w:rPr>
          <w:rFonts w:ascii="Times New Roman" w:hAnsi="Times New Roman" w:cs="Times New Roman"/>
          <w:color w:val="000000" w:themeColor="text1"/>
          <w:sz w:val="24"/>
          <w:szCs w:val="24"/>
        </w:rPr>
        <w:t xml:space="preserve">. Perhaps </w:t>
      </w:r>
      <w:r w:rsidR="006576E1" w:rsidRPr="00A43421">
        <w:rPr>
          <w:rFonts w:ascii="Times New Roman" w:hAnsi="Times New Roman" w:cs="Times New Roman"/>
          <w:color w:val="000000" w:themeColor="text1"/>
          <w:sz w:val="24"/>
          <w:szCs w:val="24"/>
        </w:rPr>
        <w:t>using</w:t>
      </w:r>
      <w:r w:rsidR="003E4DC9" w:rsidRPr="00A43421">
        <w:rPr>
          <w:rFonts w:ascii="Times New Roman" w:hAnsi="Times New Roman" w:cs="Times New Roman"/>
          <w:color w:val="000000" w:themeColor="text1"/>
          <w:sz w:val="24"/>
          <w:szCs w:val="24"/>
        </w:rPr>
        <w:t xml:space="preserve"> food rather than water would have provided more meaningful implications, however sensory research in children </w:t>
      </w:r>
      <w:r w:rsidR="00FD6C09" w:rsidRPr="00A43421">
        <w:rPr>
          <w:rFonts w:ascii="Times New Roman" w:hAnsi="Times New Roman" w:cs="Times New Roman"/>
          <w:color w:val="000000" w:themeColor="text1"/>
          <w:sz w:val="24"/>
          <w:szCs w:val="24"/>
        </w:rPr>
        <w:t>is complex and labour intensive</w:t>
      </w:r>
      <w:r w:rsidR="003E4DC9"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"author" : [ { "dropping-particle" : "", "family" : "Popper", "given" : "Richard", "non-dropping-particle" : "", "parse-names" : false, "suffix" : "" }, { "dropping-particle" : "", "family" : "Kroll", "given" : "Jeffrey J", "non-dropping-particle" : "", "parse-names" : false, "suffix" : "" } ], "id" : "ITEM-1", "issued" : { "date-parts" : [ [ "2005" ] ] }, "page" : "75-87", "title" : "Issues and Viewpoints Conducting Sensory Research With Children", "type" : "article-journal", "volume" : "20" }, "uris" : [ "http://www.mendeley.com/documents/?uuid=04dce1ed-3ede-4b9f-acee-731f71787d0d" ] } ], "mendeley" : { "formattedCitation" : "(33)", "plainTextFormattedCitation" : "(33)", "previouslyFormattedCitation" : "(33)" }, "properties" : { "noteIndex" : 0 }, "schema" : "https://github.com/citation-style-language/schema/raw/master/csl-citation.json" }</w:instrText>
      </w:r>
      <w:r w:rsidR="003E4DC9"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(33)</w:t>
      </w:r>
      <w:r w:rsidR="003E4DC9" w:rsidRPr="00A43421">
        <w:rPr>
          <w:rFonts w:ascii="Times New Roman" w:hAnsi="Times New Roman" w:cs="Times New Roman"/>
          <w:color w:val="000000" w:themeColor="text1"/>
          <w:sz w:val="24"/>
          <w:szCs w:val="24"/>
          <w:vertAlign w:val="superscript"/>
        </w:rPr>
        <w:fldChar w:fldCharType="end"/>
      </w:r>
      <w:r w:rsidR="003E4DC9" w:rsidRPr="00A43421">
        <w:rPr>
          <w:rFonts w:ascii="Times New Roman" w:hAnsi="Times New Roman" w:cs="Times New Roman"/>
          <w:color w:val="000000" w:themeColor="text1"/>
          <w:sz w:val="24"/>
          <w:szCs w:val="24"/>
        </w:rPr>
        <w:t xml:space="preserve">. </w:t>
      </w:r>
      <w:r w:rsidR="001253A2" w:rsidRPr="00A43421">
        <w:rPr>
          <w:rFonts w:ascii="Times New Roman" w:hAnsi="Times New Roman" w:cs="Times New Roman"/>
          <w:color w:val="000000" w:themeColor="text1"/>
          <w:sz w:val="24"/>
          <w:szCs w:val="24"/>
        </w:rPr>
        <w:t xml:space="preserve">We did not measure genetic perception of bitter taste. </w:t>
      </w:r>
      <w:r w:rsidR="003E4DC9" w:rsidRPr="00A43421">
        <w:rPr>
          <w:rFonts w:ascii="Times New Roman" w:hAnsi="Times New Roman" w:cs="Times New Roman"/>
          <w:color w:val="000000" w:themeColor="text1"/>
          <w:sz w:val="24"/>
          <w:szCs w:val="24"/>
        </w:rPr>
        <w:t xml:space="preserve">As with </w:t>
      </w:r>
      <w:r w:rsidR="0045424A" w:rsidRPr="00A43421">
        <w:rPr>
          <w:rFonts w:ascii="Times New Roman" w:hAnsi="Times New Roman" w:cs="Times New Roman"/>
          <w:color w:val="000000" w:themeColor="text1"/>
          <w:sz w:val="24"/>
          <w:szCs w:val="24"/>
        </w:rPr>
        <w:t>any</w:t>
      </w:r>
      <w:r w:rsidR="003E4DC9" w:rsidRPr="00A43421">
        <w:rPr>
          <w:rFonts w:ascii="Times New Roman" w:hAnsi="Times New Roman" w:cs="Times New Roman"/>
          <w:color w:val="000000" w:themeColor="text1"/>
          <w:sz w:val="24"/>
          <w:szCs w:val="24"/>
        </w:rPr>
        <w:t xml:space="preserve"> dietary assessment </w:t>
      </w:r>
      <w:r w:rsidR="0032019B" w:rsidRPr="00A43421">
        <w:rPr>
          <w:rFonts w:ascii="Times New Roman" w:hAnsi="Times New Roman" w:cs="Times New Roman"/>
          <w:color w:val="000000" w:themeColor="text1"/>
          <w:sz w:val="24"/>
          <w:szCs w:val="24"/>
        </w:rPr>
        <w:t>method</w:t>
      </w:r>
      <w:r w:rsidR="003E4DC9" w:rsidRPr="00A43421">
        <w:rPr>
          <w:rFonts w:ascii="Times New Roman" w:hAnsi="Times New Roman" w:cs="Times New Roman"/>
          <w:color w:val="000000" w:themeColor="text1"/>
          <w:sz w:val="24"/>
          <w:szCs w:val="24"/>
        </w:rPr>
        <w:t>, food diary recording and analysis are subject to error and bias</w:t>
      </w:r>
      <w:r w:rsidR="00561A67" w:rsidRPr="00A43421">
        <w:rPr>
          <w:rFonts w:ascii="Times New Roman" w:hAnsi="Times New Roman" w:cs="Times New Roman"/>
          <w:color w:val="000000" w:themeColor="text1"/>
          <w:sz w:val="24"/>
          <w:szCs w:val="24"/>
        </w:rPr>
        <w:t xml:space="preserve"> and there are difficulties using proxy r</w:t>
      </w:r>
      <w:r w:rsidR="00FD6C09" w:rsidRPr="00A43421">
        <w:rPr>
          <w:rFonts w:ascii="Times New Roman" w:hAnsi="Times New Roman" w:cs="Times New Roman"/>
          <w:color w:val="000000" w:themeColor="text1"/>
          <w:sz w:val="24"/>
          <w:szCs w:val="24"/>
        </w:rPr>
        <w:t>espondents for children</w:t>
      </w:r>
      <w:r w:rsidR="00561A67" w:rsidRPr="00A43421">
        <w:rPr>
          <w:rFonts w:ascii="Times New Roman" w:hAnsi="Times New Roman" w:cs="Times New Roman"/>
          <w:color w:val="000000" w:themeColor="text1"/>
          <w:sz w:val="24"/>
          <w:szCs w:val="24"/>
          <w:vertAlign w:val="superscript"/>
        </w:rPr>
        <w:fldChar w:fldCharType="begin" w:fldLock="1"/>
      </w:r>
      <w:r w:rsidR="001B2983" w:rsidRPr="00A43421">
        <w:rPr>
          <w:rFonts w:ascii="Times New Roman" w:hAnsi="Times New Roman" w:cs="Times New Roman"/>
          <w:color w:val="000000" w:themeColor="text1"/>
          <w:sz w:val="24"/>
          <w:szCs w:val="24"/>
          <w:vertAlign w:val="superscript"/>
        </w:rPr>
        <w:instrText>ADDIN CSL_CITATION { "citationItems" : [ { "id" : "ITEM-1", "itemData" : { "DOI" : "10.1079/BJN20041169", "ISBN" : "0007-1145", "ISSN" : "0007-1145", "PMID" : "15522159", "abstract" : "Studies of food habits and dietary intakes face a number of unique\\nrespondent and observer considerations at different stages from early\\nchildhood to late adolescence. Despite this, intakes have often been\\nreported as if valid, and the interpretation of links between intake and\\nhealth has been based, often erroneously, on the assumption of validity.\\nHowever, validation studies of energy intake data have led to the\\nwidespread recognition that much of the dietary data on children and\\nadolescents is prone to reporting error, mostly through under-reporting.\\nReporting error is influenced by body weight status and does not occur\\nsystematically across different age groups or different dietary survey\\ntechniques. It appears that the available methods for assessing the\\ndietary intakes of children are, at best, able to provide unbiased\\nestimates of energy intake only at the group level, while the food\\nintake data of most adolescents are particularly prone to reporting\\nerror at both the group and the individual level. Moreover, evidence for\\nthe existence of subject-specific responding in dietary assessments\\nchallenges the assumption that repeated measurements of dietary intake\\nwill eventually obtain valid data. Only limited progress has been made\\nin understanding the variables associated with misreporting in these age\\ngroups, the associated biases in estimating nutrient intakes and the\\nmost appropriate way to interpret unrepresentative dietary data. Until\\nthese issues are better understood, researchers should exercise\\nconsiderable caution when evaluating all such data.", "author" : [ { "dropping-particle" : "", "family" : "Livingstone", "given" : "M. B. E.", "non-dropping-particle" : "", "parse-names" : false, "suffix" : "" }, { "dropping-particle" : "", "family" : "Robson", "given" : "P. J.", "non-dropping-particle" : "", "parse-names" : false, "suffix" : "" }, { "dropping-particle" : "", "family" : "Wallace", "given" : "J. M. W.", "non-dropping-particle" : "", "parse-names" : false, "suffix" : "" }, { "dropping-particle" : "", "family" : "Livingstone M. B. E. Livingstone", "given" : "P J Robson J.M.W.Wallace", "non-dropping-particle" : "", "parse-names" : false, "suffix" : "" } ], "container-title" : "British Journal of Nutrition", "id" : "ITEM-1", "issue" : "S2", "issued" : { "date-parts" : [ [ "2004" ] ] }, "page" : "S213", "title" : "Issues in dietary intake assessment of children and adolescents", "type" : "article-journal", "volume" : "92" }, "uris" : [ "http://www.mendeley.com/documents/?uuid=a1f71086-f8c5-45a6-932f-b64c27009c94" ] }, { "id" : "ITEM-2", "itemData" : { "DOI" : "10.1017/S0029665100000318", "ISBN" : "0029-6651 (Print)\\n0029-6651 (Linking)", "ISSN" : "0029-6651", "PMID" : "10946797", "abstract" : "When children and adolescents are the target population in dietary surveys many different respondent and observer considerations surface. The cognitive abilities required to self-report food intake include an adequately developed concept of time, a good memory and attention span, and a knowledge of the names of foods. From the age of 8 years there is a rapid increase in the ability of children to self-report food intake. However, while cognitive abilities should be fully developed by adolescence, issues of motivation and body image may hinder willingness to report. Ten validation studies of energy intake data have demonstrated that mis-reporting, usually in the direction of under-reporting, is likely. Patterns of under-reporting vary with age, and are influenced by weight status and the dietary survey method used. Furthermore, evidence for the existence of subject-specific responding in dietary assessment challenges the assumption that repeated measurements of dietary intake will eventually obtain valid data. Unfortunately, the ability to detect mis-reporters, by comparison with presumed energy requirements, is limited unless detailed activity information is available to allow the energy intake of each subject to be evaluated individually. In addition, high variability in nutrient intakes implies that, if intakes are valid, prolonged dietary recording will be required to rank children correctly for distribution analysis. Future research should focus on refining dietary survey methods to make them more sensitive to different ages and cognitive abilities. The development of improved techniques for identification of mis-reporters and investigation of the issue of differential reporting of foods should also be given priority.", "author" : [ { "dropping-particle" : "", "family" : "Livingstone", "given" : "M B", "non-dropping-particle" : "", "parse-names" : false, "suffix" : "" }, { "dropping-particle" : "", "family" : "Robson", "given" : "P J", "non-dropping-particle" : "", "parse-names" : false, "suffix" : "" } ], "container-title" : "The Proceedings of the Nutrition Society", "id" : "ITEM-2", "issued" : { "date-parts" : [ [ "2000" ] ] }, "page" : "279-293", "title" : "Measurement of dietary intake in children.", "type" : "article-journal", "volume" : "59" }, "uris" : [ "http://www.mendeley.com/documents/?uuid=00df8645-ea58-40ee-a2fa-3e0e70047516" ] }, { "id" : "ITEM-3", "itemData" : { "DOI" : "10.1016/j.jada.2008.08.012", "ISBN" : "0002-8223 (Print)\r0002-8223 (Linking)", "ISSN" : "00028223", "PMID" : "18954576", "abstract" : "Background: Measuring children's dietary behavior is central to evaluating interventions and identifying predictors and outcomes of dietary behaviors. Systematic biases may obscure or inflate associations with self-reported intakes. Objective: To identify cognitive, behavioral, and social correlates of bias in children's reporting of breakfast items on a self-completion questionnaire. Design: Cross-sectional survey. Children completed standardized tests of episodic memory, working memory, and attention, and a questionnaire assessing attitudes toward breakfast. Teachers completed a classroom behavior measure. Associations between measures and children's underreporting of breakfast foods (ie, cereals, bread, milk, fruits, sweet items, and potato chips) on a self-completion questionnaire relative to validated 24-hour recall were examined. Subjects and setting: Subjects were aged 9 to 11 years (n=678). Data were collected from 111 schools throughout Wales in 2005. Results: A larger percentage of less-healthful breakfast items (ie, sweet snacks and potato chips) than more healthful items (ie, fruit, cereals, bread, and milk) were omitted from questionnaire self-reports. Children from lower socioeconomic status schools omitted more items than those from wealthier schools (Kruskal-Wallis H=12.51, P&lt;0.01), with omissions twice as high for less-healthful items than for more-healthful items within the lowest socioeconomic status schools. Those with positive attitudes (H=23.85, P&lt;0.001), better classroom behavior (H=6.26, P&lt;0.05), and better episodic memory (H=8.42, P&lt;0.05) omitted fewer items than those with negative attitudes, poorer behavior, and poorer episodic memory. Children who ate more items omitted more than those who ate fewer (H=47.65, P&lt;0.001). No differences were observed in terms of attention and working memory. Conclusions: Episodic memory, classroom behavior, attitudes, socioeconomic status, and total items consumed are associated with bias in questionnaire self reports. Such biases have implications for examination of associations between breakfast eating and cognitive and behavioral factors, examination of effect modification by socioeconomic status in intervention trials, and for the sensitivity of measures to detect intervention effects. ?? 2008 American Dietetic Association.", "author" : [ { "dropping-particle" : "", "family" : "Moore", "given" : "Graham F.", "non-dropping-particle" : "", "parse-names" : false, "suffix" : "" }, { "dropping-particle" : "", "family" : "Tapper", "given" : "Katy", "non-dropping-particle" : "", "parse-names" : false, "suffix" : "" }, { "dropping-particle" : "", "family" : "Moore", "given" : "Laurence", "non-dropping-particle" : "", "parse-names" : false, "suffix" : "" }, { "dropping-particle" : "", "family" : "Murphy", "given" : "Simon", "non-dropping-particle" : "", "parse-names" : false, "suffix" : "" } ], "container-title" : "Journal of the American Dietetic Association", "id" : "ITEM-3", "issue" : "11", "issued" : { "date-parts" : [ [ "2008" ] ] }, "page" : "1865-1873", "title" : "Cognitive, Behavioral, and Social Factors Are Associated with Bias in Dietary Questionnaire Self-Reports by Schoolchildren Aged 9 to 11 Years", "type" : "article-journal", "volume" : "108" }, "uris" : [ "http://www.mendeley.com/documents/?uuid=b7702ad5-e1c9-4ee2-b7e2-9990810e5062" ] } ], "mendeley" : { "formattedCitation" : "(62\u201364)", "plainTextFormattedCitation" : "(62\u201364)", "previouslyFormattedCitation" : "(62\u201364)" }, "properties" : { "noteIndex" : 0 }, "schema" : "https://github.com/citation-style-language/schema/raw/master/csl-citation.json" }</w:instrText>
      </w:r>
      <w:r w:rsidR="00561A67" w:rsidRPr="00A43421">
        <w:rPr>
          <w:rFonts w:ascii="Times New Roman" w:hAnsi="Times New Roman" w:cs="Times New Roman"/>
          <w:color w:val="000000" w:themeColor="text1"/>
          <w:sz w:val="24"/>
          <w:szCs w:val="24"/>
          <w:vertAlign w:val="superscript"/>
        </w:rPr>
        <w:fldChar w:fldCharType="separate"/>
      </w:r>
      <w:r w:rsidR="001B2983" w:rsidRPr="00A43421">
        <w:rPr>
          <w:rFonts w:ascii="Times New Roman" w:hAnsi="Times New Roman" w:cs="Times New Roman"/>
          <w:noProof/>
          <w:color w:val="000000" w:themeColor="text1"/>
          <w:sz w:val="24"/>
          <w:szCs w:val="24"/>
          <w:vertAlign w:val="superscript"/>
        </w:rPr>
        <w:t>(62–64)</w:t>
      </w:r>
      <w:r w:rsidR="00561A67" w:rsidRPr="00A43421">
        <w:rPr>
          <w:rFonts w:ascii="Times New Roman" w:hAnsi="Times New Roman" w:cs="Times New Roman"/>
          <w:color w:val="000000" w:themeColor="text1"/>
          <w:sz w:val="24"/>
          <w:szCs w:val="24"/>
          <w:vertAlign w:val="superscript"/>
        </w:rPr>
        <w:fldChar w:fldCharType="end"/>
      </w:r>
      <w:r w:rsidR="003E4DC9" w:rsidRPr="00A43421">
        <w:rPr>
          <w:rFonts w:ascii="Times New Roman" w:hAnsi="Times New Roman" w:cs="Times New Roman"/>
          <w:color w:val="000000" w:themeColor="text1"/>
          <w:sz w:val="24"/>
          <w:szCs w:val="24"/>
          <w:vertAlign w:val="superscript"/>
        </w:rPr>
        <w:t>.</w:t>
      </w:r>
      <w:r w:rsidR="003E4DC9" w:rsidRPr="00A43421">
        <w:rPr>
          <w:rFonts w:ascii="Times New Roman" w:hAnsi="Times New Roman" w:cs="Times New Roman"/>
          <w:color w:val="000000" w:themeColor="text1"/>
          <w:sz w:val="24"/>
          <w:szCs w:val="24"/>
        </w:rPr>
        <w:t xml:space="preserve"> </w:t>
      </w:r>
      <w:r w:rsidR="00561A67" w:rsidRPr="00A43421">
        <w:rPr>
          <w:rFonts w:ascii="Times New Roman" w:hAnsi="Times New Roman" w:cs="Times New Roman"/>
          <w:color w:val="000000" w:themeColor="text1"/>
          <w:sz w:val="24"/>
          <w:szCs w:val="24"/>
        </w:rPr>
        <w:t xml:space="preserve">Use of electronic tools may </w:t>
      </w:r>
      <w:r w:rsidR="0045424A" w:rsidRPr="00A43421">
        <w:rPr>
          <w:rFonts w:ascii="Times New Roman" w:hAnsi="Times New Roman" w:cs="Times New Roman"/>
          <w:color w:val="000000" w:themeColor="text1"/>
          <w:sz w:val="24"/>
          <w:szCs w:val="24"/>
        </w:rPr>
        <w:t>yield</w:t>
      </w:r>
      <w:r w:rsidR="00561A67" w:rsidRPr="00A43421">
        <w:rPr>
          <w:rFonts w:ascii="Times New Roman" w:hAnsi="Times New Roman" w:cs="Times New Roman"/>
          <w:color w:val="000000" w:themeColor="text1"/>
          <w:sz w:val="24"/>
          <w:szCs w:val="24"/>
        </w:rPr>
        <w:t xml:space="preserve"> improved accuracy and response rate</w:t>
      </w:r>
      <w:r w:rsidR="0045424A" w:rsidRPr="00A43421">
        <w:rPr>
          <w:rFonts w:ascii="Times New Roman" w:hAnsi="Times New Roman" w:cs="Times New Roman"/>
          <w:color w:val="000000" w:themeColor="text1"/>
          <w:sz w:val="24"/>
          <w:szCs w:val="24"/>
        </w:rPr>
        <w:t>s</w:t>
      </w:r>
      <w:r w:rsidR="00044ACE" w:rsidRPr="00A43421">
        <w:rPr>
          <w:rFonts w:ascii="Times New Roman" w:hAnsi="Times New Roman" w:cs="Times New Roman"/>
          <w:color w:val="000000" w:themeColor="text1"/>
          <w:sz w:val="24"/>
          <w:szCs w:val="24"/>
        </w:rPr>
        <w:t>.</w:t>
      </w:r>
      <w:r w:rsidR="006576E1" w:rsidRPr="00A43421">
        <w:rPr>
          <w:rFonts w:ascii="Times New Roman" w:hAnsi="Times New Roman" w:cs="Times New Roman"/>
          <w:color w:val="000000" w:themeColor="text1"/>
          <w:sz w:val="24"/>
          <w:szCs w:val="24"/>
        </w:rPr>
        <w:t xml:space="preserve"> </w:t>
      </w:r>
      <w:r w:rsidR="003E4DC9" w:rsidRPr="00A43421">
        <w:rPr>
          <w:rFonts w:ascii="Times New Roman" w:hAnsi="Times New Roman" w:cs="Times New Roman"/>
          <w:color w:val="000000" w:themeColor="text1"/>
          <w:sz w:val="24"/>
          <w:szCs w:val="24"/>
        </w:rPr>
        <w:t>However, all analyses and</w:t>
      </w:r>
      <w:r w:rsidR="0018479C" w:rsidRPr="00A43421">
        <w:rPr>
          <w:rFonts w:ascii="Times New Roman" w:hAnsi="Times New Roman" w:cs="Times New Roman"/>
          <w:color w:val="000000" w:themeColor="text1"/>
          <w:sz w:val="24"/>
          <w:szCs w:val="24"/>
        </w:rPr>
        <w:t xml:space="preserve"> measurements were conducted by the same researcher to minimise error.</w:t>
      </w:r>
      <w:r w:rsidR="003E4DC9" w:rsidRPr="00A43421">
        <w:rPr>
          <w:rFonts w:ascii="Times New Roman" w:hAnsi="Times New Roman" w:cs="Times New Roman"/>
          <w:color w:val="000000" w:themeColor="text1"/>
          <w:sz w:val="24"/>
          <w:szCs w:val="24"/>
        </w:rPr>
        <w:t xml:space="preserve"> </w:t>
      </w:r>
      <w:r w:rsidR="0045424A" w:rsidRPr="00A43421">
        <w:rPr>
          <w:rFonts w:ascii="Times New Roman" w:hAnsi="Times New Roman" w:cs="Times New Roman"/>
          <w:color w:val="000000" w:themeColor="text1"/>
          <w:sz w:val="24"/>
          <w:szCs w:val="24"/>
        </w:rPr>
        <w:t xml:space="preserve">Unfortunately the study was </w:t>
      </w:r>
      <w:r w:rsidR="00B612D0" w:rsidRPr="00A43421">
        <w:rPr>
          <w:rFonts w:ascii="Times New Roman" w:hAnsi="Times New Roman" w:cs="Times New Roman"/>
          <w:color w:val="000000" w:themeColor="text1"/>
          <w:sz w:val="24"/>
          <w:szCs w:val="24"/>
        </w:rPr>
        <w:t>less well powered than planned</w:t>
      </w:r>
      <w:r w:rsidR="00ED12AB" w:rsidRPr="00A43421">
        <w:rPr>
          <w:rFonts w:ascii="Times New Roman" w:hAnsi="Times New Roman" w:cs="Times New Roman"/>
          <w:color w:val="000000" w:themeColor="text1"/>
          <w:sz w:val="24"/>
          <w:szCs w:val="24"/>
        </w:rPr>
        <w:t xml:space="preserve">, particularly the CME group, which was composed of participants with a history of consuming </w:t>
      </w:r>
      <w:r w:rsidR="008C7984" w:rsidRPr="00A43421">
        <w:rPr>
          <w:rFonts w:ascii="Times New Roman" w:hAnsi="Times New Roman" w:cs="Times New Roman"/>
          <w:color w:val="000000" w:themeColor="text1"/>
          <w:sz w:val="24"/>
          <w:szCs w:val="24"/>
        </w:rPr>
        <w:t>both</w:t>
      </w:r>
      <w:r w:rsidR="00ED12AB" w:rsidRPr="00A43421">
        <w:rPr>
          <w:rFonts w:ascii="Times New Roman" w:hAnsi="Times New Roman" w:cs="Times New Roman"/>
          <w:color w:val="000000" w:themeColor="text1"/>
          <w:sz w:val="24"/>
          <w:szCs w:val="24"/>
        </w:rPr>
        <w:t xml:space="preserve"> single and multiple exclusion diets. Due to the small sample size of this group (n = 28), there may be limitations with the analyses when looking at the CME group alone or in comparison to the control group, particularly when comparing different substitute formulas consumed. </w:t>
      </w:r>
      <w:r w:rsidR="003E4DC9" w:rsidRPr="00A43421">
        <w:rPr>
          <w:rFonts w:ascii="Times New Roman" w:hAnsi="Times New Roman" w:cs="Times New Roman"/>
          <w:color w:val="000000" w:themeColor="text1"/>
          <w:sz w:val="24"/>
          <w:szCs w:val="24"/>
        </w:rPr>
        <w:t xml:space="preserve">Although the study took place in the South of England, infant feeding and dietary intake data were extremely similar to national data, suggesting the participants habits are representative of the rest of the country. The unique strengths of the study are the availability of prospectively collected </w:t>
      </w:r>
      <w:r w:rsidR="003E4DC9" w:rsidRPr="00083A30">
        <w:rPr>
          <w:rFonts w:ascii="Times New Roman" w:hAnsi="Times New Roman" w:cs="Times New Roman"/>
          <w:sz w:val="24"/>
          <w:szCs w:val="24"/>
        </w:rPr>
        <w:t xml:space="preserve">infant feeding data, long term follow up and a well matched control group. </w:t>
      </w:r>
    </w:p>
    <w:p w14:paraId="1228C9C6" w14:textId="3780B7FC" w:rsidR="006A5734" w:rsidRPr="00083A30" w:rsidRDefault="003E4DC9" w:rsidP="00083A30">
      <w:pPr>
        <w:spacing w:line="360" w:lineRule="auto"/>
        <w:ind w:firstLine="720"/>
        <w:jc w:val="both"/>
        <w:rPr>
          <w:rFonts w:ascii="Times New Roman" w:hAnsi="Times New Roman" w:cs="Times New Roman"/>
          <w:sz w:val="24"/>
          <w:szCs w:val="24"/>
        </w:rPr>
      </w:pPr>
      <w:r w:rsidRPr="00083A30">
        <w:rPr>
          <w:rFonts w:ascii="Times New Roman" w:hAnsi="Times New Roman" w:cs="Times New Roman"/>
          <w:sz w:val="24"/>
          <w:szCs w:val="24"/>
        </w:rPr>
        <w:t xml:space="preserve">In conclusion, this study provides preliminary evidence that use of a substitute formula and exclusion diet for CMA has a long term effect on bitter taste preference </w:t>
      </w:r>
      <w:r w:rsidR="0045424A" w:rsidRPr="00083A30">
        <w:rPr>
          <w:rFonts w:ascii="Times New Roman" w:hAnsi="Times New Roman" w:cs="Times New Roman"/>
          <w:sz w:val="24"/>
          <w:szCs w:val="24"/>
        </w:rPr>
        <w:t xml:space="preserve">and dairy product intake </w:t>
      </w:r>
      <w:r w:rsidRPr="00083A30">
        <w:rPr>
          <w:rFonts w:ascii="Times New Roman" w:hAnsi="Times New Roman" w:cs="Times New Roman"/>
          <w:sz w:val="24"/>
          <w:szCs w:val="24"/>
        </w:rPr>
        <w:t>pe</w:t>
      </w:r>
      <w:r w:rsidR="006576E1" w:rsidRPr="00083A30">
        <w:rPr>
          <w:rFonts w:ascii="Times New Roman" w:hAnsi="Times New Roman" w:cs="Times New Roman"/>
          <w:sz w:val="24"/>
          <w:szCs w:val="24"/>
        </w:rPr>
        <w:t xml:space="preserve">rsisting into early adolescence, with potential to track into adulthood. </w:t>
      </w:r>
      <w:r w:rsidRPr="00083A30">
        <w:rPr>
          <w:rFonts w:ascii="Times New Roman" w:hAnsi="Times New Roman" w:cs="Times New Roman"/>
          <w:sz w:val="24"/>
          <w:szCs w:val="24"/>
        </w:rPr>
        <w:t xml:space="preserve">Nutritional intake may be affected, particularly </w:t>
      </w:r>
      <w:r w:rsidR="00127505" w:rsidRPr="00083A30">
        <w:rPr>
          <w:rFonts w:ascii="Times New Roman" w:hAnsi="Times New Roman" w:cs="Times New Roman"/>
          <w:sz w:val="24"/>
          <w:szCs w:val="24"/>
        </w:rPr>
        <w:t xml:space="preserve">the intake of </w:t>
      </w:r>
      <w:r w:rsidR="00672BA9" w:rsidRPr="00083A30">
        <w:rPr>
          <w:rFonts w:ascii="Times New Roman" w:hAnsi="Times New Roman" w:cs="Times New Roman"/>
          <w:sz w:val="24"/>
          <w:szCs w:val="24"/>
        </w:rPr>
        <w:t xml:space="preserve">some less obvious </w:t>
      </w:r>
      <w:r w:rsidRPr="00083A30">
        <w:rPr>
          <w:rFonts w:ascii="Times New Roman" w:hAnsi="Times New Roman" w:cs="Times New Roman"/>
          <w:sz w:val="24"/>
          <w:szCs w:val="24"/>
        </w:rPr>
        <w:t>micronutrients</w:t>
      </w:r>
      <w:r w:rsidR="00185688" w:rsidRPr="00083A30">
        <w:rPr>
          <w:rFonts w:ascii="Times New Roman" w:hAnsi="Times New Roman" w:cs="Times New Roman"/>
          <w:sz w:val="24"/>
          <w:szCs w:val="24"/>
        </w:rPr>
        <w:t xml:space="preserve">, but </w:t>
      </w:r>
      <w:r w:rsidR="00127505" w:rsidRPr="00083A30">
        <w:rPr>
          <w:rFonts w:ascii="Times New Roman" w:hAnsi="Times New Roman" w:cs="Times New Roman"/>
          <w:sz w:val="24"/>
          <w:szCs w:val="24"/>
        </w:rPr>
        <w:t xml:space="preserve">not calcium as </w:t>
      </w:r>
      <w:r w:rsidR="00185688" w:rsidRPr="00083A30">
        <w:rPr>
          <w:rFonts w:ascii="Times New Roman" w:hAnsi="Times New Roman" w:cs="Times New Roman"/>
          <w:sz w:val="24"/>
          <w:szCs w:val="24"/>
        </w:rPr>
        <w:t>may</w:t>
      </w:r>
      <w:r w:rsidR="00127505" w:rsidRPr="00083A30">
        <w:rPr>
          <w:rFonts w:ascii="Times New Roman" w:hAnsi="Times New Roman" w:cs="Times New Roman"/>
          <w:sz w:val="24"/>
          <w:szCs w:val="24"/>
        </w:rPr>
        <w:t xml:space="preserve"> be expected</w:t>
      </w:r>
      <w:r w:rsidRPr="00083A30">
        <w:rPr>
          <w:rFonts w:ascii="Times New Roman" w:hAnsi="Times New Roman" w:cs="Times New Roman"/>
          <w:sz w:val="24"/>
          <w:szCs w:val="24"/>
        </w:rPr>
        <w:t>. There may also be a long term effect on</w:t>
      </w:r>
      <w:r w:rsidR="00672BA9" w:rsidRPr="00083A30">
        <w:rPr>
          <w:rFonts w:ascii="Times New Roman" w:hAnsi="Times New Roman" w:cs="Times New Roman"/>
          <w:sz w:val="24"/>
          <w:szCs w:val="24"/>
        </w:rPr>
        <w:t xml:space="preserve"> the risk of overweight and obe</w:t>
      </w:r>
      <w:r w:rsidRPr="00083A30">
        <w:rPr>
          <w:rFonts w:ascii="Times New Roman" w:hAnsi="Times New Roman" w:cs="Times New Roman"/>
          <w:sz w:val="24"/>
          <w:szCs w:val="24"/>
        </w:rPr>
        <w:t>s</w:t>
      </w:r>
      <w:r w:rsidR="00672BA9" w:rsidRPr="00083A30">
        <w:rPr>
          <w:rFonts w:ascii="Times New Roman" w:hAnsi="Times New Roman" w:cs="Times New Roman"/>
          <w:sz w:val="24"/>
          <w:szCs w:val="24"/>
        </w:rPr>
        <w:t>i</w:t>
      </w:r>
      <w:r w:rsidRPr="00083A30">
        <w:rPr>
          <w:rFonts w:ascii="Times New Roman" w:hAnsi="Times New Roman" w:cs="Times New Roman"/>
          <w:sz w:val="24"/>
          <w:szCs w:val="24"/>
        </w:rPr>
        <w:t>ty, although this</w:t>
      </w:r>
      <w:r w:rsidR="00127505" w:rsidRPr="00083A30">
        <w:rPr>
          <w:rFonts w:ascii="Times New Roman" w:hAnsi="Times New Roman" w:cs="Times New Roman"/>
          <w:sz w:val="24"/>
          <w:szCs w:val="24"/>
        </w:rPr>
        <w:t xml:space="preserve"> topic</w:t>
      </w:r>
      <w:r w:rsidRPr="00083A30">
        <w:rPr>
          <w:rFonts w:ascii="Times New Roman" w:hAnsi="Times New Roman" w:cs="Times New Roman"/>
          <w:sz w:val="24"/>
          <w:szCs w:val="24"/>
        </w:rPr>
        <w:t xml:space="preserve"> requires more in</w:t>
      </w:r>
      <w:r w:rsidR="00127505" w:rsidRPr="00083A30">
        <w:rPr>
          <w:rFonts w:ascii="Times New Roman" w:hAnsi="Times New Roman" w:cs="Times New Roman"/>
          <w:sz w:val="24"/>
          <w:szCs w:val="24"/>
        </w:rPr>
        <w:t xml:space="preserve"> </w:t>
      </w:r>
      <w:r w:rsidRPr="00083A30">
        <w:rPr>
          <w:rFonts w:ascii="Times New Roman" w:hAnsi="Times New Roman" w:cs="Times New Roman"/>
          <w:sz w:val="24"/>
          <w:szCs w:val="24"/>
        </w:rPr>
        <w:t>de</w:t>
      </w:r>
      <w:r w:rsidR="00672BA9" w:rsidRPr="00083A30">
        <w:rPr>
          <w:rFonts w:ascii="Times New Roman" w:hAnsi="Times New Roman" w:cs="Times New Roman"/>
          <w:sz w:val="24"/>
          <w:szCs w:val="24"/>
        </w:rPr>
        <w:t>pth research with a larger sample size.</w:t>
      </w:r>
    </w:p>
    <w:p w14:paraId="62685A8A" w14:textId="77777777" w:rsidR="00153820" w:rsidRPr="00083A30" w:rsidRDefault="00153820" w:rsidP="00083A30">
      <w:pPr>
        <w:spacing w:line="360" w:lineRule="auto"/>
        <w:rPr>
          <w:rFonts w:ascii="Times New Roman" w:hAnsi="Times New Roman" w:cs="Times New Roman"/>
          <w:b/>
          <w:sz w:val="24"/>
          <w:szCs w:val="24"/>
        </w:rPr>
      </w:pPr>
    </w:p>
    <w:p w14:paraId="2C0B6395" w14:textId="77777777" w:rsidR="00075D37" w:rsidRPr="00083A30" w:rsidRDefault="00075D37" w:rsidP="00083A30">
      <w:pPr>
        <w:spacing w:line="360" w:lineRule="auto"/>
        <w:rPr>
          <w:rFonts w:ascii="Times New Roman" w:hAnsi="Times New Roman" w:cs="Times New Roman"/>
          <w:sz w:val="24"/>
          <w:szCs w:val="24"/>
        </w:rPr>
      </w:pPr>
      <w:r w:rsidRPr="00083A30">
        <w:rPr>
          <w:rFonts w:ascii="Times New Roman" w:hAnsi="Times New Roman" w:cs="Times New Roman"/>
          <w:sz w:val="24"/>
          <w:szCs w:val="24"/>
        </w:rPr>
        <w:br w:type="page"/>
      </w:r>
    </w:p>
    <w:p w14:paraId="4BF8087F" w14:textId="77777777" w:rsidR="00075D37" w:rsidRPr="00083A30" w:rsidRDefault="00075D37" w:rsidP="00304988">
      <w:pPr>
        <w:widowControl w:val="0"/>
        <w:autoSpaceDE w:val="0"/>
        <w:autoSpaceDN w:val="0"/>
        <w:adjustRightInd w:val="0"/>
        <w:spacing w:line="360" w:lineRule="auto"/>
        <w:ind w:left="640" w:hanging="640"/>
        <w:jc w:val="both"/>
        <w:rPr>
          <w:rFonts w:ascii="Times New Roman" w:hAnsi="Times New Roman" w:cs="Times New Roman"/>
          <w:b/>
          <w:sz w:val="24"/>
          <w:szCs w:val="24"/>
        </w:rPr>
      </w:pPr>
      <w:r w:rsidRPr="00083A30">
        <w:rPr>
          <w:rFonts w:ascii="Times New Roman" w:hAnsi="Times New Roman" w:cs="Times New Roman"/>
          <w:b/>
          <w:sz w:val="24"/>
          <w:szCs w:val="24"/>
        </w:rPr>
        <w:t>References</w:t>
      </w:r>
    </w:p>
    <w:p w14:paraId="508D6532" w14:textId="2D61D96E" w:rsidR="00FA2BBA" w:rsidRPr="00FA2BBA" w:rsidRDefault="001B2983"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083A30">
        <w:rPr>
          <w:rFonts w:ascii="Times New Roman" w:hAnsi="Times New Roman" w:cs="Times New Roman"/>
          <w:b/>
          <w:sz w:val="24"/>
          <w:szCs w:val="24"/>
        </w:rPr>
        <w:fldChar w:fldCharType="begin" w:fldLock="1"/>
      </w:r>
      <w:r w:rsidRPr="00083A30">
        <w:rPr>
          <w:rFonts w:ascii="Times New Roman" w:hAnsi="Times New Roman" w:cs="Times New Roman"/>
          <w:b/>
          <w:sz w:val="24"/>
          <w:szCs w:val="24"/>
        </w:rPr>
        <w:instrText xml:space="preserve">ADDIN Mendeley Bibliography CSL_BIBLIOGRAPHY </w:instrText>
      </w:r>
      <w:r w:rsidRPr="00083A30">
        <w:rPr>
          <w:rFonts w:ascii="Times New Roman" w:hAnsi="Times New Roman" w:cs="Times New Roman"/>
          <w:b/>
          <w:sz w:val="24"/>
          <w:szCs w:val="24"/>
        </w:rPr>
        <w:fldChar w:fldCharType="separate"/>
      </w:r>
      <w:r w:rsidR="00FA2BBA" w:rsidRPr="00FA2BBA">
        <w:rPr>
          <w:rFonts w:ascii="Times New Roman" w:hAnsi="Times New Roman" w:cs="Times New Roman"/>
          <w:noProof/>
          <w:sz w:val="24"/>
          <w:szCs w:val="24"/>
        </w:rPr>
        <w:t xml:space="preserve">1. </w:t>
      </w:r>
      <w:r w:rsidR="00FA2BBA" w:rsidRPr="00FA2BBA">
        <w:rPr>
          <w:rFonts w:ascii="Times New Roman" w:hAnsi="Times New Roman" w:cs="Times New Roman"/>
          <w:noProof/>
          <w:sz w:val="24"/>
          <w:szCs w:val="24"/>
        </w:rPr>
        <w:tab/>
        <w:t xml:space="preserve">Venter C, Pereira B, Voigt K, et al. </w:t>
      </w:r>
      <w:r w:rsidR="00AE0050">
        <w:rPr>
          <w:rFonts w:ascii="Times New Roman" w:hAnsi="Times New Roman" w:cs="Times New Roman"/>
          <w:noProof/>
          <w:sz w:val="24"/>
          <w:szCs w:val="24"/>
        </w:rPr>
        <w:t xml:space="preserve">(2008) </w:t>
      </w:r>
      <w:r w:rsidR="00FA2BBA" w:rsidRPr="00FA2BBA">
        <w:rPr>
          <w:rFonts w:ascii="Times New Roman" w:hAnsi="Times New Roman" w:cs="Times New Roman"/>
          <w:noProof/>
          <w:sz w:val="24"/>
          <w:szCs w:val="24"/>
        </w:rPr>
        <w:t>Prevalence and cumulative incidence of food hypersensitivity in the first 3 years of life. Allergy.</w:t>
      </w:r>
      <w:r w:rsidR="00AE0050">
        <w:rPr>
          <w:rFonts w:ascii="Times New Roman" w:hAnsi="Times New Roman" w:cs="Times New Roman"/>
          <w:noProof/>
          <w:sz w:val="24"/>
          <w:szCs w:val="24"/>
        </w:rPr>
        <w:t xml:space="preserve"> 63, </w:t>
      </w:r>
      <w:r w:rsidR="00FA2BBA" w:rsidRPr="00FA2BBA">
        <w:rPr>
          <w:rFonts w:ascii="Times New Roman" w:hAnsi="Times New Roman" w:cs="Times New Roman"/>
          <w:noProof/>
          <w:sz w:val="24"/>
          <w:szCs w:val="24"/>
        </w:rPr>
        <w:t xml:space="preserve">354–9. </w:t>
      </w:r>
    </w:p>
    <w:p w14:paraId="5B7022B4" w14:textId="4123F3A8"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2. </w:t>
      </w:r>
      <w:r w:rsidRPr="00FA2BBA">
        <w:rPr>
          <w:rFonts w:ascii="Times New Roman" w:hAnsi="Times New Roman" w:cs="Times New Roman"/>
          <w:noProof/>
          <w:sz w:val="24"/>
          <w:szCs w:val="24"/>
        </w:rPr>
        <w:tab/>
        <w:t>Gri</w:t>
      </w:r>
      <w:r w:rsidR="00AE0050">
        <w:rPr>
          <w:rFonts w:ascii="Times New Roman" w:hAnsi="Times New Roman" w:cs="Times New Roman"/>
          <w:noProof/>
          <w:sz w:val="24"/>
          <w:szCs w:val="24"/>
        </w:rPr>
        <w:t xml:space="preserve">mshaw KEC, Bryant T, Oliver EM </w:t>
      </w:r>
      <w:r w:rsidRPr="00FA2BBA">
        <w:rPr>
          <w:rFonts w:ascii="Times New Roman" w:hAnsi="Times New Roman" w:cs="Times New Roman"/>
          <w:noProof/>
          <w:sz w:val="24"/>
          <w:szCs w:val="24"/>
        </w:rPr>
        <w:t xml:space="preserve">et al. </w:t>
      </w:r>
      <w:r w:rsidR="00AE0050">
        <w:rPr>
          <w:rFonts w:ascii="Times New Roman" w:hAnsi="Times New Roman" w:cs="Times New Roman"/>
          <w:noProof/>
          <w:sz w:val="24"/>
          <w:szCs w:val="24"/>
        </w:rPr>
        <w:t xml:space="preserve">(2016) </w:t>
      </w:r>
      <w:r w:rsidRPr="00FA2BBA">
        <w:rPr>
          <w:rFonts w:ascii="Times New Roman" w:hAnsi="Times New Roman" w:cs="Times New Roman"/>
          <w:noProof/>
          <w:sz w:val="24"/>
          <w:szCs w:val="24"/>
        </w:rPr>
        <w:t xml:space="preserve">Incidence and risk factors for food hypersensitivity in UK infants : results from a birth cohort study. Clin Transl Allergy 1–13. </w:t>
      </w:r>
    </w:p>
    <w:p w14:paraId="77F030AC" w14:textId="050B508D" w:rsidR="00FA2BBA" w:rsidRPr="00FA2BBA" w:rsidRDefault="00AE0050"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3. </w:t>
      </w:r>
      <w:r>
        <w:rPr>
          <w:rFonts w:ascii="Times New Roman" w:hAnsi="Times New Roman" w:cs="Times New Roman"/>
          <w:noProof/>
          <w:sz w:val="24"/>
          <w:szCs w:val="24"/>
        </w:rPr>
        <w:tab/>
        <w:t>Schoemaker  A. A</w:t>
      </w:r>
      <w:r w:rsidR="00FA2BBA" w:rsidRPr="00FA2BBA">
        <w:rPr>
          <w:rFonts w:ascii="Times New Roman" w:hAnsi="Times New Roman" w:cs="Times New Roman"/>
          <w:noProof/>
          <w:sz w:val="24"/>
          <w:szCs w:val="24"/>
        </w:rPr>
        <w:t>., S</w:t>
      </w:r>
      <w:r>
        <w:rPr>
          <w:rFonts w:ascii="Times New Roman" w:hAnsi="Times New Roman" w:cs="Times New Roman"/>
          <w:noProof/>
          <w:sz w:val="24"/>
          <w:szCs w:val="24"/>
        </w:rPr>
        <w:t>prikkelman  A</w:t>
      </w:r>
      <w:r w:rsidR="00FA2BBA" w:rsidRPr="00FA2BBA">
        <w:rPr>
          <w:rFonts w:ascii="Times New Roman" w:hAnsi="Times New Roman" w:cs="Times New Roman"/>
          <w:noProof/>
          <w:sz w:val="24"/>
          <w:szCs w:val="24"/>
        </w:rPr>
        <w:t>. B, Grimshaw KE, et al.</w:t>
      </w:r>
      <w:r>
        <w:rPr>
          <w:rFonts w:ascii="Times New Roman" w:hAnsi="Times New Roman" w:cs="Times New Roman"/>
          <w:noProof/>
          <w:sz w:val="24"/>
          <w:szCs w:val="24"/>
        </w:rPr>
        <w:t>(2015)</w:t>
      </w:r>
      <w:r w:rsidR="00FA2BBA" w:rsidRPr="00FA2BBA">
        <w:rPr>
          <w:rFonts w:ascii="Times New Roman" w:hAnsi="Times New Roman" w:cs="Times New Roman"/>
          <w:noProof/>
          <w:sz w:val="24"/>
          <w:szCs w:val="24"/>
        </w:rPr>
        <w:t xml:space="preserve"> Incidence and natural history of challenge-proven cow’s milk allergy in European children - E</w:t>
      </w:r>
      <w:r>
        <w:rPr>
          <w:rFonts w:ascii="Times New Roman" w:hAnsi="Times New Roman" w:cs="Times New Roman"/>
          <w:noProof/>
          <w:sz w:val="24"/>
          <w:szCs w:val="24"/>
        </w:rPr>
        <w:t>uroPrevall birth cohort. Allerg,</w:t>
      </w:r>
      <w:r w:rsidR="00FA2BBA" w:rsidRPr="00FA2BBA">
        <w:rPr>
          <w:rFonts w:ascii="Times New Roman" w:hAnsi="Times New Roman" w:cs="Times New Roman"/>
          <w:noProof/>
          <w:sz w:val="24"/>
          <w:szCs w:val="24"/>
        </w:rPr>
        <w:t xml:space="preserve"> Available from: http://doi.wiley.com/10.1111/all.12630</w:t>
      </w:r>
    </w:p>
    <w:p w14:paraId="54883C28" w14:textId="6C0D2D5E" w:rsidR="00FA2BBA" w:rsidRPr="00FA2BBA" w:rsidRDefault="00102EE7"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4. </w:t>
      </w:r>
      <w:r>
        <w:rPr>
          <w:rFonts w:ascii="Times New Roman" w:hAnsi="Times New Roman" w:cs="Times New Roman"/>
          <w:noProof/>
          <w:sz w:val="24"/>
          <w:szCs w:val="24"/>
        </w:rPr>
        <w:tab/>
        <w:t>Luyt D, Ball H, Makwana N</w:t>
      </w:r>
      <w:r w:rsidR="00FA2BBA" w:rsidRPr="00FA2BBA">
        <w:rPr>
          <w:rFonts w:ascii="Times New Roman" w:hAnsi="Times New Roman" w:cs="Times New Roman"/>
          <w:noProof/>
          <w:sz w:val="24"/>
          <w:szCs w:val="24"/>
        </w:rPr>
        <w:t xml:space="preserve"> et al. </w:t>
      </w:r>
      <w:r w:rsidR="00AE0050">
        <w:rPr>
          <w:rFonts w:ascii="Times New Roman" w:hAnsi="Times New Roman" w:cs="Times New Roman"/>
          <w:noProof/>
          <w:sz w:val="24"/>
          <w:szCs w:val="24"/>
        </w:rPr>
        <w:t xml:space="preserve">(2014) </w:t>
      </w:r>
      <w:r w:rsidR="00FA2BBA" w:rsidRPr="00FA2BBA">
        <w:rPr>
          <w:rFonts w:ascii="Times New Roman" w:hAnsi="Times New Roman" w:cs="Times New Roman"/>
          <w:noProof/>
          <w:sz w:val="24"/>
          <w:szCs w:val="24"/>
        </w:rPr>
        <w:t>BSACI guideline for the diagnosis and management of cow’s milk allergy. Clin Exp Allergy</w:t>
      </w:r>
      <w:r w:rsidR="00AE0050">
        <w:rPr>
          <w:rFonts w:ascii="Times New Roman" w:hAnsi="Times New Roman" w:cs="Times New Roman"/>
          <w:noProof/>
          <w:sz w:val="24"/>
          <w:szCs w:val="24"/>
        </w:rPr>
        <w:t xml:space="preserve"> 44, </w:t>
      </w:r>
      <w:r w:rsidR="00FA2BBA" w:rsidRPr="00FA2BBA">
        <w:rPr>
          <w:rFonts w:ascii="Times New Roman" w:hAnsi="Times New Roman" w:cs="Times New Roman"/>
          <w:noProof/>
          <w:sz w:val="24"/>
          <w:szCs w:val="24"/>
        </w:rPr>
        <w:t xml:space="preserve">642–72. </w:t>
      </w:r>
    </w:p>
    <w:p w14:paraId="0978A62C" w14:textId="3F04DF7F" w:rsidR="00FA2BBA" w:rsidRPr="00FA2BBA" w:rsidRDefault="00AE0050"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5. </w:t>
      </w:r>
      <w:r>
        <w:rPr>
          <w:rFonts w:ascii="Times New Roman" w:hAnsi="Times New Roman" w:cs="Times New Roman"/>
          <w:noProof/>
          <w:sz w:val="24"/>
          <w:szCs w:val="24"/>
        </w:rPr>
        <w:tab/>
        <w:t xml:space="preserve">Venter C, Brown T, Shah N et al. (2013) </w:t>
      </w:r>
      <w:r w:rsidR="00FA2BBA" w:rsidRPr="00FA2BBA">
        <w:rPr>
          <w:rFonts w:ascii="Times New Roman" w:hAnsi="Times New Roman" w:cs="Times New Roman"/>
          <w:noProof/>
          <w:sz w:val="24"/>
          <w:szCs w:val="24"/>
        </w:rPr>
        <w:t>Diagnosis and management of non-IgE-mediated cow’s milk allergy in infancy - a UK primary care practical guide. Clin Transl Allergy</w:t>
      </w:r>
      <w:r>
        <w:rPr>
          <w:rFonts w:ascii="Times New Roman" w:hAnsi="Times New Roman" w:cs="Times New Roman"/>
          <w:noProof/>
          <w:sz w:val="24"/>
          <w:szCs w:val="24"/>
        </w:rPr>
        <w:t xml:space="preserve"> 3, </w:t>
      </w:r>
      <w:r w:rsidR="00FA2BBA" w:rsidRPr="00FA2BBA">
        <w:rPr>
          <w:rFonts w:ascii="Times New Roman" w:hAnsi="Times New Roman" w:cs="Times New Roman"/>
          <w:noProof/>
          <w:sz w:val="24"/>
          <w:szCs w:val="24"/>
        </w:rPr>
        <w:t xml:space="preserve">23. </w:t>
      </w:r>
    </w:p>
    <w:p w14:paraId="748B9F14" w14:textId="0D9034CD"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6. </w:t>
      </w:r>
      <w:r w:rsidRPr="00FA2BBA">
        <w:rPr>
          <w:rFonts w:ascii="Times New Roman" w:hAnsi="Times New Roman" w:cs="Times New Roman"/>
          <w:noProof/>
          <w:sz w:val="24"/>
          <w:szCs w:val="24"/>
        </w:rPr>
        <w:tab/>
        <w:t>Pedrosa D</w:t>
      </w:r>
      <w:r w:rsidR="00AE0050">
        <w:rPr>
          <w:rFonts w:ascii="Times New Roman" w:hAnsi="Times New Roman" w:cs="Times New Roman"/>
          <w:noProof/>
          <w:sz w:val="24"/>
          <w:szCs w:val="24"/>
        </w:rPr>
        <w:t xml:space="preserve">elgado M, Pascual CY, Larco JI et al. (2006) </w:t>
      </w:r>
      <w:r w:rsidRPr="00FA2BBA">
        <w:rPr>
          <w:rFonts w:ascii="Times New Roman" w:hAnsi="Times New Roman" w:cs="Times New Roman"/>
          <w:noProof/>
          <w:sz w:val="24"/>
          <w:szCs w:val="24"/>
        </w:rPr>
        <w:t>Palatability of hydrolysates and other substitution formulas for cow’s milk-allergic children: A comparative study of taste, smell, and texture evaluated by healthy volunteers. J</w:t>
      </w:r>
      <w:r w:rsidR="00AE0050">
        <w:rPr>
          <w:rFonts w:ascii="Times New Roman" w:hAnsi="Times New Roman" w:cs="Times New Roman"/>
          <w:noProof/>
          <w:sz w:val="24"/>
          <w:szCs w:val="24"/>
        </w:rPr>
        <w:t xml:space="preserve"> Investig Allergol Clin Immunol 16,</w:t>
      </w:r>
      <w:r w:rsidR="00AE0050" w:rsidRPr="00FA2BBA">
        <w:rPr>
          <w:rFonts w:ascii="Times New Roman" w:hAnsi="Times New Roman" w:cs="Times New Roman"/>
          <w:noProof/>
          <w:sz w:val="24"/>
          <w:szCs w:val="24"/>
        </w:rPr>
        <w:t xml:space="preserve"> </w:t>
      </w:r>
      <w:r w:rsidRPr="00FA2BBA">
        <w:rPr>
          <w:rFonts w:ascii="Times New Roman" w:hAnsi="Times New Roman" w:cs="Times New Roman"/>
          <w:noProof/>
          <w:sz w:val="24"/>
          <w:szCs w:val="24"/>
        </w:rPr>
        <w:t xml:space="preserve">351–6. </w:t>
      </w:r>
    </w:p>
    <w:p w14:paraId="2B62ABD7" w14:textId="0BD8528C"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7. </w:t>
      </w:r>
      <w:r w:rsidRPr="00FA2BBA">
        <w:rPr>
          <w:rFonts w:ascii="Times New Roman" w:hAnsi="Times New Roman" w:cs="Times New Roman"/>
          <w:noProof/>
          <w:sz w:val="24"/>
          <w:szCs w:val="24"/>
        </w:rPr>
        <w:tab/>
        <w:t>Miraglia Del</w:t>
      </w:r>
      <w:r w:rsidR="00AE0050">
        <w:rPr>
          <w:rFonts w:ascii="Times New Roman" w:hAnsi="Times New Roman" w:cs="Times New Roman"/>
          <w:noProof/>
          <w:sz w:val="24"/>
          <w:szCs w:val="24"/>
        </w:rPr>
        <w:t xml:space="preserve"> Giudice M, D’Auria E, Peroni D</w:t>
      </w:r>
      <w:r w:rsidRPr="00FA2BBA">
        <w:rPr>
          <w:rFonts w:ascii="Times New Roman" w:hAnsi="Times New Roman" w:cs="Times New Roman"/>
          <w:noProof/>
          <w:sz w:val="24"/>
          <w:szCs w:val="24"/>
        </w:rPr>
        <w:t xml:space="preserve"> et al. </w:t>
      </w:r>
      <w:r w:rsidR="00AE0050">
        <w:rPr>
          <w:rFonts w:ascii="Times New Roman" w:hAnsi="Times New Roman" w:cs="Times New Roman"/>
          <w:noProof/>
          <w:sz w:val="24"/>
          <w:szCs w:val="24"/>
        </w:rPr>
        <w:t xml:space="preserve">(2015) </w:t>
      </w:r>
      <w:r w:rsidRPr="00FA2BBA">
        <w:rPr>
          <w:rFonts w:ascii="Times New Roman" w:hAnsi="Times New Roman" w:cs="Times New Roman"/>
          <w:noProof/>
          <w:sz w:val="24"/>
          <w:szCs w:val="24"/>
        </w:rPr>
        <w:t xml:space="preserve">Flavor, relative palatability and components of cow’s milk hydrolysed formulas and amino acid-based formula. Ital J Pediatr </w:t>
      </w:r>
      <w:r w:rsidR="00AE0050">
        <w:rPr>
          <w:rFonts w:ascii="Times New Roman" w:hAnsi="Times New Roman" w:cs="Times New Roman"/>
          <w:noProof/>
          <w:sz w:val="24"/>
          <w:szCs w:val="24"/>
        </w:rPr>
        <w:t xml:space="preserve">41, </w:t>
      </w:r>
      <w:r w:rsidRPr="00FA2BBA">
        <w:rPr>
          <w:rFonts w:ascii="Times New Roman" w:hAnsi="Times New Roman" w:cs="Times New Roman"/>
          <w:noProof/>
          <w:sz w:val="24"/>
          <w:szCs w:val="24"/>
        </w:rPr>
        <w:t xml:space="preserve">42. </w:t>
      </w:r>
    </w:p>
    <w:p w14:paraId="03672E67" w14:textId="1E01B761"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8. </w:t>
      </w:r>
      <w:r w:rsidRPr="00FA2BBA">
        <w:rPr>
          <w:rFonts w:ascii="Times New Roman" w:hAnsi="Times New Roman" w:cs="Times New Roman"/>
          <w:noProof/>
          <w:sz w:val="24"/>
          <w:szCs w:val="24"/>
        </w:rPr>
        <w:tab/>
        <w:t>Sausenth</w:t>
      </w:r>
      <w:r w:rsidR="00AE0050">
        <w:rPr>
          <w:rFonts w:ascii="Times New Roman" w:hAnsi="Times New Roman" w:cs="Times New Roman"/>
          <w:noProof/>
          <w:sz w:val="24"/>
          <w:szCs w:val="24"/>
        </w:rPr>
        <w:t xml:space="preserve">aler S, Koletzko S, Koletzko B </w:t>
      </w:r>
      <w:r w:rsidRPr="00FA2BBA">
        <w:rPr>
          <w:rFonts w:ascii="Times New Roman" w:hAnsi="Times New Roman" w:cs="Times New Roman"/>
          <w:noProof/>
          <w:sz w:val="24"/>
          <w:szCs w:val="24"/>
        </w:rPr>
        <w:t xml:space="preserve">et al. </w:t>
      </w:r>
      <w:r w:rsidR="00AE0050">
        <w:rPr>
          <w:rFonts w:ascii="Times New Roman" w:hAnsi="Times New Roman" w:cs="Times New Roman"/>
          <w:noProof/>
          <w:sz w:val="24"/>
          <w:szCs w:val="24"/>
        </w:rPr>
        <w:t xml:space="preserve">(2010) </w:t>
      </w:r>
      <w:r w:rsidRPr="00FA2BBA">
        <w:rPr>
          <w:rFonts w:ascii="Times New Roman" w:hAnsi="Times New Roman" w:cs="Times New Roman"/>
          <w:noProof/>
          <w:sz w:val="24"/>
          <w:szCs w:val="24"/>
        </w:rPr>
        <w:t>Effect of hydrolysed formula feeding on taste preferences at 10 years. Data from the German Infant Nutritional Intervention Program Plus Study. Clin Nutr</w:t>
      </w:r>
      <w:r w:rsidR="00AE0050">
        <w:rPr>
          <w:rFonts w:ascii="Times New Roman" w:hAnsi="Times New Roman" w:cs="Times New Roman"/>
          <w:noProof/>
          <w:sz w:val="24"/>
          <w:szCs w:val="24"/>
        </w:rPr>
        <w:t xml:space="preserve"> 29,</w:t>
      </w:r>
      <w:r w:rsidRPr="00FA2BBA">
        <w:rPr>
          <w:rFonts w:ascii="Times New Roman" w:hAnsi="Times New Roman" w:cs="Times New Roman"/>
          <w:noProof/>
          <w:sz w:val="24"/>
          <w:szCs w:val="24"/>
        </w:rPr>
        <w:t xml:space="preserve">304–6. </w:t>
      </w:r>
    </w:p>
    <w:p w14:paraId="286BC9FC" w14:textId="0A48DC65" w:rsidR="00FA2BBA" w:rsidRPr="00FA2BBA" w:rsidRDefault="00AE0050"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9. </w:t>
      </w:r>
      <w:r>
        <w:rPr>
          <w:rFonts w:ascii="Times New Roman" w:hAnsi="Times New Roman" w:cs="Times New Roman"/>
          <w:noProof/>
          <w:sz w:val="24"/>
          <w:szCs w:val="24"/>
        </w:rPr>
        <w:tab/>
        <w:t>Birch LL &amp; Doub AE</w:t>
      </w:r>
      <w:r w:rsidR="00FA2BBA" w:rsidRPr="00FA2BBA">
        <w:rPr>
          <w:rFonts w:ascii="Times New Roman" w:hAnsi="Times New Roman" w:cs="Times New Roman"/>
          <w:noProof/>
          <w:sz w:val="24"/>
          <w:szCs w:val="24"/>
        </w:rPr>
        <w:t xml:space="preserve"> </w:t>
      </w:r>
      <w:r>
        <w:rPr>
          <w:rFonts w:ascii="Times New Roman" w:hAnsi="Times New Roman" w:cs="Times New Roman"/>
          <w:noProof/>
          <w:sz w:val="24"/>
          <w:szCs w:val="24"/>
        </w:rPr>
        <w:t xml:space="preserve">(2014) </w:t>
      </w:r>
      <w:r w:rsidR="00FA2BBA" w:rsidRPr="00FA2BBA">
        <w:rPr>
          <w:rFonts w:ascii="Times New Roman" w:hAnsi="Times New Roman" w:cs="Times New Roman"/>
          <w:noProof/>
          <w:sz w:val="24"/>
          <w:szCs w:val="24"/>
        </w:rPr>
        <w:t xml:space="preserve">Learning to eat : birth </w:t>
      </w:r>
      <w:r>
        <w:rPr>
          <w:rFonts w:ascii="Times New Roman" w:hAnsi="Times New Roman" w:cs="Times New Roman"/>
          <w:noProof/>
          <w:sz w:val="24"/>
          <w:szCs w:val="24"/>
        </w:rPr>
        <w:t xml:space="preserve">to age 2 y. Am J Clin Nutr 99, </w:t>
      </w:r>
      <w:r w:rsidR="00FA2BBA" w:rsidRPr="00FA2BBA">
        <w:rPr>
          <w:rFonts w:ascii="Times New Roman" w:hAnsi="Times New Roman" w:cs="Times New Roman"/>
          <w:noProof/>
          <w:sz w:val="24"/>
          <w:szCs w:val="24"/>
        </w:rPr>
        <w:t xml:space="preserve">723–8. </w:t>
      </w:r>
    </w:p>
    <w:p w14:paraId="4A309499" w14:textId="7F83C397" w:rsidR="00FA2BBA" w:rsidRPr="00FA2BBA" w:rsidRDefault="00AE0050"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10. </w:t>
      </w:r>
      <w:r>
        <w:rPr>
          <w:rFonts w:ascii="Times New Roman" w:hAnsi="Times New Roman" w:cs="Times New Roman"/>
          <w:noProof/>
          <w:sz w:val="24"/>
          <w:szCs w:val="24"/>
        </w:rPr>
        <w:tab/>
        <w:t>Beauchamp GK &amp; Mennella JA (2009)</w:t>
      </w:r>
      <w:r w:rsidR="00FA2BBA" w:rsidRPr="00FA2BBA">
        <w:rPr>
          <w:rFonts w:ascii="Times New Roman" w:hAnsi="Times New Roman" w:cs="Times New Roman"/>
          <w:noProof/>
          <w:sz w:val="24"/>
          <w:szCs w:val="24"/>
        </w:rPr>
        <w:t xml:space="preserve"> Early flavor learning and its impact on later feeding behavio</w:t>
      </w:r>
      <w:r>
        <w:rPr>
          <w:rFonts w:ascii="Times New Roman" w:hAnsi="Times New Roman" w:cs="Times New Roman"/>
          <w:noProof/>
          <w:sz w:val="24"/>
          <w:szCs w:val="24"/>
        </w:rPr>
        <w:t>r. J Pediatr Gastroenterol Nutr 48,</w:t>
      </w:r>
      <w:r w:rsidRPr="00FA2BBA">
        <w:rPr>
          <w:rFonts w:ascii="Times New Roman" w:hAnsi="Times New Roman" w:cs="Times New Roman"/>
          <w:noProof/>
          <w:sz w:val="24"/>
          <w:szCs w:val="24"/>
        </w:rPr>
        <w:t xml:space="preserve"> </w:t>
      </w:r>
      <w:r w:rsidR="00FA2BBA" w:rsidRPr="00FA2BBA">
        <w:rPr>
          <w:rFonts w:ascii="Times New Roman" w:hAnsi="Times New Roman" w:cs="Times New Roman"/>
          <w:noProof/>
          <w:sz w:val="24"/>
          <w:szCs w:val="24"/>
        </w:rPr>
        <w:t xml:space="preserve">S25–30. </w:t>
      </w:r>
    </w:p>
    <w:p w14:paraId="44C1996F" w14:textId="2C7F4A30" w:rsidR="00FA2BBA" w:rsidRPr="00FA2BBA" w:rsidRDefault="00AE0050"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11. </w:t>
      </w:r>
      <w:r>
        <w:rPr>
          <w:rFonts w:ascii="Times New Roman" w:hAnsi="Times New Roman" w:cs="Times New Roman"/>
          <w:noProof/>
          <w:sz w:val="24"/>
          <w:szCs w:val="24"/>
        </w:rPr>
        <w:tab/>
        <w:t xml:space="preserve">Birch LL (1999) </w:t>
      </w:r>
      <w:r w:rsidR="00FA2BBA" w:rsidRPr="00FA2BBA">
        <w:rPr>
          <w:rFonts w:ascii="Times New Roman" w:hAnsi="Times New Roman" w:cs="Times New Roman"/>
          <w:noProof/>
          <w:sz w:val="24"/>
          <w:szCs w:val="24"/>
        </w:rPr>
        <w:t>Development of food preferences. Annu Rev Nutr</w:t>
      </w:r>
      <w:r>
        <w:rPr>
          <w:rFonts w:ascii="Times New Roman" w:hAnsi="Times New Roman" w:cs="Times New Roman"/>
          <w:noProof/>
          <w:sz w:val="24"/>
          <w:szCs w:val="24"/>
        </w:rPr>
        <w:t xml:space="preserve"> 19,</w:t>
      </w:r>
      <w:r w:rsidR="00FA2BBA" w:rsidRPr="00FA2BBA">
        <w:rPr>
          <w:rFonts w:ascii="Times New Roman" w:hAnsi="Times New Roman" w:cs="Times New Roman"/>
          <w:noProof/>
          <w:sz w:val="24"/>
          <w:szCs w:val="24"/>
        </w:rPr>
        <w:t xml:space="preserve">41–62. </w:t>
      </w:r>
    </w:p>
    <w:p w14:paraId="522807B9" w14:textId="369D7511"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12. </w:t>
      </w:r>
      <w:r w:rsidRPr="00FA2BBA">
        <w:rPr>
          <w:rFonts w:ascii="Times New Roman" w:hAnsi="Times New Roman" w:cs="Times New Roman"/>
          <w:noProof/>
          <w:sz w:val="24"/>
          <w:szCs w:val="24"/>
        </w:rPr>
        <w:tab/>
        <w:t>N</w:t>
      </w:r>
      <w:r w:rsidR="00AE0050">
        <w:rPr>
          <w:rFonts w:ascii="Times New Roman" w:hAnsi="Times New Roman" w:cs="Times New Roman"/>
          <w:noProof/>
          <w:sz w:val="24"/>
          <w:szCs w:val="24"/>
        </w:rPr>
        <w:t xml:space="preserve">ehring I, Kostka T, von Kries R et al. (2015) </w:t>
      </w:r>
      <w:r w:rsidRPr="00FA2BBA">
        <w:rPr>
          <w:rFonts w:ascii="Times New Roman" w:hAnsi="Times New Roman" w:cs="Times New Roman"/>
          <w:noProof/>
          <w:sz w:val="24"/>
          <w:szCs w:val="24"/>
        </w:rPr>
        <w:t xml:space="preserve"> Impacts of In Utero and Early Infant Taste Experiences on Later Taste Acceptan</w:t>
      </w:r>
      <w:r w:rsidR="00AE0050">
        <w:rPr>
          <w:rFonts w:ascii="Times New Roman" w:hAnsi="Times New Roman" w:cs="Times New Roman"/>
          <w:noProof/>
          <w:sz w:val="24"/>
          <w:szCs w:val="24"/>
        </w:rPr>
        <w:t xml:space="preserve">ce: A Systematic Review. J Nutr 145, </w:t>
      </w:r>
      <w:r w:rsidRPr="00FA2BBA">
        <w:rPr>
          <w:rFonts w:ascii="Times New Roman" w:hAnsi="Times New Roman" w:cs="Times New Roman"/>
          <w:noProof/>
          <w:sz w:val="24"/>
          <w:szCs w:val="24"/>
        </w:rPr>
        <w:t xml:space="preserve">1271–9. </w:t>
      </w:r>
    </w:p>
    <w:p w14:paraId="64BD1A39" w14:textId="4800EC35"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13. </w:t>
      </w:r>
      <w:r w:rsidRPr="00FA2BBA">
        <w:rPr>
          <w:rFonts w:ascii="Times New Roman" w:hAnsi="Times New Roman" w:cs="Times New Roman"/>
          <w:noProof/>
          <w:sz w:val="24"/>
          <w:szCs w:val="24"/>
        </w:rPr>
        <w:tab/>
      </w:r>
      <w:r w:rsidR="00AE0050">
        <w:rPr>
          <w:rFonts w:ascii="Times New Roman" w:hAnsi="Times New Roman" w:cs="Times New Roman"/>
          <w:noProof/>
          <w:sz w:val="24"/>
          <w:szCs w:val="24"/>
        </w:rPr>
        <w:t xml:space="preserve">Mennella JA &amp; Beauchamp GK (2005) </w:t>
      </w:r>
      <w:r w:rsidRPr="00FA2BBA">
        <w:rPr>
          <w:rFonts w:ascii="Times New Roman" w:hAnsi="Times New Roman" w:cs="Times New Roman"/>
          <w:noProof/>
          <w:sz w:val="24"/>
          <w:szCs w:val="24"/>
        </w:rPr>
        <w:t xml:space="preserve">Understanding the origin of </w:t>
      </w:r>
      <w:r w:rsidR="00AE0050">
        <w:rPr>
          <w:rFonts w:ascii="Times New Roman" w:hAnsi="Times New Roman" w:cs="Times New Roman"/>
          <w:noProof/>
          <w:sz w:val="24"/>
          <w:szCs w:val="24"/>
        </w:rPr>
        <w:t>flavor preferences. Chem Senses 30,</w:t>
      </w:r>
      <w:r w:rsidR="00AE0050" w:rsidRPr="00FA2BBA">
        <w:rPr>
          <w:rFonts w:ascii="Times New Roman" w:hAnsi="Times New Roman" w:cs="Times New Roman"/>
          <w:noProof/>
          <w:sz w:val="24"/>
          <w:szCs w:val="24"/>
        </w:rPr>
        <w:t xml:space="preserve"> </w:t>
      </w:r>
      <w:r w:rsidRPr="00FA2BBA">
        <w:rPr>
          <w:rFonts w:ascii="Times New Roman" w:hAnsi="Times New Roman" w:cs="Times New Roman"/>
          <w:noProof/>
          <w:sz w:val="24"/>
          <w:szCs w:val="24"/>
        </w:rPr>
        <w:t xml:space="preserve">242–3. </w:t>
      </w:r>
    </w:p>
    <w:p w14:paraId="45A3EAA0" w14:textId="4EB98613" w:rsidR="00FA2BBA" w:rsidRPr="00FA2BBA" w:rsidRDefault="00AE0050"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14. </w:t>
      </w:r>
      <w:r>
        <w:rPr>
          <w:rFonts w:ascii="Times New Roman" w:hAnsi="Times New Roman" w:cs="Times New Roman"/>
          <w:noProof/>
          <w:sz w:val="24"/>
          <w:szCs w:val="24"/>
        </w:rPr>
        <w:tab/>
        <w:t xml:space="preserve">Liem DG &amp; Mennella JA (2002) </w:t>
      </w:r>
      <w:r w:rsidR="00FA2BBA" w:rsidRPr="00FA2BBA">
        <w:rPr>
          <w:rFonts w:ascii="Times New Roman" w:hAnsi="Times New Roman" w:cs="Times New Roman"/>
          <w:noProof/>
          <w:sz w:val="24"/>
          <w:szCs w:val="24"/>
        </w:rPr>
        <w:t>Sweet and sour preferences during childhood: Role of ear</w:t>
      </w:r>
      <w:r>
        <w:rPr>
          <w:rFonts w:ascii="Times New Roman" w:hAnsi="Times New Roman" w:cs="Times New Roman"/>
          <w:noProof/>
          <w:sz w:val="24"/>
          <w:szCs w:val="24"/>
        </w:rPr>
        <w:t xml:space="preserve">ly experiences. Dev Psychobiol 41, </w:t>
      </w:r>
      <w:r w:rsidR="00FA2BBA" w:rsidRPr="00FA2BBA">
        <w:rPr>
          <w:rFonts w:ascii="Times New Roman" w:hAnsi="Times New Roman" w:cs="Times New Roman"/>
          <w:noProof/>
          <w:sz w:val="24"/>
          <w:szCs w:val="24"/>
        </w:rPr>
        <w:t xml:space="preserve">388–95. </w:t>
      </w:r>
    </w:p>
    <w:p w14:paraId="3C6CE7DF" w14:textId="24A6BE62" w:rsidR="00FA2BBA" w:rsidRPr="00FA2BBA" w:rsidRDefault="00AE0050"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15. </w:t>
      </w:r>
      <w:r>
        <w:rPr>
          <w:rFonts w:ascii="Times New Roman" w:hAnsi="Times New Roman" w:cs="Times New Roman"/>
          <w:noProof/>
          <w:sz w:val="24"/>
          <w:szCs w:val="24"/>
        </w:rPr>
        <w:tab/>
        <w:t xml:space="preserve">Owada M, Aoki K &amp; Kitagawa T (2000) </w:t>
      </w:r>
      <w:r w:rsidR="00FA2BBA" w:rsidRPr="00FA2BBA">
        <w:rPr>
          <w:rFonts w:ascii="Times New Roman" w:hAnsi="Times New Roman" w:cs="Times New Roman"/>
          <w:noProof/>
          <w:sz w:val="24"/>
          <w:szCs w:val="24"/>
        </w:rPr>
        <w:t>Taste preferences and feeding behaviour in children with phenylketonuria on a sem</w:t>
      </w:r>
      <w:r>
        <w:rPr>
          <w:rFonts w:ascii="Times New Roman" w:hAnsi="Times New Roman" w:cs="Times New Roman"/>
          <w:noProof/>
          <w:sz w:val="24"/>
          <w:szCs w:val="24"/>
        </w:rPr>
        <w:t xml:space="preserve">isynthetic diet. Eur J Pediatr 159, </w:t>
      </w:r>
      <w:r w:rsidR="00FA2BBA" w:rsidRPr="00FA2BBA">
        <w:rPr>
          <w:rFonts w:ascii="Times New Roman" w:hAnsi="Times New Roman" w:cs="Times New Roman"/>
          <w:noProof/>
          <w:sz w:val="24"/>
          <w:szCs w:val="24"/>
        </w:rPr>
        <w:t xml:space="preserve">846–50. </w:t>
      </w:r>
    </w:p>
    <w:p w14:paraId="3908377F" w14:textId="4C78FBD9" w:rsidR="00FA2BBA" w:rsidRPr="00FA2BBA" w:rsidRDefault="00AE0050"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16. </w:t>
      </w:r>
      <w:r>
        <w:rPr>
          <w:rFonts w:ascii="Times New Roman" w:hAnsi="Times New Roman" w:cs="Times New Roman"/>
          <w:noProof/>
          <w:sz w:val="24"/>
          <w:szCs w:val="24"/>
        </w:rPr>
        <w:tab/>
        <w:t>Evans S, Daly A, Chahal S et al. (2015)</w:t>
      </w:r>
      <w:r w:rsidR="00FA2BBA" w:rsidRPr="00FA2BBA">
        <w:rPr>
          <w:rFonts w:ascii="Times New Roman" w:hAnsi="Times New Roman" w:cs="Times New Roman"/>
          <w:noProof/>
          <w:sz w:val="24"/>
          <w:szCs w:val="24"/>
        </w:rPr>
        <w:t xml:space="preserve"> Food acceptance and neophobia in children with phenylketonuria: A prospective controlled study. J Hum Nutr Diet</w:t>
      </w:r>
      <w:r>
        <w:rPr>
          <w:rFonts w:ascii="Times New Roman" w:hAnsi="Times New Roman" w:cs="Times New Roman"/>
          <w:noProof/>
          <w:sz w:val="24"/>
          <w:szCs w:val="24"/>
        </w:rPr>
        <w:t xml:space="preserve"> </w:t>
      </w:r>
      <w:r w:rsidR="00FA2BBA" w:rsidRPr="00FA2BBA">
        <w:rPr>
          <w:rFonts w:ascii="Times New Roman" w:hAnsi="Times New Roman" w:cs="Times New Roman"/>
          <w:noProof/>
          <w:sz w:val="24"/>
          <w:szCs w:val="24"/>
        </w:rPr>
        <w:t xml:space="preserve">1–7. </w:t>
      </w:r>
    </w:p>
    <w:p w14:paraId="0B45C2AE" w14:textId="58AF91B0"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17. </w:t>
      </w:r>
      <w:r w:rsidRPr="00FA2BBA">
        <w:rPr>
          <w:rFonts w:ascii="Times New Roman" w:hAnsi="Times New Roman" w:cs="Times New Roman"/>
          <w:noProof/>
          <w:sz w:val="24"/>
          <w:szCs w:val="24"/>
        </w:rPr>
        <w:tab/>
        <w:t xml:space="preserve">Maslin K, </w:t>
      </w:r>
      <w:r w:rsidR="00AE0050">
        <w:rPr>
          <w:rFonts w:ascii="Times New Roman" w:hAnsi="Times New Roman" w:cs="Times New Roman"/>
          <w:noProof/>
          <w:sz w:val="24"/>
          <w:szCs w:val="24"/>
        </w:rPr>
        <w:t xml:space="preserve">Grundy J, Glasbey G </w:t>
      </w:r>
      <w:r w:rsidRPr="00FA2BBA">
        <w:rPr>
          <w:rFonts w:ascii="Times New Roman" w:hAnsi="Times New Roman" w:cs="Times New Roman"/>
          <w:noProof/>
          <w:sz w:val="24"/>
          <w:szCs w:val="24"/>
        </w:rPr>
        <w:t xml:space="preserve">et al. </w:t>
      </w:r>
      <w:r w:rsidR="00AE0050">
        <w:rPr>
          <w:rFonts w:ascii="Times New Roman" w:hAnsi="Times New Roman" w:cs="Times New Roman"/>
          <w:noProof/>
          <w:sz w:val="24"/>
          <w:szCs w:val="24"/>
        </w:rPr>
        <w:t xml:space="preserve">(2015) </w:t>
      </w:r>
      <w:r w:rsidRPr="00FA2BBA">
        <w:rPr>
          <w:rFonts w:ascii="Times New Roman" w:hAnsi="Times New Roman" w:cs="Times New Roman"/>
          <w:noProof/>
          <w:sz w:val="24"/>
          <w:szCs w:val="24"/>
        </w:rPr>
        <w:t xml:space="preserve">Cows’ milk exclusion diet during infancy: Is there a long term effect on children's eating </w:t>
      </w:r>
      <w:r w:rsidR="00AE0050">
        <w:rPr>
          <w:rFonts w:ascii="Times New Roman" w:hAnsi="Times New Roman" w:cs="Times New Roman"/>
          <w:noProof/>
          <w:sz w:val="24"/>
          <w:szCs w:val="24"/>
        </w:rPr>
        <w:t>behaviour and food preferences? Paediatr Allergy Immunol</w:t>
      </w:r>
      <w:r w:rsidR="00102EE7">
        <w:rPr>
          <w:rFonts w:ascii="Times New Roman" w:hAnsi="Times New Roman" w:cs="Times New Roman"/>
          <w:noProof/>
          <w:sz w:val="24"/>
          <w:szCs w:val="24"/>
        </w:rPr>
        <w:t xml:space="preserve"> 27, 141-146.</w:t>
      </w:r>
    </w:p>
    <w:p w14:paraId="0E4A41E4" w14:textId="4123B3BD"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18. </w:t>
      </w:r>
      <w:r w:rsidRPr="00FA2BBA">
        <w:rPr>
          <w:rFonts w:ascii="Times New Roman" w:hAnsi="Times New Roman" w:cs="Times New Roman"/>
          <w:noProof/>
          <w:sz w:val="24"/>
          <w:szCs w:val="24"/>
        </w:rPr>
        <w:tab/>
        <w:t>Mey</w:t>
      </w:r>
      <w:r w:rsidR="00AE0050">
        <w:rPr>
          <w:rFonts w:ascii="Times New Roman" w:hAnsi="Times New Roman" w:cs="Times New Roman"/>
          <w:noProof/>
          <w:sz w:val="24"/>
          <w:szCs w:val="24"/>
        </w:rPr>
        <w:t>er R, Rommel N, Van Oudenhove L et al. (2014)</w:t>
      </w:r>
      <w:r w:rsidRPr="00FA2BBA">
        <w:rPr>
          <w:rFonts w:ascii="Times New Roman" w:hAnsi="Times New Roman" w:cs="Times New Roman"/>
          <w:noProof/>
          <w:sz w:val="24"/>
          <w:szCs w:val="24"/>
        </w:rPr>
        <w:t xml:space="preserve"> Feeding difficulties in children with food protein induced gastrointestinal allergies. J Gastroenterol Hepatol 1–21. Available from: http://www.ncbi.nlm.nih.gov/pubmed/24720353</w:t>
      </w:r>
    </w:p>
    <w:p w14:paraId="51CE6F8A" w14:textId="2CC4DEFF"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19. </w:t>
      </w:r>
      <w:r w:rsidRPr="00FA2BBA">
        <w:rPr>
          <w:rFonts w:ascii="Times New Roman" w:hAnsi="Times New Roman" w:cs="Times New Roman"/>
          <w:noProof/>
          <w:sz w:val="24"/>
          <w:szCs w:val="24"/>
        </w:rPr>
        <w:tab/>
        <w:t xml:space="preserve">Wu </w:t>
      </w:r>
      <w:r w:rsidR="00AE0050">
        <w:rPr>
          <w:rFonts w:ascii="Times New Roman" w:hAnsi="Times New Roman" w:cs="Times New Roman"/>
          <w:noProof/>
          <w:sz w:val="24"/>
          <w:szCs w:val="24"/>
        </w:rPr>
        <w:t>YP, Franciosi JP, Rothenberg ME et al. (2012)</w:t>
      </w:r>
      <w:r w:rsidR="00AE0050" w:rsidRPr="00FA2BBA">
        <w:rPr>
          <w:rFonts w:ascii="Times New Roman" w:hAnsi="Times New Roman" w:cs="Times New Roman"/>
          <w:noProof/>
          <w:sz w:val="24"/>
          <w:szCs w:val="24"/>
        </w:rPr>
        <w:t xml:space="preserve"> </w:t>
      </w:r>
      <w:r w:rsidR="00AE0050">
        <w:rPr>
          <w:rFonts w:ascii="Times New Roman" w:hAnsi="Times New Roman" w:cs="Times New Roman"/>
          <w:noProof/>
          <w:sz w:val="24"/>
          <w:szCs w:val="24"/>
        </w:rPr>
        <w:t>B</w:t>
      </w:r>
      <w:r w:rsidRPr="00FA2BBA">
        <w:rPr>
          <w:rFonts w:ascii="Times New Roman" w:hAnsi="Times New Roman" w:cs="Times New Roman"/>
          <w:noProof/>
          <w:sz w:val="24"/>
          <w:szCs w:val="24"/>
        </w:rPr>
        <w:t>ehavioral feeding problems and parenting stress in eosinophilic gastrointestinal disorders in children. Pediatr Allergy Immunol</w:t>
      </w:r>
      <w:r w:rsidR="00AE0050">
        <w:rPr>
          <w:rFonts w:ascii="Times New Roman" w:hAnsi="Times New Roman" w:cs="Times New Roman"/>
          <w:noProof/>
          <w:sz w:val="24"/>
          <w:szCs w:val="24"/>
        </w:rPr>
        <w:t xml:space="preserve"> 23,</w:t>
      </w:r>
      <w:r w:rsidRPr="00FA2BBA">
        <w:rPr>
          <w:rFonts w:ascii="Times New Roman" w:hAnsi="Times New Roman" w:cs="Times New Roman"/>
          <w:noProof/>
          <w:sz w:val="24"/>
          <w:szCs w:val="24"/>
        </w:rPr>
        <w:t xml:space="preserve">730–5. </w:t>
      </w:r>
    </w:p>
    <w:p w14:paraId="7799E54F" w14:textId="29E07B3A"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20. </w:t>
      </w:r>
      <w:r w:rsidRPr="00FA2BBA">
        <w:rPr>
          <w:rFonts w:ascii="Times New Roman" w:hAnsi="Times New Roman" w:cs="Times New Roman"/>
          <w:noProof/>
          <w:sz w:val="24"/>
          <w:szCs w:val="24"/>
        </w:rPr>
        <w:tab/>
      </w:r>
      <w:r w:rsidR="00AE0050">
        <w:rPr>
          <w:rFonts w:ascii="Times New Roman" w:hAnsi="Times New Roman" w:cs="Times New Roman"/>
          <w:noProof/>
          <w:sz w:val="24"/>
          <w:szCs w:val="24"/>
        </w:rPr>
        <w:t xml:space="preserve">Mathisen B, Worrall L, Masel J et al. (1999) </w:t>
      </w:r>
      <w:r w:rsidRPr="00FA2BBA">
        <w:rPr>
          <w:rFonts w:ascii="Times New Roman" w:hAnsi="Times New Roman" w:cs="Times New Roman"/>
          <w:noProof/>
          <w:sz w:val="24"/>
          <w:szCs w:val="24"/>
        </w:rPr>
        <w:t>Feeding problems in infants with gastro-oesophageal reflux disease: A controlled study. J Paediatr Child Health</w:t>
      </w:r>
      <w:r w:rsidR="00AE0050">
        <w:rPr>
          <w:rFonts w:ascii="Times New Roman" w:hAnsi="Times New Roman" w:cs="Times New Roman"/>
          <w:noProof/>
          <w:sz w:val="24"/>
          <w:szCs w:val="24"/>
        </w:rPr>
        <w:t xml:space="preserve"> 35,</w:t>
      </w:r>
      <w:r w:rsidRPr="00FA2BBA">
        <w:rPr>
          <w:rFonts w:ascii="Times New Roman" w:hAnsi="Times New Roman" w:cs="Times New Roman"/>
          <w:noProof/>
          <w:sz w:val="24"/>
          <w:szCs w:val="24"/>
        </w:rPr>
        <w:t xml:space="preserve">163–9. </w:t>
      </w:r>
    </w:p>
    <w:p w14:paraId="65FF0248" w14:textId="002CA1FF"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21. </w:t>
      </w:r>
      <w:r w:rsidRPr="00FA2BBA">
        <w:rPr>
          <w:rFonts w:ascii="Times New Roman" w:hAnsi="Times New Roman" w:cs="Times New Roman"/>
          <w:noProof/>
          <w:sz w:val="24"/>
          <w:szCs w:val="24"/>
        </w:rPr>
        <w:tab/>
        <w:t>Addessi E, Galloway AT, V</w:t>
      </w:r>
      <w:r w:rsidR="00AE0050">
        <w:rPr>
          <w:rFonts w:ascii="Times New Roman" w:hAnsi="Times New Roman" w:cs="Times New Roman"/>
          <w:noProof/>
          <w:sz w:val="24"/>
          <w:szCs w:val="24"/>
        </w:rPr>
        <w:t xml:space="preserve">isalberghi E et al. (2005) </w:t>
      </w:r>
      <w:r w:rsidRPr="00FA2BBA">
        <w:rPr>
          <w:rFonts w:ascii="Times New Roman" w:hAnsi="Times New Roman" w:cs="Times New Roman"/>
          <w:noProof/>
          <w:sz w:val="24"/>
          <w:szCs w:val="24"/>
        </w:rPr>
        <w:t>Specific social influences on the acceptance of novel foods in 2-5-year-old children. Appetite</w:t>
      </w:r>
      <w:r w:rsidR="00AE0050">
        <w:rPr>
          <w:rFonts w:ascii="Times New Roman" w:hAnsi="Times New Roman" w:cs="Times New Roman"/>
          <w:noProof/>
          <w:sz w:val="24"/>
          <w:szCs w:val="24"/>
        </w:rPr>
        <w:t xml:space="preserve"> 45, </w:t>
      </w:r>
      <w:r w:rsidRPr="00FA2BBA">
        <w:rPr>
          <w:rFonts w:ascii="Times New Roman" w:hAnsi="Times New Roman" w:cs="Times New Roman"/>
          <w:noProof/>
          <w:sz w:val="24"/>
          <w:szCs w:val="24"/>
        </w:rPr>
        <w:t xml:space="preserve">264–71. </w:t>
      </w:r>
    </w:p>
    <w:p w14:paraId="0307644B" w14:textId="35A76633"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22</w:t>
      </w:r>
      <w:r w:rsidR="00AE0050">
        <w:rPr>
          <w:rFonts w:ascii="Times New Roman" w:hAnsi="Times New Roman" w:cs="Times New Roman"/>
          <w:noProof/>
          <w:sz w:val="24"/>
          <w:szCs w:val="24"/>
        </w:rPr>
        <w:t xml:space="preserve">. </w:t>
      </w:r>
      <w:r w:rsidR="00AE0050">
        <w:rPr>
          <w:rFonts w:ascii="Times New Roman" w:hAnsi="Times New Roman" w:cs="Times New Roman"/>
          <w:noProof/>
          <w:sz w:val="24"/>
          <w:szCs w:val="24"/>
        </w:rPr>
        <w:tab/>
        <w:t xml:space="preserve">Maslin K, Dean T, Arshad SH et al. (2015) </w:t>
      </w:r>
      <w:r w:rsidRPr="00FA2BBA">
        <w:rPr>
          <w:rFonts w:ascii="Times New Roman" w:hAnsi="Times New Roman" w:cs="Times New Roman"/>
          <w:noProof/>
          <w:sz w:val="24"/>
          <w:szCs w:val="24"/>
        </w:rPr>
        <w:t>Fussy eating and feeding difficulties in infants and toddlers consuming a cows’ milk exclusio</w:t>
      </w:r>
      <w:r w:rsidR="00102EE7">
        <w:rPr>
          <w:rFonts w:ascii="Times New Roman" w:hAnsi="Times New Roman" w:cs="Times New Roman"/>
          <w:noProof/>
          <w:sz w:val="24"/>
          <w:szCs w:val="24"/>
        </w:rPr>
        <w:t>n diet. Pediatr Allergy Immunol 26, 503-508.</w:t>
      </w:r>
    </w:p>
    <w:p w14:paraId="4D9F4672" w14:textId="183EDE29"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23. </w:t>
      </w:r>
      <w:r w:rsidRPr="00FA2BBA">
        <w:rPr>
          <w:rFonts w:ascii="Times New Roman" w:hAnsi="Times New Roman" w:cs="Times New Roman"/>
          <w:noProof/>
          <w:sz w:val="24"/>
          <w:szCs w:val="24"/>
        </w:rPr>
        <w:tab/>
        <w:t>Fla</w:t>
      </w:r>
      <w:r w:rsidR="00AE0050">
        <w:rPr>
          <w:rFonts w:ascii="Times New Roman" w:hAnsi="Times New Roman" w:cs="Times New Roman"/>
          <w:noProof/>
          <w:sz w:val="24"/>
          <w:szCs w:val="24"/>
        </w:rPr>
        <w:t xml:space="preserve">mmarion S, Santos C, Guimber D </w:t>
      </w:r>
      <w:r w:rsidRPr="00FA2BBA">
        <w:rPr>
          <w:rFonts w:ascii="Times New Roman" w:hAnsi="Times New Roman" w:cs="Times New Roman"/>
          <w:noProof/>
          <w:sz w:val="24"/>
          <w:szCs w:val="24"/>
        </w:rPr>
        <w:t xml:space="preserve">et al. </w:t>
      </w:r>
      <w:r w:rsidR="00AE0050">
        <w:rPr>
          <w:rFonts w:ascii="Times New Roman" w:hAnsi="Times New Roman" w:cs="Times New Roman"/>
          <w:noProof/>
          <w:sz w:val="24"/>
          <w:szCs w:val="24"/>
        </w:rPr>
        <w:t xml:space="preserve">(2011) </w:t>
      </w:r>
      <w:r w:rsidRPr="00FA2BBA">
        <w:rPr>
          <w:rFonts w:ascii="Times New Roman" w:hAnsi="Times New Roman" w:cs="Times New Roman"/>
          <w:noProof/>
          <w:sz w:val="24"/>
          <w:szCs w:val="24"/>
        </w:rPr>
        <w:t>Diet and nutritional status of children with food allergies. Pediatr Allergy Immunol</w:t>
      </w:r>
      <w:r w:rsidR="00AE0050">
        <w:rPr>
          <w:rFonts w:ascii="Times New Roman" w:hAnsi="Times New Roman" w:cs="Times New Roman"/>
          <w:noProof/>
          <w:sz w:val="24"/>
          <w:szCs w:val="24"/>
        </w:rPr>
        <w:t xml:space="preserve"> 22, </w:t>
      </w:r>
      <w:r w:rsidRPr="00FA2BBA">
        <w:rPr>
          <w:rFonts w:ascii="Times New Roman" w:hAnsi="Times New Roman" w:cs="Times New Roman"/>
          <w:noProof/>
          <w:sz w:val="24"/>
          <w:szCs w:val="24"/>
        </w:rPr>
        <w:t xml:space="preserve">161–5. </w:t>
      </w:r>
    </w:p>
    <w:p w14:paraId="725E5BE7" w14:textId="25CD3645"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24. </w:t>
      </w:r>
      <w:r w:rsidRPr="00FA2BBA">
        <w:rPr>
          <w:rFonts w:ascii="Times New Roman" w:hAnsi="Times New Roman" w:cs="Times New Roman"/>
          <w:noProof/>
          <w:sz w:val="24"/>
          <w:szCs w:val="24"/>
        </w:rPr>
        <w:tab/>
      </w:r>
      <w:r w:rsidR="00102EE7">
        <w:rPr>
          <w:rFonts w:ascii="Times New Roman" w:hAnsi="Times New Roman" w:cs="Times New Roman"/>
          <w:noProof/>
          <w:sz w:val="24"/>
          <w:szCs w:val="24"/>
        </w:rPr>
        <w:t xml:space="preserve">Christie L, Hine RJ, Parker JG et al. (2002) </w:t>
      </w:r>
      <w:r w:rsidRPr="00FA2BBA">
        <w:rPr>
          <w:rFonts w:ascii="Times New Roman" w:hAnsi="Times New Roman" w:cs="Times New Roman"/>
          <w:noProof/>
          <w:sz w:val="24"/>
          <w:szCs w:val="24"/>
        </w:rPr>
        <w:t>Food allergies in children affect nutrient int</w:t>
      </w:r>
      <w:r w:rsidR="00102EE7">
        <w:rPr>
          <w:rFonts w:ascii="Times New Roman" w:hAnsi="Times New Roman" w:cs="Times New Roman"/>
          <w:noProof/>
          <w:sz w:val="24"/>
          <w:szCs w:val="24"/>
        </w:rPr>
        <w:t>ake and growth. J Am Diet Assoc 102,</w:t>
      </w:r>
      <w:r w:rsidR="00102EE7" w:rsidRPr="00FA2BBA">
        <w:rPr>
          <w:rFonts w:ascii="Times New Roman" w:hAnsi="Times New Roman" w:cs="Times New Roman"/>
          <w:noProof/>
          <w:sz w:val="24"/>
          <w:szCs w:val="24"/>
        </w:rPr>
        <w:t xml:space="preserve"> </w:t>
      </w:r>
      <w:r w:rsidRPr="00FA2BBA">
        <w:rPr>
          <w:rFonts w:ascii="Times New Roman" w:hAnsi="Times New Roman" w:cs="Times New Roman"/>
          <w:noProof/>
          <w:sz w:val="24"/>
          <w:szCs w:val="24"/>
        </w:rPr>
        <w:t xml:space="preserve">1648–51. </w:t>
      </w:r>
    </w:p>
    <w:p w14:paraId="28F8B19E" w14:textId="580D97B0"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25. </w:t>
      </w:r>
      <w:r w:rsidRPr="00FA2BBA">
        <w:rPr>
          <w:rFonts w:ascii="Times New Roman" w:hAnsi="Times New Roman" w:cs="Times New Roman"/>
          <w:noProof/>
          <w:sz w:val="24"/>
          <w:szCs w:val="24"/>
        </w:rPr>
        <w:tab/>
        <w:t>B</w:t>
      </w:r>
      <w:r w:rsidR="00AE0050">
        <w:rPr>
          <w:rFonts w:ascii="Times New Roman" w:hAnsi="Times New Roman" w:cs="Times New Roman"/>
          <w:noProof/>
          <w:sz w:val="24"/>
          <w:szCs w:val="24"/>
        </w:rPr>
        <w:t>erry MJ, Adams J, Voutilainen H et al. (2015)</w:t>
      </w:r>
      <w:r w:rsidRPr="00FA2BBA">
        <w:rPr>
          <w:rFonts w:ascii="Times New Roman" w:hAnsi="Times New Roman" w:cs="Times New Roman"/>
          <w:noProof/>
          <w:sz w:val="24"/>
          <w:szCs w:val="24"/>
        </w:rPr>
        <w:t xml:space="preserve"> Impact of elimination diets on growth and nutritional status in children with multiple food allergies. Pediatr Allergy Immunol</w:t>
      </w:r>
      <w:r w:rsidR="00102EE7">
        <w:rPr>
          <w:rFonts w:ascii="Times New Roman" w:hAnsi="Times New Roman" w:cs="Times New Roman"/>
          <w:noProof/>
          <w:sz w:val="24"/>
          <w:szCs w:val="24"/>
        </w:rPr>
        <w:t xml:space="preserve"> 26, 133-138.</w:t>
      </w:r>
      <w:r w:rsidRPr="00FA2BBA">
        <w:rPr>
          <w:rFonts w:ascii="Times New Roman" w:hAnsi="Times New Roman" w:cs="Times New Roman"/>
          <w:noProof/>
          <w:sz w:val="24"/>
          <w:szCs w:val="24"/>
        </w:rPr>
        <w:t xml:space="preserve"> </w:t>
      </w:r>
    </w:p>
    <w:p w14:paraId="67C2C83F" w14:textId="7A9539C2"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26. </w:t>
      </w:r>
      <w:r w:rsidRPr="00FA2BBA">
        <w:rPr>
          <w:rFonts w:ascii="Times New Roman" w:hAnsi="Times New Roman" w:cs="Times New Roman"/>
          <w:noProof/>
          <w:sz w:val="24"/>
          <w:szCs w:val="24"/>
        </w:rPr>
        <w:tab/>
        <w:t>Henri</w:t>
      </w:r>
      <w:r w:rsidR="00AE0050">
        <w:rPr>
          <w:rFonts w:ascii="Times New Roman" w:hAnsi="Times New Roman" w:cs="Times New Roman"/>
          <w:noProof/>
          <w:sz w:val="24"/>
          <w:szCs w:val="24"/>
        </w:rPr>
        <w:t xml:space="preserve">ksen C, Eggesbø M, Halvorsen R et al. (2000) </w:t>
      </w:r>
      <w:r w:rsidRPr="00FA2BBA">
        <w:rPr>
          <w:rFonts w:ascii="Times New Roman" w:hAnsi="Times New Roman" w:cs="Times New Roman"/>
          <w:noProof/>
          <w:sz w:val="24"/>
          <w:szCs w:val="24"/>
        </w:rPr>
        <w:t>Nutrient intake among two-year-old children on cows’ milk-restricted diets. Acta Paediatr</w:t>
      </w:r>
      <w:r w:rsidR="00AE0050">
        <w:rPr>
          <w:rFonts w:ascii="Times New Roman" w:hAnsi="Times New Roman" w:cs="Times New Roman"/>
          <w:noProof/>
          <w:sz w:val="24"/>
          <w:szCs w:val="24"/>
        </w:rPr>
        <w:t xml:space="preserve"> 89, </w:t>
      </w:r>
      <w:r w:rsidRPr="00FA2BBA">
        <w:rPr>
          <w:rFonts w:ascii="Times New Roman" w:hAnsi="Times New Roman" w:cs="Times New Roman"/>
          <w:noProof/>
          <w:sz w:val="24"/>
          <w:szCs w:val="24"/>
        </w:rPr>
        <w:t xml:space="preserve">272–8. </w:t>
      </w:r>
    </w:p>
    <w:p w14:paraId="6AC29E2C" w14:textId="77777777" w:rsidR="00AE0050"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27. </w:t>
      </w:r>
      <w:r w:rsidR="00AE0050">
        <w:rPr>
          <w:rFonts w:ascii="Times New Roman" w:hAnsi="Times New Roman" w:cs="Times New Roman"/>
          <w:noProof/>
          <w:sz w:val="24"/>
          <w:szCs w:val="24"/>
        </w:rPr>
        <w:tab/>
        <w:t>Meyer R, De Koker C, Dziubak R</w:t>
      </w:r>
      <w:r w:rsidRPr="00FA2BBA">
        <w:rPr>
          <w:rFonts w:ascii="Times New Roman" w:hAnsi="Times New Roman" w:cs="Times New Roman"/>
          <w:noProof/>
          <w:sz w:val="24"/>
          <w:szCs w:val="24"/>
        </w:rPr>
        <w:t xml:space="preserve"> et al. </w:t>
      </w:r>
      <w:r w:rsidR="00AE0050">
        <w:rPr>
          <w:rFonts w:ascii="Times New Roman" w:hAnsi="Times New Roman" w:cs="Times New Roman"/>
          <w:noProof/>
          <w:sz w:val="24"/>
          <w:szCs w:val="24"/>
        </w:rPr>
        <w:t xml:space="preserve">(2015) </w:t>
      </w:r>
      <w:r w:rsidRPr="00FA2BBA">
        <w:rPr>
          <w:rFonts w:ascii="Times New Roman" w:hAnsi="Times New Roman" w:cs="Times New Roman"/>
          <w:noProof/>
          <w:sz w:val="24"/>
          <w:szCs w:val="24"/>
        </w:rPr>
        <w:t xml:space="preserve">A practical approach to vitamin and mineral supplementation in food allergic children. Clin Transl Allergy </w:t>
      </w:r>
      <w:r w:rsidR="00AE0050">
        <w:rPr>
          <w:rFonts w:ascii="Times New Roman" w:hAnsi="Times New Roman" w:cs="Times New Roman"/>
          <w:noProof/>
          <w:sz w:val="24"/>
          <w:szCs w:val="24"/>
        </w:rPr>
        <w:t xml:space="preserve"> 5, 11.</w:t>
      </w:r>
    </w:p>
    <w:p w14:paraId="42FF0B43" w14:textId="02B203D8" w:rsidR="00FA2BBA" w:rsidRPr="00FA2BBA" w:rsidRDefault="00AE0050"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28. </w:t>
      </w:r>
      <w:r>
        <w:rPr>
          <w:rFonts w:ascii="Times New Roman" w:hAnsi="Times New Roman" w:cs="Times New Roman"/>
          <w:noProof/>
          <w:sz w:val="24"/>
          <w:szCs w:val="24"/>
        </w:rPr>
        <w:tab/>
        <w:t xml:space="preserve">Eigenmann PA, Caubet JC &amp; Zamora SA (2006) </w:t>
      </w:r>
      <w:r w:rsidR="00FA2BBA" w:rsidRPr="00FA2BBA">
        <w:rPr>
          <w:rFonts w:ascii="Times New Roman" w:hAnsi="Times New Roman" w:cs="Times New Roman"/>
          <w:noProof/>
          <w:sz w:val="24"/>
          <w:szCs w:val="24"/>
        </w:rPr>
        <w:t>Continuing food-avoidance diets after negative food challenges. Pediatr Allergy Immunol</w:t>
      </w:r>
      <w:r>
        <w:rPr>
          <w:rFonts w:ascii="Times New Roman" w:hAnsi="Times New Roman" w:cs="Times New Roman"/>
          <w:noProof/>
          <w:sz w:val="24"/>
          <w:szCs w:val="24"/>
        </w:rPr>
        <w:t xml:space="preserve"> 17, </w:t>
      </w:r>
      <w:r w:rsidR="00FA2BBA" w:rsidRPr="00FA2BBA">
        <w:rPr>
          <w:rFonts w:ascii="Times New Roman" w:hAnsi="Times New Roman" w:cs="Times New Roman"/>
          <w:noProof/>
          <w:sz w:val="24"/>
          <w:szCs w:val="24"/>
        </w:rPr>
        <w:t xml:space="preserve">601–5. </w:t>
      </w:r>
    </w:p>
    <w:p w14:paraId="4D5FE859" w14:textId="41F907C7"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29. </w:t>
      </w:r>
      <w:r w:rsidRPr="00FA2BBA">
        <w:rPr>
          <w:rFonts w:ascii="Times New Roman" w:hAnsi="Times New Roman" w:cs="Times New Roman"/>
          <w:noProof/>
          <w:sz w:val="24"/>
          <w:szCs w:val="24"/>
        </w:rPr>
        <w:tab/>
        <w:t>Kim J</w:t>
      </w:r>
      <w:r w:rsidR="00AE0050">
        <w:rPr>
          <w:rFonts w:ascii="Times New Roman" w:hAnsi="Times New Roman" w:cs="Times New Roman"/>
          <w:noProof/>
          <w:sz w:val="24"/>
          <w:szCs w:val="24"/>
        </w:rPr>
        <w:t xml:space="preserve">S, Nowak-Wgrzyn A, Sicherer SH et al. (2011) </w:t>
      </w:r>
      <w:r w:rsidRPr="00FA2BBA">
        <w:rPr>
          <w:rFonts w:ascii="Times New Roman" w:hAnsi="Times New Roman" w:cs="Times New Roman"/>
          <w:noProof/>
          <w:sz w:val="24"/>
          <w:szCs w:val="24"/>
        </w:rPr>
        <w:t>Dietary baked milk accelerates the resolution of cow’s milk allergy in ch</w:t>
      </w:r>
      <w:r w:rsidR="00AE0050">
        <w:rPr>
          <w:rFonts w:ascii="Times New Roman" w:hAnsi="Times New Roman" w:cs="Times New Roman"/>
          <w:noProof/>
          <w:sz w:val="24"/>
          <w:szCs w:val="24"/>
        </w:rPr>
        <w:t xml:space="preserve">ildren. J Allergy Clin Immunol 128, </w:t>
      </w:r>
      <w:r w:rsidRPr="00FA2BBA">
        <w:rPr>
          <w:rFonts w:ascii="Times New Roman" w:hAnsi="Times New Roman" w:cs="Times New Roman"/>
          <w:noProof/>
          <w:sz w:val="24"/>
          <w:szCs w:val="24"/>
        </w:rPr>
        <w:t xml:space="preserve">125–31. </w:t>
      </w:r>
    </w:p>
    <w:p w14:paraId="73618475" w14:textId="1F4090C5"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30. </w:t>
      </w:r>
      <w:r w:rsidRPr="00FA2BBA">
        <w:rPr>
          <w:rFonts w:ascii="Times New Roman" w:hAnsi="Times New Roman" w:cs="Times New Roman"/>
          <w:noProof/>
          <w:sz w:val="24"/>
          <w:szCs w:val="24"/>
        </w:rPr>
        <w:tab/>
        <w:t>Gri</w:t>
      </w:r>
      <w:r w:rsidR="00AE0050">
        <w:rPr>
          <w:rFonts w:ascii="Times New Roman" w:hAnsi="Times New Roman" w:cs="Times New Roman"/>
          <w:noProof/>
          <w:sz w:val="24"/>
          <w:szCs w:val="24"/>
        </w:rPr>
        <w:t>mshaw KEC, Maskell J, Oliver EM</w:t>
      </w:r>
      <w:r w:rsidRPr="00FA2BBA">
        <w:rPr>
          <w:rFonts w:ascii="Times New Roman" w:hAnsi="Times New Roman" w:cs="Times New Roman"/>
          <w:noProof/>
          <w:sz w:val="24"/>
          <w:szCs w:val="24"/>
        </w:rPr>
        <w:t xml:space="preserve"> et al. </w:t>
      </w:r>
      <w:r w:rsidR="00AE0050">
        <w:rPr>
          <w:rFonts w:ascii="Times New Roman" w:hAnsi="Times New Roman" w:cs="Times New Roman"/>
          <w:noProof/>
          <w:sz w:val="24"/>
          <w:szCs w:val="24"/>
        </w:rPr>
        <w:t xml:space="preserve">(2014) </w:t>
      </w:r>
      <w:r w:rsidRPr="00FA2BBA">
        <w:rPr>
          <w:rFonts w:ascii="Times New Roman" w:hAnsi="Times New Roman" w:cs="Times New Roman"/>
          <w:noProof/>
          <w:sz w:val="24"/>
          <w:szCs w:val="24"/>
        </w:rPr>
        <w:t>Diet and food allergy development during infancy: Birth cohort study findings using prospective food diar</w:t>
      </w:r>
      <w:r w:rsidR="00AE0050">
        <w:rPr>
          <w:rFonts w:ascii="Times New Roman" w:hAnsi="Times New Roman" w:cs="Times New Roman"/>
          <w:noProof/>
          <w:sz w:val="24"/>
          <w:szCs w:val="24"/>
        </w:rPr>
        <w:t xml:space="preserve">y data. J Allergy Clin Immunol 133, </w:t>
      </w:r>
      <w:r w:rsidRPr="00FA2BBA">
        <w:rPr>
          <w:rFonts w:ascii="Times New Roman" w:hAnsi="Times New Roman" w:cs="Times New Roman"/>
          <w:noProof/>
          <w:sz w:val="24"/>
          <w:szCs w:val="24"/>
        </w:rPr>
        <w:t xml:space="preserve">511–9. </w:t>
      </w:r>
    </w:p>
    <w:p w14:paraId="7F236C71" w14:textId="50DC1FD8" w:rsidR="00FA2BBA" w:rsidRPr="00FA2BBA" w:rsidRDefault="00AE0050"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31. </w:t>
      </w:r>
      <w:r>
        <w:rPr>
          <w:rFonts w:ascii="Times New Roman" w:hAnsi="Times New Roman" w:cs="Times New Roman"/>
          <w:noProof/>
          <w:sz w:val="24"/>
          <w:szCs w:val="24"/>
        </w:rPr>
        <w:tab/>
        <w:t xml:space="preserve">Pliner P (1994) </w:t>
      </w:r>
      <w:r w:rsidR="00FA2BBA" w:rsidRPr="00FA2BBA">
        <w:rPr>
          <w:rFonts w:ascii="Times New Roman" w:hAnsi="Times New Roman" w:cs="Times New Roman"/>
          <w:noProof/>
          <w:sz w:val="24"/>
          <w:szCs w:val="24"/>
        </w:rPr>
        <w:t>Development of measures of food neophobia in children. Appetite</w:t>
      </w:r>
      <w:r w:rsidR="00102EE7">
        <w:rPr>
          <w:rFonts w:ascii="Times New Roman" w:hAnsi="Times New Roman" w:cs="Times New Roman"/>
          <w:noProof/>
          <w:sz w:val="24"/>
          <w:szCs w:val="24"/>
        </w:rPr>
        <w:t xml:space="preserve"> 23, 147-63.</w:t>
      </w:r>
    </w:p>
    <w:p w14:paraId="0D0439A5" w14:textId="6A0602F3" w:rsidR="00FA2BBA" w:rsidRPr="00FA2BBA" w:rsidRDefault="00E72770"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32. </w:t>
      </w:r>
      <w:r>
        <w:rPr>
          <w:rFonts w:ascii="Times New Roman" w:hAnsi="Times New Roman" w:cs="Times New Roman"/>
          <w:noProof/>
          <w:sz w:val="24"/>
          <w:szCs w:val="24"/>
        </w:rPr>
        <w:tab/>
        <w:t>Knof K, Lanfer A, Bildstein MO et al. (2011)</w:t>
      </w:r>
      <w:r w:rsidR="00FA2BBA" w:rsidRPr="00FA2BBA">
        <w:rPr>
          <w:rFonts w:ascii="Times New Roman" w:hAnsi="Times New Roman" w:cs="Times New Roman"/>
          <w:noProof/>
          <w:sz w:val="24"/>
          <w:szCs w:val="24"/>
        </w:rPr>
        <w:t xml:space="preserve"> Development of a method to measure sensory perception in children at the European level. Int J Obes </w:t>
      </w:r>
      <w:r>
        <w:rPr>
          <w:rFonts w:ascii="Times New Roman" w:hAnsi="Times New Roman" w:cs="Times New Roman"/>
          <w:noProof/>
          <w:sz w:val="24"/>
          <w:szCs w:val="24"/>
        </w:rPr>
        <w:t xml:space="preserve">35, </w:t>
      </w:r>
      <w:r w:rsidR="00FA2BBA" w:rsidRPr="00FA2BBA">
        <w:rPr>
          <w:rFonts w:ascii="Times New Roman" w:hAnsi="Times New Roman" w:cs="Times New Roman"/>
          <w:noProof/>
          <w:sz w:val="24"/>
          <w:szCs w:val="24"/>
        </w:rPr>
        <w:t xml:space="preserve">S131–6. </w:t>
      </w:r>
    </w:p>
    <w:p w14:paraId="76241587" w14:textId="0DA1F424" w:rsidR="00FA2BBA" w:rsidRPr="00FA2BBA" w:rsidRDefault="00E72770"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33. </w:t>
      </w:r>
      <w:r>
        <w:rPr>
          <w:rFonts w:ascii="Times New Roman" w:hAnsi="Times New Roman" w:cs="Times New Roman"/>
          <w:noProof/>
          <w:sz w:val="24"/>
          <w:szCs w:val="24"/>
        </w:rPr>
        <w:tab/>
        <w:t>Popper R &amp; Kroll JJ (2005)</w:t>
      </w:r>
      <w:r w:rsidR="00FA2BBA" w:rsidRPr="00FA2BBA">
        <w:rPr>
          <w:rFonts w:ascii="Times New Roman" w:hAnsi="Times New Roman" w:cs="Times New Roman"/>
          <w:noProof/>
          <w:sz w:val="24"/>
          <w:szCs w:val="24"/>
        </w:rPr>
        <w:t xml:space="preserve"> Issues and Viewpoints Conducting Sensory Research With Children.</w:t>
      </w:r>
      <w:r>
        <w:rPr>
          <w:rFonts w:ascii="Times New Roman" w:hAnsi="Times New Roman" w:cs="Times New Roman"/>
          <w:noProof/>
          <w:sz w:val="24"/>
          <w:szCs w:val="24"/>
        </w:rPr>
        <w:t>20,</w:t>
      </w:r>
      <w:r w:rsidRPr="00FA2BBA">
        <w:rPr>
          <w:rFonts w:ascii="Times New Roman" w:hAnsi="Times New Roman" w:cs="Times New Roman"/>
          <w:noProof/>
          <w:sz w:val="24"/>
          <w:szCs w:val="24"/>
        </w:rPr>
        <w:t xml:space="preserve"> </w:t>
      </w:r>
      <w:r w:rsidR="00FA2BBA" w:rsidRPr="00FA2BBA">
        <w:rPr>
          <w:rFonts w:ascii="Times New Roman" w:hAnsi="Times New Roman" w:cs="Times New Roman"/>
          <w:noProof/>
          <w:sz w:val="24"/>
          <w:szCs w:val="24"/>
        </w:rPr>
        <w:t xml:space="preserve">75–87. </w:t>
      </w:r>
    </w:p>
    <w:p w14:paraId="615ACAC9" w14:textId="1137BC2D"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34. </w:t>
      </w:r>
      <w:r w:rsidRPr="00FA2BBA">
        <w:rPr>
          <w:rFonts w:ascii="Times New Roman" w:hAnsi="Times New Roman" w:cs="Times New Roman"/>
          <w:noProof/>
          <w:sz w:val="24"/>
          <w:szCs w:val="24"/>
        </w:rPr>
        <w:tab/>
        <w:t>Smith</w:t>
      </w:r>
      <w:r w:rsidR="00E72770">
        <w:rPr>
          <w:rFonts w:ascii="Times New Roman" w:hAnsi="Times New Roman" w:cs="Times New Roman"/>
          <w:noProof/>
          <w:sz w:val="24"/>
          <w:szCs w:val="24"/>
        </w:rPr>
        <w:t xml:space="preserve">ers MG, Smithers G, Gregory JR </w:t>
      </w:r>
      <w:r w:rsidRPr="00FA2BBA">
        <w:rPr>
          <w:rFonts w:ascii="Times New Roman" w:hAnsi="Times New Roman" w:cs="Times New Roman"/>
          <w:noProof/>
          <w:sz w:val="24"/>
          <w:szCs w:val="24"/>
        </w:rPr>
        <w:t xml:space="preserve">et al. </w:t>
      </w:r>
      <w:r w:rsidR="00E72770">
        <w:rPr>
          <w:rFonts w:ascii="Times New Roman" w:hAnsi="Times New Roman" w:cs="Times New Roman"/>
          <w:noProof/>
          <w:sz w:val="24"/>
          <w:szCs w:val="24"/>
        </w:rPr>
        <w:t xml:space="preserve">(2000) </w:t>
      </w:r>
      <w:r w:rsidRPr="00FA2BBA">
        <w:rPr>
          <w:rFonts w:ascii="Times New Roman" w:hAnsi="Times New Roman" w:cs="Times New Roman"/>
          <w:noProof/>
          <w:sz w:val="24"/>
          <w:szCs w:val="24"/>
        </w:rPr>
        <w:t>The National Diet and Nutrition Survey: young pe</w:t>
      </w:r>
      <w:r w:rsidR="00E72770">
        <w:rPr>
          <w:rFonts w:ascii="Times New Roman" w:hAnsi="Times New Roman" w:cs="Times New Roman"/>
          <w:noProof/>
          <w:sz w:val="24"/>
          <w:szCs w:val="24"/>
        </w:rPr>
        <w:t xml:space="preserve">ople aged 4–18 years. Nutr Bull 25, </w:t>
      </w:r>
      <w:r w:rsidRPr="00FA2BBA">
        <w:rPr>
          <w:rFonts w:ascii="Times New Roman" w:hAnsi="Times New Roman" w:cs="Times New Roman"/>
          <w:noProof/>
          <w:sz w:val="24"/>
          <w:szCs w:val="24"/>
        </w:rPr>
        <w:t xml:space="preserve">105–11. </w:t>
      </w:r>
    </w:p>
    <w:p w14:paraId="73226CD7" w14:textId="6C86BFC7"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35. </w:t>
      </w:r>
      <w:r w:rsidRPr="00FA2BBA">
        <w:rPr>
          <w:rFonts w:ascii="Times New Roman" w:hAnsi="Times New Roman" w:cs="Times New Roman"/>
          <w:noProof/>
          <w:sz w:val="24"/>
          <w:szCs w:val="24"/>
        </w:rPr>
        <w:tab/>
        <w:t>Wrieden</w:t>
      </w:r>
      <w:r w:rsidR="00E72770">
        <w:rPr>
          <w:rFonts w:ascii="Times New Roman" w:hAnsi="Times New Roman" w:cs="Times New Roman"/>
          <w:noProof/>
          <w:sz w:val="24"/>
          <w:szCs w:val="24"/>
        </w:rPr>
        <w:t xml:space="preserve"> WL, Longbottom PJ, Adamson AJ </w:t>
      </w:r>
      <w:r w:rsidRPr="00FA2BBA">
        <w:rPr>
          <w:rFonts w:ascii="Times New Roman" w:hAnsi="Times New Roman" w:cs="Times New Roman"/>
          <w:noProof/>
          <w:sz w:val="24"/>
          <w:szCs w:val="24"/>
        </w:rPr>
        <w:t xml:space="preserve">et al. </w:t>
      </w:r>
      <w:r w:rsidR="00E72770">
        <w:rPr>
          <w:rFonts w:ascii="Times New Roman" w:hAnsi="Times New Roman" w:cs="Times New Roman"/>
          <w:noProof/>
          <w:sz w:val="24"/>
          <w:szCs w:val="24"/>
        </w:rPr>
        <w:t xml:space="preserve">(2008) </w:t>
      </w:r>
      <w:r w:rsidRPr="00FA2BBA">
        <w:rPr>
          <w:rFonts w:ascii="Times New Roman" w:hAnsi="Times New Roman" w:cs="Times New Roman"/>
          <w:noProof/>
          <w:sz w:val="24"/>
          <w:szCs w:val="24"/>
        </w:rPr>
        <w:t>Estimation of typical food portion sizes for children of different ag</w:t>
      </w:r>
      <w:r w:rsidR="00E72770">
        <w:rPr>
          <w:rFonts w:ascii="Times New Roman" w:hAnsi="Times New Roman" w:cs="Times New Roman"/>
          <w:noProof/>
          <w:sz w:val="24"/>
          <w:szCs w:val="24"/>
        </w:rPr>
        <w:t xml:space="preserve">es in Great Britain. Br J Nutr 99, </w:t>
      </w:r>
      <w:r w:rsidRPr="00FA2BBA">
        <w:rPr>
          <w:rFonts w:ascii="Times New Roman" w:hAnsi="Times New Roman" w:cs="Times New Roman"/>
          <w:noProof/>
          <w:sz w:val="24"/>
          <w:szCs w:val="24"/>
        </w:rPr>
        <w:t xml:space="preserve">1344–53. </w:t>
      </w:r>
    </w:p>
    <w:p w14:paraId="0AB65C8F" w14:textId="72538817"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36</w:t>
      </w:r>
      <w:r w:rsidR="00E72770">
        <w:rPr>
          <w:rFonts w:ascii="Times New Roman" w:hAnsi="Times New Roman" w:cs="Times New Roman"/>
          <w:noProof/>
          <w:sz w:val="24"/>
          <w:szCs w:val="24"/>
        </w:rPr>
        <w:t xml:space="preserve">. </w:t>
      </w:r>
      <w:r w:rsidR="00E72770">
        <w:rPr>
          <w:rFonts w:ascii="Times New Roman" w:hAnsi="Times New Roman" w:cs="Times New Roman"/>
          <w:noProof/>
          <w:sz w:val="24"/>
          <w:szCs w:val="24"/>
        </w:rPr>
        <w:tab/>
        <w:t xml:space="preserve">Patel S, Vyas A, Custovic A et al. (2012) </w:t>
      </w:r>
      <w:r w:rsidRPr="00FA2BBA">
        <w:rPr>
          <w:rFonts w:ascii="Times New Roman" w:hAnsi="Times New Roman" w:cs="Times New Roman"/>
          <w:noProof/>
          <w:sz w:val="24"/>
          <w:szCs w:val="24"/>
        </w:rPr>
        <w:t>Estimated portion sizes in a school-aged popu</w:t>
      </w:r>
      <w:r w:rsidR="00E72770">
        <w:rPr>
          <w:rFonts w:ascii="Times New Roman" w:hAnsi="Times New Roman" w:cs="Times New Roman"/>
          <w:noProof/>
          <w:sz w:val="24"/>
          <w:szCs w:val="24"/>
        </w:rPr>
        <w:t>lation. Public Health Nutrition</w:t>
      </w:r>
      <w:r w:rsidR="00102EE7">
        <w:rPr>
          <w:rFonts w:ascii="Times New Roman" w:hAnsi="Times New Roman" w:cs="Times New Roman"/>
          <w:noProof/>
          <w:sz w:val="24"/>
          <w:szCs w:val="24"/>
        </w:rPr>
        <w:t xml:space="preserve"> 15, 2193-2201.</w:t>
      </w:r>
    </w:p>
    <w:p w14:paraId="11099585" w14:textId="5BC37F99" w:rsidR="00FA2BBA" w:rsidRPr="00FA2BBA" w:rsidRDefault="00E72770"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37. </w:t>
      </w:r>
      <w:r>
        <w:rPr>
          <w:rFonts w:ascii="Times New Roman" w:hAnsi="Times New Roman" w:cs="Times New Roman"/>
          <w:noProof/>
          <w:sz w:val="24"/>
          <w:szCs w:val="24"/>
        </w:rPr>
        <w:tab/>
        <w:t xml:space="preserve">Department of Health (1991) </w:t>
      </w:r>
      <w:r w:rsidR="00FA2BBA" w:rsidRPr="00FA2BBA">
        <w:rPr>
          <w:rFonts w:ascii="Times New Roman" w:hAnsi="Times New Roman" w:cs="Times New Roman"/>
          <w:noProof/>
          <w:sz w:val="24"/>
          <w:szCs w:val="24"/>
        </w:rPr>
        <w:t>Dietary Reference Values for Food Energy and Nutrients for the</w:t>
      </w:r>
      <w:r>
        <w:rPr>
          <w:rFonts w:ascii="Times New Roman" w:hAnsi="Times New Roman" w:cs="Times New Roman"/>
          <w:noProof/>
          <w:sz w:val="24"/>
          <w:szCs w:val="24"/>
        </w:rPr>
        <w:t xml:space="preserve"> United Kingdom. The Stationary Office. United Kingdom</w:t>
      </w:r>
      <w:r w:rsidR="00FA2BBA" w:rsidRPr="00FA2BBA">
        <w:rPr>
          <w:rFonts w:ascii="Times New Roman" w:hAnsi="Times New Roman" w:cs="Times New Roman"/>
          <w:noProof/>
          <w:sz w:val="24"/>
          <w:szCs w:val="24"/>
        </w:rPr>
        <w:t xml:space="preserve"> </w:t>
      </w:r>
    </w:p>
    <w:p w14:paraId="37B9D24E" w14:textId="50D86564"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38. </w:t>
      </w:r>
      <w:r w:rsidRPr="00FA2BBA">
        <w:rPr>
          <w:rFonts w:ascii="Times New Roman" w:hAnsi="Times New Roman" w:cs="Times New Roman"/>
          <w:noProof/>
          <w:sz w:val="24"/>
          <w:szCs w:val="24"/>
        </w:rPr>
        <w:tab/>
        <w:t xml:space="preserve">Child Growth Foundation. </w:t>
      </w:r>
      <w:r w:rsidR="00E72770">
        <w:rPr>
          <w:rFonts w:ascii="Times New Roman" w:hAnsi="Times New Roman" w:cs="Times New Roman"/>
          <w:noProof/>
          <w:sz w:val="24"/>
          <w:szCs w:val="24"/>
        </w:rPr>
        <w:t xml:space="preserve">(2009) </w:t>
      </w:r>
      <w:r w:rsidRPr="00FA2BBA">
        <w:rPr>
          <w:rFonts w:ascii="Times New Roman" w:hAnsi="Times New Roman" w:cs="Times New Roman"/>
          <w:noProof/>
          <w:sz w:val="24"/>
          <w:szCs w:val="24"/>
        </w:rPr>
        <w:t>4-18 years growth and BMI chart. London</w:t>
      </w:r>
      <w:r w:rsidR="00E72770">
        <w:rPr>
          <w:rFonts w:ascii="Times New Roman" w:hAnsi="Times New Roman" w:cs="Times New Roman"/>
          <w:noProof/>
          <w:sz w:val="24"/>
          <w:szCs w:val="24"/>
        </w:rPr>
        <w:t>.</w:t>
      </w:r>
      <w:r w:rsidRPr="00FA2BBA">
        <w:rPr>
          <w:rFonts w:ascii="Times New Roman" w:hAnsi="Times New Roman" w:cs="Times New Roman"/>
          <w:noProof/>
          <w:sz w:val="24"/>
          <w:szCs w:val="24"/>
        </w:rPr>
        <w:t xml:space="preserve"> </w:t>
      </w:r>
    </w:p>
    <w:p w14:paraId="6EC5BCA5" w14:textId="424D448B"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39. </w:t>
      </w:r>
      <w:r w:rsidRPr="00FA2BBA">
        <w:rPr>
          <w:rFonts w:ascii="Times New Roman" w:hAnsi="Times New Roman" w:cs="Times New Roman"/>
          <w:noProof/>
          <w:sz w:val="24"/>
          <w:szCs w:val="24"/>
        </w:rPr>
        <w:tab/>
      </w:r>
      <w:r w:rsidR="00E72770">
        <w:rPr>
          <w:rFonts w:ascii="Times New Roman" w:hAnsi="Times New Roman" w:cs="Times New Roman"/>
          <w:noProof/>
          <w:sz w:val="24"/>
          <w:szCs w:val="24"/>
        </w:rPr>
        <w:t>Cole TJ, Bellizzi MC, Flegal KM et al. (2000)</w:t>
      </w:r>
      <w:r w:rsidRPr="00FA2BBA">
        <w:rPr>
          <w:rFonts w:ascii="Times New Roman" w:hAnsi="Times New Roman" w:cs="Times New Roman"/>
          <w:noProof/>
          <w:sz w:val="24"/>
          <w:szCs w:val="24"/>
        </w:rPr>
        <w:t xml:space="preserve"> Establishing a standard definition for child overweight and obesity worldwide: international survey. BMJ </w:t>
      </w:r>
      <w:r w:rsidR="00E72770">
        <w:rPr>
          <w:rFonts w:ascii="Times New Roman" w:hAnsi="Times New Roman" w:cs="Times New Roman"/>
          <w:noProof/>
          <w:sz w:val="24"/>
          <w:szCs w:val="24"/>
        </w:rPr>
        <w:t>320,</w:t>
      </w:r>
      <w:r w:rsidRPr="00FA2BBA">
        <w:rPr>
          <w:rFonts w:ascii="Times New Roman" w:hAnsi="Times New Roman" w:cs="Times New Roman"/>
          <w:noProof/>
          <w:sz w:val="24"/>
          <w:szCs w:val="24"/>
        </w:rPr>
        <w:t xml:space="preserve">1240–3. </w:t>
      </w:r>
    </w:p>
    <w:p w14:paraId="32E2FCA1" w14:textId="0F2F5447"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40. </w:t>
      </w:r>
      <w:r w:rsidRPr="00FA2BBA">
        <w:rPr>
          <w:rFonts w:ascii="Times New Roman" w:hAnsi="Times New Roman" w:cs="Times New Roman"/>
          <w:noProof/>
          <w:sz w:val="24"/>
          <w:szCs w:val="24"/>
        </w:rPr>
        <w:tab/>
        <w:t>Wang J, Thornton JC,</w:t>
      </w:r>
      <w:r w:rsidR="00E72770">
        <w:rPr>
          <w:rFonts w:ascii="Times New Roman" w:hAnsi="Times New Roman" w:cs="Times New Roman"/>
          <w:noProof/>
          <w:sz w:val="24"/>
          <w:szCs w:val="24"/>
        </w:rPr>
        <w:t xml:space="preserve"> Bari S </w:t>
      </w:r>
      <w:r w:rsidRPr="00FA2BBA">
        <w:rPr>
          <w:rFonts w:ascii="Times New Roman" w:hAnsi="Times New Roman" w:cs="Times New Roman"/>
          <w:noProof/>
          <w:sz w:val="24"/>
          <w:szCs w:val="24"/>
        </w:rPr>
        <w:t xml:space="preserve">et al. </w:t>
      </w:r>
      <w:r w:rsidR="00E72770">
        <w:rPr>
          <w:rFonts w:ascii="Times New Roman" w:hAnsi="Times New Roman" w:cs="Times New Roman"/>
          <w:noProof/>
          <w:sz w:val="24"/>
          <w:szCs w:val="24"/>
        </w:rPr>
        <w:t xml:space="preserve">(2003) </w:t>
      </w:r>
      <w:r w:rsidRPr="00FA2BBA">
        <w:rPr>
          <w:rFonts w:ascii="Times New Roman" w:hAnsi="Times New Roman" w:cs="Times New Roman"/>
          <w:noProof/>
          <w:sz w:val="24"/>
          <w:szCs w:val="24"/>
        </w:rPr>
        <w:t>Comparisons of waist circumferences meas</w:t>
      </w:r>
      <w:r w:rsidR="00E72770">
        <w:rPr>
          <w:rFonts w:ascii="Times New Roman" w:hAnsi="Times New Roman" w:cs="Times New Roman"/>
          <w:noProof/>
          <w:sz w:val="24"/>
          <w:szCs w:val="24"/>
        </w:rPr>
        <w:t>ured at 4 sites. Am J Clin Nutr 77,</w:t>
      </w:r>
      <w:r w:rsidR="00E72770" w:rsidRPr="00FA2BBA">
        <w:rPr>
          <w:rFonts w:ascii="Times New Roman" w:hAnsi="Times New Roman" w:cs="Times New Roman"/>
          <w:noProof/>
          <w:sz w:val="24"/>
          <w:szCs w:val="24"/>
        </w:rPr>
        <w:t xml:space="preserve"> </w:t>
      </w:r>
      <w:r w:rsidRPr="00FA2BBA">
        <w:rPr>
          <w:rFonts w:ascii="Times New Roman" w:hAnsi="Times New Roman" w:cs="Times New Roman"/>
          <w:noProof/>
          <w:sz w:val="24"/>
          <w:szCs w:val="24"/>
        </w:rPr>
        <w:t xml:space="preserve">379–84. </w:t>
      </w:r>
    </w:p>
    <w:p w14:paraId="49027B8A" w14:textId="2C8E0D5C"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41. </w:t>
      </w:r>
      <w:r w:rsidRPr="00FA2BBA">
        <w:rPr>
          <w:rFonts w:ascii="Times New Roman" w:hAnsi="Times New Roman" w:cs="Times New Roman"/>
          <w:noProof/>
          <w:sz w:val="24"/>
          <w:szCs w:val="24"/>
        </w:rPr>
        <w:tab/>
        <w:t>Mennel</w:t>
      </w:r>
      <w:r w:rsidR="00E72770">
        <w:rPr>
          <w:rFonts w:ascii="Times New Roman" w:hAnsi="Times New Roman" w:cs="Times New Roman"/>
          <w:noProof/>
          <w:sz w:val="24"/>
          <w:szCs w:val="24"/>
        </w:rPr>
        <w:t xml:space="preserve">la JA, Forestell CA, Morgan LK et al. (2009) </w:t>
      </w:r>
      <w:r w:rsidRPr="00FA2BBA">
        <w:rPr>
          <w:rFonts w:ascii="Times New Roman" w:hAnsi="Times New Roman" w:cs="Times New Roman"/>
          <w:noProof/>
          <w:sz w:val="24"/>
          <w:szCs w:val="24"/>
        </w:rPr>
        <w:t xml:space="preserve">Early milk feeding influences taste acceptance and liking during infancy. </w:t>
      </w:r>
      <w:r w:rsidR="00102EE7">
        <w:rPr>
          <w:rFonts w:ascii="Times New Roman" w:hAnsi="Times New Roman" w:cs="Times New Roman"/>
          <w:noProof/>
          <w:sz w:val="24"/>
          <w:szCs w:val="24"/>
        </w:rPr>
        <w:t>Am J Clin Nutr 09, 780S-788S.</w:t>
      </w:r>
    </w:p>
    <w:p w14:paraId="7F4A28CF" w14:textId="0DDE23C4" w:rsidR="00FA2BBA" w:rsidRPr="00FA2BBA" w:rsidRDefault="00E72770"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42. </w:t>
      </w:r>
      <w:r>
        <w:rPr>
          <w:rFonts w:ascii="Times New Roman" w:hAnsi="Times New Roman" w:cs="Times New Roman"/>
          <w:noProof/>
          <w:sz w:val="24"/>
          <w:szCs w:val="24"/>
        </w:rPr>
        <w:tab/>
        <w:t>Mennella JA &amp; Beauchamp GK</w:t>
      </w:r>
      <w:r w:rsidR="00FA2BBA" w:rsidRPr="00FA2BBA">
        <w:rPr>
          <w:rFonts w:ascii="Times New Roman" w:hAnsi="Times New Roman" w:cs="Times New Roman"/>
          <w:noProof/>
          <w:sz w:val="24"/>
          <w:szCs w:val="24"/>
        </w:rPr>
        <w:t xml:space="preserve"> </w:t>
      </w:r>
      <w:r>
        <w:rPr>
          <w:rFonts w:ascii="Times New Roman" w:hAnsi="Times New Roman" w:cs="Times New Roman"/>
          <w:noProof/>
          <w:sz w:val="24"/>
          <w:szCs w:val="24"/>
        </w:rPr>
        <w:t xml:space="preserve">(2002) </w:t>
      </w:r>
      <w:r w:rsidR="00FA2BBA" w:rsidRPr="00FA2BBA">
        <w:rPr>
          <w:rFonts w:ascii="Times New Roman" w:hAnsi="Times New Roman" w:cs="Times New Roman"/>
          <w:noProof/>
          <w:sz w:val="24"/>
          <w:szCs w:val="24"/>
        </w:rPr>
        <w:t>Flavor experiences during formula feeding are related to preferences during childhood. Early Hum Dev</w:t>
      </w:r>
      <w:r>
        <w:rPr>
          <w:rFonts w:ascii="Times New Roman" w:hAnsi="Times New Roman" w:cs="Times New Roman"/>
          <w:noProof/>
          <w:sz w:val="24"/>
          <w:szCs w:val="24"/>
        </w:rPr>
        <w:t xml:space="preserve"> 68,</w:t>
      </w:r>
      <w:r w:rsidR="00FA2BBA" w:rsidRPr="00FA2BBA">
        <w:rPr>
          <w:rFonts w:ascii="Times New Roman" w:hAnsi="Times New Roman" w:cs="Times New Roman"/>
          <w:noProof/>
          <w:sz w:val="24"/>
          <w:szCs w:val="24"/>
        </w:rPr>
        <w:t xml:space="preserve">71–82. </w:t>
      </w:r>
    </w:p>
    <w:p w14:paraId="5B0C7892" w14:textId="01B6A678"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43. </w:t>
      </w:r>
      <w:r w:rsidRPr="00FA2BBA">
        <w:rPr>
          <w:rFonts w:ascii="Times New Roman" w:hAnsi="Times New Roman" w:cs="Times New Roman"/>
          <w:noProof/>
          <w:sz w:val="24"/>
          <w:szCs w:val="24"/>
        </w:rPr>
        <w:tab/>
        <w:t>Golding J, Steer C, E</w:t>
      </w:r>
      <w:r w:rsidR="00E72770">
        <w:rPr>
          <w:rFonts w:ascii="Times New Roman" w:hAnsi="Times New Roman" w:cs="Times New Roman"/>
          <w:noProof/>
          <w:sz w:val="24"/>
          <w:szCs w:val="24"/>
        </w:rPr>
        <w:t xml:space="preserve">mmett P et al. (2009) </w:t>
      </w:r>
      <w:r w:rsidRPr="00FA2BBA">
        <w:rPr>
          <w:rFonts w:ascii="Times New Roman" w:hAnsi="Times New Roman" w:cs="Times New Roman"/>
          <w:noProof/>
          <w:sz w:val="24"/>
          <w:szCs w:val="24"/>
        </w:rPr>
        <w:t>Associations between the ability to detect a bitter taste, dietary behavior, and growth: A preliminary report. Annals of th</w:t>
      </w:r>
      <w:r w:rsidR="00E72770">
        <w:rPr>
          <w:rFonts w:ascii="Times New Roman" w:hAnsi="Times New Roman" w:cs="Times New Roman"/>
          <w:noProof/>
          <w:sz w:val="24"/>
          <w:szCs w:val="24"/>
        </w:rPr>
        <w:t>e New York Academy of Sciences,</w:t>
      </w:r>
      <w:r w:rsidRPr="00FA2BBA">
        <w:rPr>
          <w:rFonts w:ascii="Times New Roman" w:hAnsi="Times New Roman" w:cs="Times New Roman"/>
          <w:noProof/>
          <w:sz w:val="24"/>
          <w:szCs w:val="24"/>
        </w:rPr>
        <w:t xml:space="preserve">553–7. </w:t>
      </w:r>
    </w:p>
    <w:p w14:paraId="087A5E1F" w14:textId="18D173A3" w:rsidR="00FA2BBA" w:rsidRPr="00FA2BBA" w:rsidRDefault="00E72770"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44. </w:t>
      </w:r>
      <w:r>
        <w:rPr>
          <w:rFonts w:ascii="Times New Roman" w:hAnsi="Times New Roman" w:cs="Times New Roman"/>
          <w:noProof/>
          <w:sz w:val="24"/>
          <w:szCs w:val="24"/>
        </w:rPr>
        <w:tab/>
        <w:t>Wardle J &amp;</w:t>
      </w:r>
      <w:r w:rsidR="00FA2BBA" w:rsidRPr="00FA2BBA">
        <w:rPr>
          <w:rFonts w:ascii="Times New Roman" w:hAnsi="Times New Roman" w:cs="Times New Roman"/>
          <w:noProof/>
          <w:sz w:val="24"/>
          <w:szCs w:val="24"/>
        </w:rPr>
        <w:t xml:space="preserve"> Cooke L. </w:t>
      </w:r>
      <w:r>
        <w:rPr>
          <w:rFonts w:ascii="Times New Roman" w:hAnsi="Times New Roman" w:cs="Times New Roman"/>
          <w:noProof/>
          <w:sz w:val="24"/>
          <w:szCs w:val="24"/>
        </w:rPr>
        <w:t>(2008)</w:t>
      </w:r>
      <w:r w:rsidR="00FA2BBA" w:rsidRPr="00FA2BBA">
        <w:rPr>
          <w:rFonts w:ascii="Times New Roman" w:hAnsi="Times New Roman" w:cs="Times New Roman"/>
          <w:noProof/>
          <w:sz w:val="24"/>
          <w:szCs w:val="24"/>
        </w:rPr>
        <w:t xml:space="preserve">Genetic and environmental determinants of children’s food preferences. Brit J Nutr </w:t>
      </w:r>
      <w:r>
        <w:rPr>
          <w:rFonts w:ascii="Times New Roman" w:hAnsi="Times New Roman" w:cs="Times New Roman"/>
          <w:noProof/>
          <w:sz w:val="24"/>
          <w:szCs w:val="24"/>
        </w:rPr>
        <w:t xml:space="preserve">99, </w:t>
      </w:r>
      <w:r w:rsidR="00FA2BBA" w:rsidRPr="00FA2BBA">
        <w:rPr>
          <w:rFonts w:ascii="Times New Roman" w:hAnsi="Times New Roman" w:cs="Times New Roman"/>
          <w:noProof/>
          <w:sz w:val="24"/>
          <w:szCs w:val="24"/>
        </w:rPr>
        <w:t>S15–21.</w:t>
      </w:r>
    </w:p>
    <w:p w14:paraId="59798003" w14:textId="726758C1"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45. </w:t>
      </w:r>
      <w:r w:rsidRPr="00FA2BBA">
        <w:rPr>
          <w:rFonts w:ascii="Times New Roman" w:hAnsi="Times New Roman" w:cs="Times New Roman"/>
          <w:noProof/>
          <w:sz w:val="24"/>
          <w:szCs w:val="24"/>
        </w:rPr>
        <w:tab/>
        <w:t>Sc</w:t>
      </w:r>
      <w:r w:rsidR="00E72770">
        <w:rPr>
          <w:rFonts w:ascii="Times New Roman" w:hAnsi="Times New Roman" w:cs="Times New Roman"/>
          <w:noProof/>
          <w:sz w:val="24"/>
          <w:szCs w:val="24"/>
        </w:rPr>
        <w:t xml:space="preserve">aglioni S, Arrizza C, Vecchi F et al. (2011) </w:t>
      </w:r>
      <w:r w:rsidRPr="00FA2BBA">
        <w:rPr>
          <w:rFonts w:ascii="Times New Roman" w:hAnsi="Times New Roman" w:cs="Times New Roman"/>
          <w:noProof/>
          <w:sz w:val="24"/>
          <w:szCs w:val="24"/>
        </w:rPr>
        <w:t xml:space="preserve">Determinants of children’s eating behavior. </w:t>
      </w:r>
      <w:r w:rsidR="00E72770">
        <w:rPr>
          <w:rFonts w:ascii="Times New Roman" w:hAnsi="Times New Roman" w:cs="Times New Roman"/>
          <w:noProof/>
          <w:sz w:val="24"/>
          <w:szCs w:val="24"/>
        </w:rPr>
        <w:t>Am J Clin Nutr</w:t>
      </w:r>
      <w:r w:rsidR="00102EE7">
        <w:rPr>
          <w:rFonts w:ascii="Times New Roman" w:hAnsi="Times New Roman" w:cs="Times New Roman"/>
          <w:noProof/>
          <w:sz w:val="24"/>
          <w:szCs w:val="24"/>
        </w:rPr>
        <w:t xml:space="preserve"> 94, 2006S-2011S.</w:t>
      </w:r>
    </w:p>
    <w:p w14:paraId="2530C823" w14:textId="70B44A7C"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46</w:t>
      </w:r>
      <w:r w:rsidR="00E72770">
        <w:rPr>
          <w:rFonts w:ascii="Times New Roman" w:hAnsi="Times New Roman" w:cs="Times New Roman"/>
          <w:noProof/>
          <w:sz w:val="24"/>
          <w:szCs w:val="24"/>
        </w:rPr>
        <w:t xml:space="preserve">. </w:t>
      </w:r>
      <w:r w:rsidR="00E72770">
        <w:rPr>
          <w:rFonts w:ascii="Times New Roman" w:hAnsi="Times New Roman" w:cs="Times New Roman"/>
          <w:noProof/>
          <w:sz w:val="24"/>
          <w:szCs w:val="24"/>
        </w:rPr>
        <w:tab/>
        <w:t>Rigal N, Reiter F, Morice C et al. (2005)</w:t>
      </w:r>
      <w:r w:rsidRPr="00FA2BBA">
        <w:rPr>
          <w:rFonts w:ascii="Times New Roman" w:hAnsi="Times New Roman" w:cs="Times New Roman"/>
          <w:noProof/>
          <w:sz w:val="24"/>
          <w:szCs w:val="24"/>
        </w:rPr>
        <w:t xml:space="preserve">Impact du régime d’éviction sur la néophobie dans le cadre d'une allergie alimentaire chez l'enfant: Étude exploratoire. Arch Pediatr. </w:t>
      </w:r>
      <w:r w:rsidR="00E72770">
        <w:rPr>
          <w:rFonts w:ascii="Times New Roman" w:hAnsi="Times New Roman" w:cs="Times New Roman"/>
          <w:noProof/>
          <w:sz w:val="24"/>
          <w:szCs w:val="24"/>
        </w:rPr>
        <w:t xml:space="preserve">12, </w:t>
      </w:r>
      <w:r w:rsidRPr="00FA2BBA">
        <w:rPr>
          <w:rFonts w:ascii="Times New Roman" w:hAnsi="Times New Roman" w:cs="Times New Roman"/>
          <w:noProof/>
          <w:sz w:val="24"/>
          <w:szCs w:val="24"/>
        </w:rPr>
        <w:t xml:space="preserve">1714–20. </w:t>
      </w:r>
    </w:p>
    <w:p w14:paraId="5B7AA069" w14:textId="73E9B6D9" w:rsidR="00FA2BBA" w:rsidRPr="00FA2BBA" w:rsidRDefault="00E72770"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47. </w:t>
      </w:r>
      <w:r>
        <w:rPr>
          <w:rFonts w:ascii="Times New Roman" w:hAnsi="Times New Roman" w:cs="Times New Roman"/>
          <w:noProof/>
          <w:sz w:val="24"/>
          <w:szCs w:val="24"/>
        </w:rPr>
        <w:tab/>
        <w:t xml:space="preserve">Galloway AT, Lee Y &amp; Birch LL (2003) </w:t>
      </w:r>
      <w:r w:rsidR="00FA2BBA" w:rsidRPr="00FA2BBA">
        <w:rPr>
          <w:rFonts w:ascii="Times New Roman" w:hAnsi="Times New Roman" w:cs="Times New Roman"/>
          <w:noProof/>
          <w:sz w:val="24"/>
          <w:szCs w:val="24"/>
        </w:rPr>
        <w:t xml:space="preserve">Predictors and consequences of food neophobia and pickiness </w:t>
      </w:r>
      <w:r>
        <w:rPr>
          <w:rFonts w:ascii="Times New Roman" w:hAnsi="Times New Roman" w:cs="Times New Roman"/>
          <w:noProof/>
          <w:sz w:val="24"/>
          <w:szCs w:val="24"/>
        </w:rPr>
        <w:t>in young girls. J Am Diet Assoc 103,</w:t>
      </w:r>
      <w:r w:rsidRPr="00FA2BBA">
        <w:rPr>
          <w:rFonts w:ascii="Times New Roman" w:hAnsi="Times New Roman" w:cs="Times New Roman"/>
          <w:noProof/>
          <w:sz w:val="24"/>
          <w:szCs w:val="24"/>
        </w:rPr>
        <w:t xml:space="preserve"> </w:t>
      </w:r>
      <w:r w:rsidR="00FA2BBA" w:rsidRPr="00FA2BBA">
        <w:rPr>
          <w:rFonts w:ascii="Times New Roman" w:hAnsi="Times New Roman" w:cs="Times New Roman"/>
          <w:noProof/>
          <w:sz w:val="24"/>
          <w:szCs w:val="24"/>
        </w:rPr>
        <w:t xml:space="preserve">692–8. </w:t>
      </w:r>
    </w:p>
    <w:p w14:paraId="0A68B0BE" w14:textId="437023CB" w:rsidR="00FA2BBA" w:rsidRPr="00FA2BBA" w:rsidRDefault="00E72770"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48. </w:t>
      </w:r>
      <w:r>
        <w:rPr>
          <w:rFonts w:ascii="Times New Roman" w:hAnsi="Times New Roman" w:cs="Times New Roman"/>
          <w:noProof/>
          <w:sz w:val="24"/>
          <w:szCs w:val="24"/>
        </w:rPr>
        <w:tab/>
        <w:t>Cooke L, Carnell S &amp; Wardle J (2006)</w:t>
      </w:r>
      <w:r w:rsidR="00FA2BBA" w:rsidRPr="00FA2BBA">
        <w:rPr>
          <w:rFonts w:ascii="Times New Roman" w:hAnsi="Times New Roman" w:cs="Times New Roman"/>
          <w:noProof/>
          <w:sz w:val="24"/>
          <w:szCs w:val="24"/>
        </w:rPr>
        <w:t xml:space="preserve"> Food neophobia and mealtime food consumption in 4-5 year old children. Int J Behav Nutr Phys Act</w:t>
      </w:r>
      <w:r>
        <w:rPr>
          <w:rFonts w:ascii="Times New Roman" w:hAnsi="Times New Roman" w:cs="Times New Roman"/>
          <w:noProof/>
          <w:sz w:val="24"/>
          <w:szCs w:val="24"/>
        </w:rPr>
        <w:t xml:space="preserve">, </w:t>
      </w:r>
      <w:r w:rsidR="00FA2BBA" w:rsidRPr="00FA2BBA">
        <w:rPr>
          <w:rFonts w:ascii="Times New Roman" w:hAnsi="Times New Roman" w:cs="Times New Roman"/>
          <w:noProof/>
          <w:sz w:val="24"/>
          <w:szCs w:val="24"/>
        </w:rPr>
        <w:t xml:space="preserve">3:14. </w:t>
      </w:r>
    </w:p>
    <w:p w14:paraId="6D511F45" w14:textId="650A911F"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49. </w:t>
      </w:r>
      <w:r w:rsidRPr="00FA2BBA">
        <w:rPr>
          <w:rFonts w:ascii="Times New Roman" w:hAnsi="Times New Roman" w:cs="Times New Roman"/>
          <w:noProof/>
          <w:sz w:val="24"/>
          <w:szCs w:val="24"/>
        </w:rPr>
        <w:tab/>
        <w:t>Bern</w:t>
      </w:r>
      <w:r w:rsidR="00E72770">
        <w:rPr>
          <w:rFonts w:ascii="Times New Roman" w:hAnsi="Times New Roman" w:cs="Times New Roman"/>
          <w:noProof/>
          <w:sz w:val="24"/>
          <w:szCs w:val="24"/>
        </w:rPr>
        <w:t xml:space="preserve">i Canani R, Leone L, D’Auria E </w:t>
      </w:r>
      <w:r w:rsidRPr="00FA2BBA">
        <w:rPr>
          <w:rFonts w:ascii="Times New Roman" w:hAnsi="Times New Roman" w:cs="Times New Roman"/>
          <w:noProof/>
          <w:sz w:val="24"/>
          <w:szCs w:val="24"/>
        </w:rPr>
        <w:t xml:space="preserve">et al. </w:t>
      </w:r>
      <w:r w:rsidR="00E72770">
        <w:rPr>
          <w:rFonts w:ascii="Times New Roman" w:hAnsi="Times New Roman" w:cs="Times New Roman"/>
          <w:noProof/>
          <w:sz w:val="24"/>
          <w:szCs w:val="24"/>
        </w:rPr>
        <w:t xml:space="preserve">(2014) </w:t>
      </w:r>
      <w:r w:rsidRPr="00FA2BBA">
        <w:rPr>
          <w:rFonts w:ascii="Times New Roman" w:hAnsi="Times New Roman" w:cs="Times New Roman"/>
          <w:noProof/>
          <w:sz w:val="24"/>
          <w:szCs w:val="24"/>
        </w:rPr>
        <w:t xml:space="preserve">The Effects of Dietary Counseling on Children with Food Allergy: A Prospective, Multicenter Intervention Study. J Acad Nutr Diet </w:t>
      </w:r>
      <w:r w:rsidR="00E72770">
        <w:rPr>
          <w:rFonts w:ascii="Times New Roman" w:hAnsi="Times New Roman" w:cs="Times New Roman"/>
          <w:noProof/>
          <w:sz w:val="24"/>
          <w:szCs w:val="24"/>
        </w:rPr>
        <w:t xml:space="preserve">114, </w:t>
      </w:r>
      <w:r w:rsidRPr="00FA2BBA">
        <w:rPr>
          <w:rFonts w:ascii="Times New Roman" w:hAnsi="Times New Roman" w:cs="Times New Roman"/>
          <w:noProof/>
          <w:sz w:val="24"/>
          <w:szCs w:val="24"/>
        </w:rPr>
        <w:t xml:space="preserve">1432–9. </w:t>
      </w:r>
    </w:p>
    <w:p w14:paraId="5C298763" w14:textId="75E66F50" w:rsidR="00FA2BBA" w:rsidRPr="00FA2BBA" w:rsidRDefault="00FA2BBA" w:rsidP="00E72770">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50. </w:t>
      </w:r>
      <w:r w:rsidRPr="00FA2BBA">
        <w:rPr>
          <w:rFonts w:ascii="Times New Roman" w:hAnsi="Times New Roman" w:cs="Times New Roman"/>
          <w:noProof/>
          <w:sz w:val="24"/>
          <w:szCs w:val="24"/>
        </w:rPr>
        <w:tab/>
      </w:r>
      <w:r w:rsidR="00E72770">
        <w:rPr>
          <w:rFonts w:ascii="Times New Roman" w:hAnsi="Times New Roman" w:cs="Times New Roman"/>
          <w:noProof/>
          <w:sz w:val="24"/>
          <w:szCs w:val="24"/>
        </w:rPr>
        <w:t xml:space="preserve">Meyer R, De Koker C, Dziubak R </w:t>
      </w:r>
      <w:r w:rsidRPr="00FA2BBA">
        <w:rPr>
          <w:rFonts w:ascii="Times New Roman" w:hAnsi="Times New Roman" w:cs="Times New Roman"/>
          <w:noProof/>
          <w:sz w:val="24"/>
          <w:szCs w:val="24"/>
        </w:rPr>
        <w:t xml:space="preserve">et al. </w:t>
      </w:r>
      <w:r w:rsidR="00E72770">
        <w:rPr>
          <w:rFonts w:ascii="Times New Roman" w:hAnsi="Times New Roman" w:cs="Times New Roman"/>
          <w:noProof/>
          <w:sz w:val="24"/>
          <w:szCs w:val="24"/>
        </w:rPr>
        <w:t xml:space="preserve">(2015) </w:t>
      </w:r>
      <w:r w:rsidRPr="00FA2BBA">
        <w:rPr>
          <w:rFonts w:ascii="Times New Roman" w:hAnsi="Times New Roman" w:cs="Times New Roman"/>
          <w:noProof/>
          <w:sz w:val="24"/>
          <w:szCs w:val="24"/>
        </w:rPr>
        <w:t>A practical approach to vitamin and mineral supplementation in food allergic children. Clin Transl Allergy</w:t>
      </w:r>
      <w:r w:rsidR="00E72770">
        <w:rPr>
          <w:rFonts w:ascii="Times New Roman" w:hAnsi="Times New Roman" w:cs="Times New Roman"/>
          <w:noProof/>
          <w:sz w:val="24"/>
          <w:szCs w:val="24"/>
        </w:rPr>
        <w:t xml:space="preserve"> 5, </w:t>
      </w:r>
      <w:r w:rsidRPr="00FA2BBA">
        <w:rPr>
          <w:rFonts w:ascii="Times New Roman" w:hAnsi="Times New Roman" w:cs="Times New Roman"/>
          <w:noProof/>
          <w:sz w:val="24"/>
          <w:szCs w:val="24"/>
        </w:rPr>
        <w:t xml:space="preserve">5–11. </w:t>
      </w:r>
    </w:p>
    <w:p w14:paraId="403BBB67" w14:textId="35D25F3E"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51. </w:t>
      </w:r>
      <w:r w:rsidRPr="00FA2BBA">
        <w:rPr>
          <w:rFonts w:ascii="Times New Roman" w:hAnsi="Times New Roman" w:cs="Times New Roman"/>
          <w:noProof/>
          <w:sz w:val="24"/>
          <w:szCs w:val="24"/>
        </w:rPr>
        <w:tab/>
        <w:t>Ro</w:t>
      </w:r>
      <w:r w:rsidR="00E72770">
        <w:rPr>
          <w:rFonts w:ascii="Times New Roman" w:hAnsi="Times New Roman" w:cs="Times New Roman"/>
          <w:noProof/>
          <w:sz w:val="24"/>
          <w:szCs w:val="24"/>
        </w:rPr>
        <w:t xml:space="preserve">bbins KA, Guerrerio A, Hauck S </w:t>
      </w:r>
      <w:r w:rsidRPr="00FA2BBA">
        <w:rPr>
          <w:rFonts w:ascii="Times New Roman" w:hAnsi="Times New Roman" w:cs="Times New Roman"/>
          <w:noProof/>
          <w:sz w:val="24"/>
          <w:szCs w:val="24"/>
        </w:rPr>
        <w:t>et al.</w:t>
      </w:r>
      <w:r w:rsidR="00E72770">
        <w:rPr>
          <w:rFonts w:ascii="Times New Roman" w:hAnsi="Times New Roman" w:cs="Times New Roman"/>
          <w:noProof/>
          <w:sz w:val="24"/>
          <w:szCs w:val="24"/>
        </w:rPr>
        <w:t xml:space="preserve"> (2015)</w:t>
      </w:r>
      <w:r w:rsidRPr="00FA2BBA">
        <w:rPr>
          <w:rFonts w:ascii="Times New Roman" w:hAnsi="Times New Roman" w:cs="Times New Roman"/>
          <w:noProof/>
          <w:sz w:val="24"/>
          <w:szCs w:val="24"/>
        </w:rPr>
        <w:t xml:space="preserve"> Growth and nutrition in children with food allergy requiring amino acid-based nutritional fo</w:t>
      </w:r>
      <w:r w:rsidR="00E72770">
        <w:rPr>
          <w:rFonts w:ascii="Times New Roman" w:hAnsi="Times New Roman" w:cs="Times New Roman"/>
          <w:noProof/>
          <w:sz w:val="24"/>
          <w:szCs w:val="24"/>
        </w:rPr>
        <w:t>rmulas. J Allergy Clin Immunol 134,</w:t>
      </w:r>
      <w:r w:rsidRPr="00FA2BBA">
        <w:rPr>
          <w:rFonts w:ascii="Times New Roman" w:hAnsi="Times New Roman" w:cs="Times New Roman"/>
          <w:noProof/>
          <w:sz w:val="24"/>
          <w:szCs w:val="24"/>
        </w:rPr>
        <w:t xml:space="preserve">1463–6. </w:t>
      </w:r>
    </w:p>
    <w:p w14:paraId="4E914179" w14:textId="485FF027"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52. </w:t>
      </w:r>
      <w:r w:rsidRPr="00FA2BBA">
        <w:rPr>
          <w:rFonts w:ascii="Times New Roman" w:hAnsi="Times New Roman" w:cs="Times New Roman"/>
          <w:noProof/>
          <w:sz w:val="24"/>
          <w:szCs w:val="24"/>
        </w:rPr>
        <w:tab/>
        <w:t>Muk</w:t>
      </w:r>
      <w:r w:rsidR="00E72770">
        <w:rPr>
          <w:rFonts w:ascii="Times New Roman" w:hAnsi="Times New Roman" w:cs="Times New Roman"/>
          <w:noProof/>
          <w:sz w:val="24"/>
          <w:szCs w:val="24"/>
        </w:rPr>
        <w:t xml:space="preserve">aida K, Kusunoki T, Morimoto T </w:t>
      </w:r>
      <w:r w:rsidRPr="00FA2BBA">
        <w:rPr>
          <w:rFonts w:ascii="Times New Roman" w:hAnsi="Times New Roman" w:cs="Times New Roman"/>
          <w:noProof/>
          <w:sz w:val="24"/>
          <w:szCs w:val="24"/>
        </w:rPr>
        <w:t xml:space="preserve">et al. </w:t>
      </w:r>
      <w:r w:rsidR="00E72770">
        <w:rPr>
          <w:rFonts w:ascii="Times New Roman" w:hAnsi="Times New Roman" w:cs="Times New Roman"/>
          <w:noProof/>
          <w:sz w:val="24"/>
          <w:szCs w:val="24"/>
        </w:rPr>
        <w:t xml:space="preserve">(2010) </w:t>
      </w:r>
      <w:r w:rsidRPr="00FA2BBA">
        <w:rPr>
          <w:rFonts w:ascii="Times New Roman" w:hAnsi="Times New Roman" w:cs="Times New Roman"/>
          <w:noProof/>
          <w:sz w:val="24"/>
          <w:szCs w:val="24"/>
        </w:rPr>
        <w:t>The effect of past food avoidance due to allergic symptoms on the growth of children at schoo</w:t>
      </w:r>
      <w:r w:rsidR="00E72770">
        <w:rPr>
          <w:rFonts w:ascii="Times New Roman" w:hAnsi="Times New Roman" w:cs="Times New Roman"/>
          <w:noProof/>
          <w:sz w:val="24"/>
          <w:szCs w:val="24"/>
        </w:rPr>
        <w:t xml:space="preserve">l age. Allergol Int 59, </w:t>
      </w:r>
      <w:r w:rsidRPr="00FA2BBA">
        <w:rPr>
          <w:rFonts w:ascii="Times New Roman" w:hAnsi="Times New Roman" w:cs="Times New Roman"/>
          <w:noProof/>
          <w:sz w:val="24"/>
          <w:szCs w:val="24"/>
        </w:rPr>
        <w:t xml:space="preserve">369–74. </w:t>
      </w:r>
    </w:p>
    <w:p w14:paraId="35899DBE" w14:textId="605ED467"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53. </w:t>
      </w:r>
      <w:r w:rsidR="00E72770">
        <w:rPr>
          <w:rFonts w:ascii="Times New Roman" w:hAnsi="Times New Roman" w:cs="Times New Roman"/>
          <w:noProof/>
          <w:sz w:val="24"/>
          <w:szCs w:val="24"/>
        </w:rPr>
        <w:tab/>
        <w:t xml:space="preserve">Agostoni C, Fiocchi A, Riva E </w:t>
      </w:r>
      <w:r w:rsidRPr="00FA2BBA">
        <w:rPr>
          <w:rFonts w:ascii="Times New Roman" w:hAnsi="Times New Roman" w:cs="Times New Roman"/>
          <w:noProof/>
          <w:sz w:val="24"/>
          <w:szCs w:val="24"/>
        </w:rPr>
        <w:t xml:space="preserve">et al. </w:t>
      </w:r>
      <w:r w:rsidR="00E72770">
        <w:rPr>
          <w:rFonts w:ascii="Times New Roman" w:hAnsi="Times New Roman" w:cs="Times New Roman"/>
          <w:noProof/>
          <w:sz w:val="24"/>
          <w:szCs w:val="24"/>
        </w:rPr>
        <w:t xml:space="preserve">(2007) </w:t>
      </w:r>
      <w:r w:rsidRPr="00FA2BBA">
        <w:rPr>
          <w:rFonts w:ascii="Times New Roman" w:hAnsi="Times New Roman" w:cs="Times New Roman"/>
          <w:noProof/>
          <w:sz w:val="24"/>
          <w:szCs w:val="24"/>
        </w:rPr>
        <w:t>Growth of infants with IgE-mediated cow’s milk allergy fed different formulas in the complementary feeding period. Pediatr Allergy Im</w:t>
      </w:r>
      <w:r w:rsidR="00E72770">
        <w:rPr>
          <w:rFonts w:ascii="Times New Roman" w:hAnsi="Times New Roman" w:cs="Times New Roman"/>
          <w:noProof/>
          <w:sz w:val="24"/>
          <w:szCs w:val="24"/>
        </w:rPr>
        <w:t>munol 18,</w:t>
      </w:r>
      <w:r w:rsidR="00E72770" w:rsidRPr="00FA2BBA">
        <w:rPr>
          <w:rFonts w:ascii="Times New Roman" w:hAnsi="Times New Roman" w:cs="Times New Roman"/>
          <w:noProof/>
          <w:sz w:val="24"/>
          <w:szCs w:val="24"/>
        </w:rPr>
        <w:t xml:space="preserve"> </w:t>
      </w:r>
      <w:r w:rsidRPr="00FA2BBA">
        <w:rPr>
          <w:rFonts w:ascii="Times New Roman" w:hAnsi="Times New Roman" w:cs="Times New Roman"/>
          <w:noProof/>
          <w:sz w:val="24"/>
          <w:szCs w:val="24"/>
        </w:rPr>
        <w:t xml:space="preserve">599–606. </w:t>
      </w:r>
    </w:p>
    <w:p w14:paraId="7B75533E" w14:textId="0FE3BA6A"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54.</w:t>
      </w:r>
      <w:r w:rsidR="00E72770">
        <w:rPr>
          <w:rFonts w:ascii="Times New Roman" w:hAnsi="Times New Roman" w:cs="Times New Roman"/>
          <w:noProof/>
          <w:sz w:val="24"/>
          <w:szCs w:val="24"/>
        </w:rPr>
        <w:t xml:space="preserve"> </w:t>
      </w:r>
      <w:r w:rsidR="00E72770">
        <w:rPr>
          <w:rFonts w:ascii="Times New Roman" w:hAnsi="Times New Roman" w:cs="Times New Roman"/>
          <w:noProof/>
          <w:sz w:val="24"/>
          <w:szCs w:val="24"/>
        </w:rPr>
        <w:tab/>
        <w:t xml:space="preserve">Isolauri E, Sutas Y, Salo MK et al. (1998) </w:t>
      </w:r>
      <w:r w:rsidRPr="00FA2BBA">
        <w:rPr>
          <w:rFonts w:ascii="Times New Roman" w:hAnsi="Times New Roman" w:cs="Times New Roman"/>
          <w:noProof/>
          <w:sz w:val="24"/>
          <w:szCs w:val="24"/>
        </w:rPr>
        <w:t>Elimination diet in cow’s milk allergy: Risk for impaired growt</w:t>
      </w:r>
      <w:r w:rsidR="00E72770">
        <w:rPr>
          <w:rFonts w:ascii="Times New Roman" w:hAnsi="Times New Roman" w:cs="Times New Roman"/>
          <w:noProof/>
          <w:sz w:val="24"/>
          <w:szCs w:val="24"/>
        </w:rPr>
        <w:t xml:space="preserve">h in young children. J Pediatr 132, </w:t>
      </w:r>
      <w:r w:rsidRPr="00FA2BBA">
        <w:rPr>
          <w:rFonts w:ascii="Times New Roman" w:hAnsi="Times New Roman" w:cs="Times New Roman"/>
          <w:noProof/>
          <w:sz w:val="24"/>
          <w:szCs w:val="24"/>
        </w:rPr>
        <w:t xml:space="preserve">1004–9. </w:t>
      </w:r>
    </w:p>
    <w:p w14:paraId="5F076DD4" w14:textId="6A904F42"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55. </w:t>
      </w:r>
      <w:r w:rsidRPr="00FA2BBA">
        <w:rPr>
          <w:rFonts w:ascii="Times New Roman" w:hAnsi="Times New Roman" w:cs="Times New Roman"/>
          <w:noProof/>
          <w:sz w:val="24"/>
          <w:szCs w:val="24"/>
        </w:rPr>
        <w:tab/>
      </w:r>
      <w:r w:rsidR="00E72770">
        <w:rPr>
          <w:rFonts w:ascii="Times New Roman" w:hAnsi="Times New Roman" w:cs="Times New Roman"/>
          <w:noProof/>
          <w:sz w:val="24"/>
          <w:szCs w:val="24"/>
        </w:rPr>
        <w:t xml:space="preserve">Meyer R, De Koker C, Dziubak R </w:t>
      </w:r>
      <w:r w:rsidRPr="00FA2BBA">
        <w:rPr>
          <w:rFonts w:ascii="Times New Roman" w:hAnsi="Times New Roman" w:cs="Times New Roman"/>
          <w:noProof/>
          <w:sz w:val="24"/>
          <w:szCs w:val="24"/>
        </w:rPr>
        <w:t xml:space="preserve">et al. </w:t>
      </w:r>
      <w:r w:rsidR="00E72770">
        <w:rPr>
          <w:rFonts w:ascii="Times New Roman" w:hAnsi="Times New Roman" w:cs="Times New Roman"/>
          <w:noProof/>
          <w:sz w:val="24"/>
          <w:szCs w:val="24"/>
        </w:rPr>
        <w:t xml:space="preserve">(2014) </w:t>
      </w:r>
      <w:r w:rsidRPr="00FA2BBA">
        <w:rPr>
          <w:rFonts w:ascii="Times New Roman" w:hAnsi="Times New Roman" w:cs="Times New Roman"/>
          <w:noProof/>
          <w:sz w:val="24"/>
          <w:szCs w:val="24"/>
        </w:rPr>
        <w:t>Malnutrition in children with food aller</w:t>
      </w:r>
      <w:r w:rsidR="00E72770">
        <w:rPr>
          <w:rFonts w:ascii="Times New Roman" w:hAnsi="Times New Roman" w:cs="Times New Roman"/>
          <w:noProof/>
          <w:sz w:val="24"/>
          <w:szCs w:val="24"/>
        </w:rPr>
        <w:t>gies in the UK. J Hum Nutr Diet 27,</w:t>
      </w:r>
      <w:r w:rsidR="00E72770" w:rsidRPr="00FA2BBA">
        <w:rPr>
          <w:rFonts w:ascii="Times New Roman" w:hAnsi="Times New Roman" w:cs="Times New Roman"/>
          <w:noProof/>
          <w:sz w:val="24"/>
          <w:szCs w:val="24"/>
        </w:rPr>
        <w:t xml:space="preserve"> </w:t>
      </w:r>
      <w:r w:rsidRPr="00FA2BBA">
        <w:rPr>
          <w:rFonts w:ascii="Times New Roman" w:hAnsi="Times New Roman" w:cs="Times New Roman"/>
          <w:noProof/>
          <w:sz w:val="24"/>
          <w:szCs w:val="24"/>
        </w:rPr>
        <w:t xml:space="preserve">227–35. </w:t>
      </w:r>
    </w:p>
    <w:p w14:paraId="3B0D450B" w14:textId="4041C2DB" w:rsidR="00FA2BBA" w:rsidRPr="00FA2BBA" w:rsidRDefault="00E72770"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56. </w:t>
      </w:r>
      <w:r>
        <w:rPr>
          <w:rFonts w:ascii="Times New Roman" w:hAnsi="Times New Roman" w:cs="Times New Roman"/>
          <w:noProof/>
          <w:sz w:val="24"/>
          <w:szCs w:val="24"/>
        </w:rPr>
        <w:tab/>
        <w:t xml:space="preserve">Mehta H, Groetch M &amp; Wang J (2013) </w:t>
      </w:r>
      <w:r w:rsidR="00FA2BBA" w:rsidRPr="00FA2BBA">
        <w:rPr>
          <w:rFonts w:ascii="Times New Roman" w:hAnsi="Times New Roman" w:cs="Times New Roman"/>
          <w:noProof/>
          <w:sz w:val="24"/>
          <w:szCs w:val="24"/>
        </w:rPr>
        <w:t xml:space="preserve">Growth and nutritional concerns in children with food allergy. Curr Opin Allergy Clin Immunol </w:t>
      </w:r>
      <w:r>
        <w:rPr>
          <w:rFonts w:ascii="Times New Roman" w:hAnsi="Times New Roman" w:cs="Times New Roman"/>
          <w:noProof/>
          <w:sz w:val="24"/>
          <w:szCs w:val="24"/>
        </w:rPr>
        <w:t xml:space="preserve">13, </w:t>
      </w:r>
      <w:r w:rsidR="00FA2BBA" w:rsidRPr="00FA2BBA">
        <w:rPr>
          <w:rFonts w:ascii="Times New Roman" w:hAnsi="Times New Roman" w:cs="Times New Roman"/>
          <w:noProof/>
          <w:sz w:val="24"/>
          <w:szCs w:val="24"/>
        </w:rPr>
        <w:t xml:space="preserve">275–9. </w:t>
      </w:r>
    </w:p>
    <w:p w14:paraId="071E8779" w14:textId="0161E5F7"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57. </w:t>
      </w:r>
      <w:r w:rsidRPr="00FA2BBA">
        <w:rPr>
          <w:rFonts w:ascii="Times New Roman" w:hAnsi="Times New Roman" w:cs="Times New Roman"/>
          <w:noProof/>
          <w:sz w:val="24"/>
          <w:szCs w:val="24"/>
        </w:rPr>
        <w:tab/>
        <w:t>S</w:t>
      </w:r>
      <w:r w:rsidR="00E72770">
        <w:rPr>
          <w:rFonts w:ascii="Times New Roman" w:hAnsi="Times New Roman" w:cs="Times New Roman"/>
          <w:noProof/>
          <w:sz w:val="24"/>
          <w:szCs w:val="24"/>
        </w:rPr>
        <w:t xml:space="preserve">eppo L, Korpela R, Lönnerdal B </w:t>
      </w:r>
      <w:r w:rsidRPr="00FA2BBA">
        <w:rPr>
          <w:rFonts w:ascii="Times New Roman" w:hAnsi="Times New Roman" w:cs="Times New Roman"/>
          <w:noProof/>
          <w:sz w:val="24"/>
          <w:szCs w:val="24"/>
        </w:rPr>
        <w:t xml:space="preserve">et al. </w:t>
      </w:r>
      <w:r w:rsidR="00E72770">
        <w:rPr>
          <w:rFonts w:ascii="Times New Roman" w:hAnsi="Times New Roman" w:cs="Times New Roman"/>
          <w:noProof/>
          <w:sz w:val="24"/>
          <w:szCs w:val="24"/>
        </w:rPr>
        <w:t xml:space="preserve">(2005) </w:t>
      </w:r>
      <w:r w:rsidRPr="00FA2BBA">
        <w:rPr>
          <w:rFonts w:ascii="Times New Roman" w:hAnsi="Times New Roman" w:cs="Times New Roman"/>
          <w:noProof/>
          <w:sz w:val="24"/>
          <w:szCs w:val="24"/>
        </w:rPr>
        <w:t>A follow-up study of nutrient intake, nutritional status, and growth in infants with cow milk allergy fed either a soy formula or an extensively hydrolyzed whey formula. Am J Clin Nutr</w:t>
      </w:r>
      <w:r w:rsidR="00E72770">
        <w:rPr>
          <w:rFonts w:ascii="Times New Roman" w:hAnsi="Times New Roman" w:cs="Times New Roman"/>
          <w:noProof/>
          <w:sz w:val="24"/>
          <w:szCs w:val="24"/>
        </w:rPr>
        <w:t xml:space="preserve"> 82,</w:t>
      </w:r>
      <w:r w:rsidRPr="00FA2BBA">
        <w:rPr>
          <w:rFonts w:ascii="Times New Roman" w:hAnsi="Times New Roman" w:cs="Times New Roman"/>
          <w:noProof/>
          <w:sz w:val="24"/>
          <w:szCs w:val="24"/>
        </w:rPr>
        <w:t xml:space="preserve">140–5. </w:t>
      </w:r>
    </w:p>
    <w:p w14:paraId="393FE395" w14:textId="01D2E145"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58. </w:t>
      </w:r>
      <w:r w:rsidRPr="00FA2BBA">
        <w:rPr>
          <w:rFonts w:ascii="Times New Roman" w:hAnsi="Times New Roman" w:cs="Times New Roman"/>
          <w:noProof/>
          <w:sz w:val="24"/>
          <w:szCs w:val="24"/>
        </w:rPr>
        <w:tab/>
        <w:t>Rzehak</w:t>
      </w:r>
      <w:r w:rsidR="00E72770">
        <w:rPr>
          <w:rFonts w:ascii="Times New Roman" w:hAnsi="Times New Roman" w:cs="Times New Roman"/>
          <w:noProof/>
          <w:sz w:val="24"/>
          <w:szCs w:val="24"/>
        </w:rPr>
        <w:t xml:space="preserve"> P, Sausenthaler S, Koletzko S </w:t>
      </w:r>
      <w:r w:rsidRPr="00FA2BBA">
        <w:rPr>
          <w:rFonts w:ascii="Times New Roman" w:hAnsi="Times New Roman" w:cs="Times New Roman"/>
          <w:noProof/>
          <w:sz w:val="24"/>
          <w:szCs w:val="24"/>
        </w:rPr>
        <w:t xml:space="preserve">et al. </w:t>
      </w:r>
      <w:r w:rsidR="00E72770">
        <w:rPr>
          <w:rFonts w:ascii="Times New Roman" w:hAnsi="Times New Roman" w:cs="Times New Roman"/>
          <w:noProof/>
          <w:sz w:val="24"/>
          <w:szCs w:val="24"/>
        </w:rPr>
        <w:t xml:space="preserve">(2009) </w:t>
      </w:r>
      <w:r w:rsidRPr="00FA2BBA">
        <w:rPr>
          <w:rFonts w:ascii="Times New Roman" w:hAnsi="Times New Roman" w:cs="Times New Roman"/>
          <w:noProof/>
          <w:sz w:val="24"/>
          <w:szCs w:val="24"/>
        </w:rPr>
        <w:t>Short- and long-term effects of feeding hydrolyzed protein infant formulas on growth at ≤6 y of age: Results from the German Infant Nutritional Inte</w:t>
      </w:r>
      <w:r w:rsidR="00E72770">
        <w:rPr>
          <w:rFonts w:ascii="Times New Roman" w:hAnsi="Times New Roman" w:cs="Times New Roman"/>
          <w:noProof/>
          <w:sz w:val="24"/>
          <w:szCs w:val="24"/>
        </w:rPr>
        <w:t xml:space="preserve">rvention Study. Am J Clin Nutr 89, </w:t>
      </w:r>
      <w:r w:rsidRPr="00FA2BBA">
        <w:rPr>
          <w:rFonts w:ascii="Times New Roman" w:hAnsi="Times New Roman" w:cs="Times New Roman"/>
          <w:noProof/>
          <w:sz w:val="24"/>
          <w:szCs w:val="24"/>
        </w:rPr>
        <w:t xml:space="preserve">1846–56. </w:t>
      </w:r>
    </w:p>
    <w:p w14:paraId="630A8E90" w14:textId="2A0704D5"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59. </w:t>
      </w:r>
      <w:r w:rsidRPr="00FA2BBA">
        <w:rPr>
          <w:rFonts w:ascii="Times New Roman" w:hAnsi="Times New Roman" w:cs="Times New Roman"/>
          <w:noProof/>
          <w:sz w:val="24"/>
          <w:szCs w:val="24"/>
        </w:rPr>
        <w:tab/>
        <w:t>Scien</w:t>
      </w:r>
      <w:r w:rsidR="00E72770">
        <w:rPr>
          <w:rFonts w:ascii="Times New Roman" w:hAnsi="Times New Roman" w:cs="Times New Roman"/>
          <w:noProof/>
          <w:sz w:val="24"/>
          <w:szCs w:val="24"/>
        </w:rPr>
        <w:t xml:space="preserve">ce S, McCarthy HD, Jarrett KV et al. (2001) </w:t>
      </w:r>
      <w:r w:rsidRPr="00FA2BBA">
        <w:rPr>
          <w:rFonts w:ascii="Times New Roman" w:hAnsi="Times New Roman" w:cs="Times New Roman"/>
          <w:noProof/>
          <w:sz w:val="24"/>
          <w:szCs w:val="24"/>
        </w:rPr>
        <w:t>Original Communication The development of waist circumference percentiles in British children aged 5.0 – 16.9 y. Eur J Clin Nutr</w:t>
      </w:r>
      <w:r w:rsidR="00E72770">
        <w:rPr>
          <w:rFonts w:ascii="Times New Roman" w:hAnsi="Times New Roman" w:cs="Times New Roman"/>
          <w:noProof/>
          <w:sz w:val="24"/>
          <w:szCs w:val="24"/>
        </w:rPr>
        <w:t xml:space="preserve"> 55, </w:t>
      </w:r>
      <w:r w:rsidRPr="00FA2BBA">
        <w:rPr>
          <w:rFonts w:ascii="Times New Roman" w:hAnsi="Times New Roman" w:cs="Times New Roman"/>
          <w:noProof/>
          <w:sz w:val="24"/>
          <w:szCs w:val="24"/>
        </w:rPr>
        <w:t xml:space="preserve">902–7. </w:t>
      </w:r>
    </w:p>
    <w:p w14:paraId="270C1670" w14:textId="15085E51"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60. </w:t>
      </w:r>
      <w:r w:rsidRPr="00FA2BBA">
        <w:rPr>
          <w:rFonts w:ascii="Times New Roman" w:hAnsi="Times New Roman" w:cs="Times New Roman"/>
          <w:noProof/>
          <w:sz w:val="24"/>
          <w:szCs w:val="24"/>
        </w:rPr>
        <w:tab/>
        <w:t xml:space="preserve">Health and Social Care Information Centre. </w:t>
      </w:r>
      <w:r w:rsidR="00E72770">
        <w:rPr>
          <w:rFonts w:ascii="Times New Roman" w:hAnsi="Times New Roman" w:cs="Times New Roman"/>
          <w:noProof/>
          <w:sz w:val="24"/>
          <w:szCs w:val="24"/>
        </w:rPr>
        <w:t xml:space="preserve">(2014) </w:t>
      </w:r>
      <w:r w:rsidRPr="00FA2BBA">
        <w:rPr>
          <w:rFonts w:ascii="Times New Roman" w:hAnsi="Times New Roman" w:cs="Times New Roman"/>
          <w:noProof/>
          <w:sz w:val="24"/>
          <w:szCs w:val="24"/>
        </w:rPr>
        <w:t xml:space="preserve">National Child Measurement Programme: England, 2013/2014 school year. </w:t>
      </w:r>
      <w:r w:rsidR="00102EE7" w:rsidRPr="00102EE7">
        <w:rPr>
          <w:rFonts w:ascii="Times New Roman" w:hAnsi="Times New Roman" w:cs="Times New Roman"/>
          <w:noProof/>
          <w:sz w:val="24"/>
          <w:szCs w:val="24"/>
        </w:rPr>
        <w:t>http://www.hscic.gov.uk/ncmp</w:t>
      </w:r>
    </w:p>
    <w:p w14:paraId="15C57E4A" w14:textId="59F9B791" w:rsidR="00FA2BBA" w:rsidRPr="00FA2BBA" w:rsidRDefault="00E72770"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61. </w:t>
      </w:r>
      <w:r>
        <w:rPr>
          <w:rFonts w:ascii="Times New Roman" w:hAnsi="Times New Roman" w:cs="Times New Roman"/>
          <w:noProof/>
          <w:sz w:val="24"/>
          <w:szCs w:val="24"/>
        </w:rPr>
        <w:tab/>
        <w:t xml:space="preserve">Kroll B (1990) </w:t>
      </w:r>
      <w:r w:rsidR="00FA2BBA" w:rsidRPr="00FA2BBA">
        <w:rPr>
          <w:rFonts w:ascii="Times New Roman" w:hAnsi="Times New Roman" w:cs="Times New Roman"/>
          <w:noProof/>
          <w:sz w:val="24"/>
          <w:szCs w:val="24"/>
        </w:rPr>
        <w:t>Evaluating rating scales for sensory test</w:t>
      </w:r>
      <w:r>
        <w:rPr>
          <w:rFonts w:ascii="Times New Roman" w:hAnsi="Times New Roman" w:cs="Times New Roman"/>
          <w:noProof/>
          <w:sz w:val="24"/>
          <w:szCs w:val="24"/>
        </w:rPr>
        <w:t>ing with children. Food Technol 44,</w:t>
      </w:r>
      <w:r w:rsidRPr="00FA2BBA">
        <w:rPr>
          <w:rFonts w:ascii="Times New Roman" w:hAnsi="Times New Roman" w:cs="Times New Roman"/>
          <w:noProof/>
          <w:sz w:val="24"/>
          <w:szCs w:val="24"/>
        </w:rPr>
        <w:t xml:space="preserve"> </w:t>
      </w:r>
      <w:r w:rsidR="00FA2BBA" w:rsidRPr="00FA2BBA">
        <w:rPr>
          <w:rFonts w:ascii="Times New Roman" w:hAnsi="Times New Roman" w:cs="Times New Roman"/>
          <w:noProof/>
          <w:sz w:val="24"/>
          <w:szCs w:val="24"/>
        </w:rPr>
        <w:t xml:space="preserve">78–86. </w:t>
      </w:r>
    </w:p>
    <w:p w14:paraId="548A87D1" w14:textId="51443C07"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62. </w:t>
      </w:r>
      <w:r w:rsidRPr="00FA2BBA">
        <w:rPr>
          <w:rFonts w:ascii="Times New Roman" w:hAnsi="Times New Roman" w:cs="Times New Roman"/>
          <w:noProof/>
          <w:sz w:val="24"/>
          <w:szCs w:val="24"/>
        </w:rPr>
        <w:tab/>
        <w:t>Livingsto</w:t>
      </w:r>
      <w:r w:rsidR="00E72770">
        <w:rPr>
          <w:rFonts w:ascii="Times New Roman" w:hAnsi="Times New Roman" w:cs="Times New Roman"/>
          <w:noProof/>
          <w:sz w:val="24"/>
          <w:szCs w:val="24"/>
        </w:rPr>
        <w:t xml:space="preserve">ne MBE, Robson PJ, Wallace JMW et al. (2004) </w:t>
      </w:r>
      <w:r w:rsidRPr="00FA2BBA">
        <w:rPr>
          <w:rFonts w:ascii="Times New Roman" w:hAnsi="Times New Roman" w:cs="Times New Roman"/>
          <w:noProof/>
          <w:sz w:val="24"/>
          <w:szCs w:val="24"/>
        </w:rPr>
        <w:t xml:space="preserve">Issues in dietary intake assessment of children and adolescents. Br J Nutr </w:t>
      </w:r>
      <w:r w:rsidR="00E72770">
        <w:rPr>
          <w:rFonts w:ascii="Times New Roman" w:hAnsi="Times New Roman" w:cs="Times New Roman"/>
          <w:noProof/>
          <w:sz w:val="24"/>
          <w:szCs w:val="24"/>
        </w:rPr>
        <w:t xml:space="preserve">92, </w:t>
      </w:r>
      <w:r w:rsidRPr="00FA2BBA">
        <w:rPr>
          <w:rFonts w:ascii="Times New Roman" w:hAnsi="Times New Roman" w:cs="Times New Roman"/>
          <w:noProof/>
          <w:sz w:val="24"/>
          <w:szCs w:val="24"/>
        </w:rPr>
        <w:t xml:space="preserve">S213. </w:t>
      </w:r>
    </w:p>
    <w:p w14:paraId="618939D6" w14:textId="6DFBAF9C"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szCs w:val="24"/>
        </w:rPr>
      </w:pPr>
      <w:r w:rsidRPr="00FA2BBA">
        <w:rPr>
          <w:rFonts w:ascii="Times New Roman" w:hAnsi="Times New Roman" w:cs="Times New Roman"/>
          <w:noProof/>
          <w:sz w:val="24"/>
          <w:szCs w:val="24"/>
        </w:rPr>
        <w:t xml:space="preserve">63. </w:t>
      </w:r>
      <w:r w:rsidRPr="00FA2BBA">
        <w:rPr>
          <w:rFonts w:ascii="Times New Roman" w:hAnsi="Times New Roman" w:cs="Times New Roman"/>
          <w:noProof/>
          <w:sz w:val="24"/>
          <w:szCs w:val="24"/>
        </w:rPr>
        <w:tab/>
        <w:t>Living</w:t>
      </w:r>
      <w:r w:rsidR="00E72770">
        <w:rPr>
          <w:rFonts w:ascii="Times New Roman" w:hAnsi="Times New Roman" w:cs="Times New Roman"/>
          <w:noProof/>
          <w:sz w:val="24"/>
          <w:szCs w:val="24"/>
        </w:rPr>
        <w:t>stone MB &amp; Robson PJ (2000)</w:t>
      </w:r>
      <w:r w:rsidRPr="00FA2BBA">
        <w:rPr>
          <w:rFonts w:ascii="Times New Roman" w:hAnsi="Times New Roman" w:cs="Times New Roman"/>
          <w:noProof/>
          <w:sz w:val="24"/>
          <w:szCs w:val="24"/>
        </w:rPr>
        <w:t xml:space="preserve"> Measurement of dietary intake in children. Proc Nutr Soc</w:t>
      </w:r>
      <w:r w:rsidR="00E72770">
        <w:rPr>
          <w:rFonts w:ascii="Times New Roman" w:hAnsi="Times New Roman" w:cs="Times New Roman"/>
          <w:noProof/>
          <w:sz w:val="24"/>
          <w:szCs w:val="24"/>
        </w:rPr>
        <w:t xml:space="preserve"> 59, </w:t>
      </w:r>
      <w:r w:rsidRPr="00FA2BBA">
        <w:rPr>
          <w:rFonts w:ascii="Times New Roman" w:hAnsi="Times New Roman" w:cs="Times New Roman"/>
          <w:noProof/>
          <w:sz w:val="24"/>
          <w:szCs w:val="24"/>
        </w:rPr>
        <w:t xml:space="preserve">279–93. </w:t>
      </w:r>
    </w:p>
    <w:p w14:paraId="687CA992" w14:textId="6C495A6A" w:rsidR="00FA2BBA" w:rsidRPr="00FA2BBA" w:rsidRDefault="00FA2BBA" w:rsidP="00FA2BBA">
      <w:pPr>
        <w:widowControl w:val="0"/>
        <w:autoSpaceDE w:val="0"/>
        <w:autoSpaceDN w:val="0"/>
        <w:adjustRightInd w:val="0"/>
        <w:spacing w:line="360" w:lineRule="auto"/>
        <w:ind w:left="640" w:hanging="640"/>
        <w:rPr>
          <w:rFonts w:ascii="Times New Roman" w:hAnsi="Times New Roman" w:cs="Times New Roman"/>
          <w:noProof/>
          <w:sz w:val="24"/>
        </w:rPr>
      </w:pPr>
      <w:r w:rsidRPr="00FA2BBA">
        <w:rPr>
          <w:rFonts w:ascii="Times New Roman" w:hAnsi="Times New Roman" w:cs="Times New Roman"/>
          <w:noProof/>
          <w:sz w:val="24"/>
          <w:szCs w:val="24"/>
        </w:rPr>
        <w:t>6</w:t>
      </w:r>
      <w:r w:rsidR="00E72770">
        <w:rPr>
          <w:rFonts w:ascii="Times New Roman" w:hAnsi="Times New Roman" w:cs="Times New Roman"/>
          <w:noProof/>
          <w:sz w:val="24"/>
          <w:szCs w:val="24"/>
        </w:rPr>
        <w:t xml:space="preserve">4. </w:t>
      </w:r>
      <w:r w:rsidR="00E72770">
        <w:rPr>
          <w:rFonts w:ascii="Times New Roman" w:hAnsi="Times New Roman" w:cs="Times New Roman"/>
          <w:noProof/>
          <w:sz w:val="24"/>
          <w:szCs w:val="24"/>
        </w:rPr>
        <w:tab/>
        <w:t>Moore GF, Tapper K, Moore L et al. (2008)</w:t>
      </w:r>
      <w:r w:rsidRPr="00FA2BBA">
        <w:rPr>
          <w:rFonts w:ascii="Times New Roman" w:hAnsi="Times New Roman" w:cs="Times New Roman"/>
          <w:noProof/>
          <w:sz w:val="24"/>
          <w:szCs w:val="24"/>
        </w:rPr>
        <w:t xml:space="preserve"> Cognitive, Behavioral, and Social Factors Are Associated with Bias in Dietary Questionnaire Self-Reports by Schoolchildren Aged </w:t>
      </w:r>
      <w:r w:rsidR="00E72770">
        <w:rPr>
          <w:rFonts w:ascii="Times New Roman" w:hAnsi="Times New Roman" w:cs="Times New Roman"/>
          <w:noProof/>
          <w:sz w:val="24"/>
          <w:szCs w:val="24"/>
        </w:rPr>
        <w:t xml:space="preserve">9 to 11 Years. J Am Diet Assoc 108, </w:t>
      </w:r>
      <w:r w:rsidRPr="00FA2BBA">
        <w:rPr>
          <w:rFonts w:ascii="Times New Roman" w:hAnsi="Times New Roman" w:cs="Times New Roman"/>
          <w:noProof/>
          <w:sz w:val="24"/>
          <w:szCs w:val="24"/>
        </w:rPr>
        <w:t xml:space="preserve">1865–73. </w:t>
      </w:r>
    </w:p>
    <w:p w14:paraId="2022A692" w14:textId="525C7818" w:rsidR="001B2983" w:rsidRPr="00083A30" w:rsidRDefault="001B2983" w:rsidP="00304988">
      <w:pPr>
        <w:widowControl w:val="0"/>
        <w:autoSpaceDE w:val="0"/>
        <w:autoSpaceDN w:val="0"/>
        <w:adjustRightInd w:val="0"/>
        <w:spacing w:line="360" w:lineRule="auto"/>
        <w:ind w:left="640" w:hanging="640"/>
        <w:jc w:val="both"/>
        <w:rPr>
          <w:rFonts w:ascii="Times New Roman" w:hAnsi="Times New Roman" w:cs="Times New Roman"/>
          <w:b/>
          <w:sz w:val="24"/>
          <w:szCs w:val="24"/>
        </w:rPr>
      </w:pPr>
      <w:r w:rsidRPr="00083A30">
        <w:rPr>
          <w:rFonts w:ascii="Times New Roman" w:hAnsi="Times New Roman" w:cs="Times New Roman"/>
          <w:b/>
          <w:sz w:val="24"/>
          <w:szCs w:val="24"/>
        </w:rPr>
        <w:fldChar w:fldCharType="end"/>
      </w:r>
    </w:p>
    <w:p w14:paraId="41C70D84" w14:textId="5C0575E8" w:rsidR="006A5734" w:rsidRPr="00083A30" w:rsidRDefault="006A5734" w:rsidP="00304988">
      <w:pPr>
        <w:spacing w:line="360" w:lineRule="auto"/>
        <w:jc w:val="both"/>
        <w:rPr>
          <w:rFonts w:ascii="Times New Roman" w:hAnsi="Times New Roman" w:cs="Times New Roman"/>
          <w:sz w:val="24"/>
          <w:szCs w:val="24"/>
        </w:rPr>
      </w:pPr>
    </w:p>
    <w:sectPr w:rsidR="006A5734" w:rsidRPr="00083A30" w:rsidSect="00450FBB">
      <w:footerReference w:type="default" r:id="rId15"/>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4F08D" w14:textId="77777777" w:rsidR="000E6206" w:rsidRDefault="000E6206" w:rsidP="001A0ECA">
      <w:pPr>
        <w:spacing w:after="0" w:line="240" w:lineRule="auto"/>
      </w:pPr>
      <w:r>
        <w:separator/>
      </w:r>
    </w:p>
  </w:endnote>
  <w:endnote w:type="continuationSeparator" w:id="0">
    <w:p w14:paraId="4AEE6BCE" w14:textId="77777777" w:rsidR="000E6206" w:rsidRDefault="000E6206" w:rsidP="001A0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24061"/>
      <w:docPartObj>
        <w:docPartGallery w:val="Page Numbers (Bottom of Page)"/>
        <w:docPartUnique/>
      </w:docPartObj>
    </w:sdtPr>
    <w:sdtEndPr>
      <w:rPr>
        <w:noProof/>
      </w:rPr>
    </w:sdtEndPr>
    <w:sdtContent>
      <w:p w14:paraId="5E87FBE3" w14:textId="52685808" w:rsidR="000E6206" w:rsidRDefault="000E6206">
        <w:pPr>
          <w:pStyle w:val="Footer"/>
          <w:jc w:val="center"/>
        </w:pPr>
        <w:r>
          <w:fldChar w:fldCharType="begin"/>
        </w:r>
        <w:r>
          <w:instrText xml:space="preserve"> PAGE   \* MERGEFORMAT </w:instrText>
        </w:r>
        <w:r>
          <w:fldChar w:fldCharType="separate"/>
        </w:r>
        <w:r w:rsidR="000E0646">
          <w:rPr>
            <w:noProof/>
          </w:rPr>
          <w:t>1</w:t>
        </w:r>
        <w:r>
          <w:rPr>
            <w:noProof/>
          </w:rPr>
          <w:fldChar w:fldCharType="end"/>
        </w:r>
      </w:p>
    </w:sdtContent>
  </w:sdt>
  <w:p w14:paraId="2F1A5E8A" w14:textId="77777777" w:rsidR="000E6206" w:rsidRDefault="000E6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7CAE5" w14:textId="77777777" w:rsidR="000E6206" w:rsidRDefault="000E6206" w:rsidP="001A0ECA">
      <w:pPr>
        <w:spacing w:after="0" w:line="240" w:lineRule="auto"/>
      </w:pPr>
      <w:r>
        <w:separator/>
      </w:r>
    </w:p>
  </w:footnote>
  <w:footnote w:type="continuationSeparator" w:id="0">
    <w:p w14:paraId="406F99C5" w14:textId="77777777" w:rsidR="000E6206" w:rsidRDefault="000E6206" w:rsidP="001A0E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776BE"/>
    <w:multiLevelType w:val="multilevel"/>
    <w:tmpl w:val="CFEE8968"/>
    <w:numStyleLink w:val="HeadingsKate"/>
  </w:abstractNum>
  <w:abstractNum w:abstractNumId="1">
    <w:nsid w:val="3FEA4056"/>
    <w:multiLevelType w:val="multilevel"/>
    <w:tmpl w:val="CFEE8968"/>
    <w:styleLink w:val="HeadingsKate"/>
    <w:lvl w:ilvl="0">
      <w:start w:val="2"/>
      <w:numFmt w:val="decimal"/>
      <w:pStyle w:val="Heading1"/>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633C3ABF"/>
    <w:multiLevelType w:val="hybridMultilevel"/>
    <w:tmpl w:val="B7D60758"/>
    <w:lvl w:ilvl="0" w:tplc="D5B287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4D57B54"/>
    <w:multiLevelType w:val="hybridMultilevel"/>
    <w:tmpl w:val="1D20A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2"/>
        <w:numFmt w:val="decimal"/>
        <w:pStyle w:val="Heading1"/>
        <w:lvlText w:val="%1"/>
        <w:lvlJc w:val="left"/>
        <w:pPr>
          <w:ind w:left="574"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i w:val="0"/>
        </w:rPr>
      </w:lvl>
    </w:lvlOverride>
    <w:lvlOverride w:ilvl="3">
      <w:lvl w:ilvl="3">
        <w:start w:val="1"/>
        <w:numFmt w:val="decimal"/>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
    <w:abstractNumId w:val="3"/>
  </w:num>
  <w:num w:numId="4">
    <w:abstractNumId w:val="0"/>
    <w:lvlOverride w:ilvl="0">
      <w:lvl w:ilvl="0">
        <w:start w:val="2"/>
        <w:numFmt w:val="decimal"/>
        <w:pStyle w:val="Heading1"/>
        <w:lvlText w:val="%1"/>
        <w:lvlJc w:val="left"/>
        <w:pPr>
          <w:ind w:left="574"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2704" w:hanging="720"/>
        </w:pPr>
        <w:rPr>
          <w:rFonts w:hint="default"/>
          <w:i w:val="0"/>
        </w:rPr>
      </w:lvl>
    </w:lvlOverride>
    <w:lvlOverride w:ilvl="3">
      <w:lvl w:ilvl="3">
        <w:start w:val="1"/>
        <w:numFmt w:val="decimal"/>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
    <w:abstractNumId w:val="0"/>
    <w:lvlOverride w:ilvl="0">
      <w:startOverride w:val="2"/>
      <w:lvl w:ilvl="0">
        <w:start w:val="2"/>
        <w:numFmt w:val="decimal"/>
        <w:pStyle w:val="Heading1"/>
        <w:lvlText w:val="%1"/>
        <w:lvlJc w:val="left"/>
        <w:pPr>
          <w:ind w:left="574" w:hanging="432"/>
        </w:pPr>
        <w:rPr>
          <w:rFonts w:hint="default"/>
        </w:rPr>
      </w:lvl>
    </w:lvlOverride>
    <w:lvlOverride w:ilvl="1">
      <w:startOverride w:val="1"/>
      <w:lvl w:ilvl="1">
        <w:start w:val="1"/>
        <w:numFmt w:val="decimal"/>
        <w:lvlText w:val="%1.%2"/>
        <w:lvlJc w:val="left"/>
        <w:pPr>
          <w:ind w:left="576" w:hanging="576"/>
        </w:pPr>
        <w:rPr>
          <w:rFonts w:hint="default"/>
        </w:rPr>
      </w:lvl>
    </w:lvlOverride>
    <w:lvlOverride w:ilvl="2">
      <w:startOverride w:val="1"/>
      <w:lvl w:ilvl="2">
        <w:start w:val="1"/>
        <w:numFmt w:val="decimal"/>
        <w:lvlText w:val="%1.%2.%3"/>
        <w:lvlJc w:val="left"/>
        <w:pPr>
          <w:ind w:left="720" w:hanging="720"/>
        </w:pPr>
        <w:rPr>
          <w:rFonts w:hint="default"/>
          <w:i w:val="0"/>
        </w:rPr>
      </w:lvl>
    </w:lvlOverride>
    <w:lvlOverride w:ilvl="3">
      <w:startOverride w:val="1"/>
      <w:lvl w:ilvl="3">
        <w:start w:val="1"/>
        <w:numFmt w:val="decimal"/>
        <w:lvlText w:val="%1.%2.%3.%4"/>
        <w:lvlJc w:val="left"/>
        <w:pPr>
          <w:ind w:left="864" w:hanging="864"/>
        </w:pPr>
        <w:rPr>
          <w:rFonts w:hint="default"/>
        </w:rPr>
      </w:lvl>
    </w:lvlOverride>
    <w:lvlOverride w:ilvl="4">
      <w:startOverride w:val="1"/>
      <w:lvl w:ilvl="4">
        <w:start w:val="1"/>
        <w:numFmt w:val="decimal"/>
        <w:pStyle w:val="Heading5"/>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681"/>
    <w:rsid w:val="0000381B"/>
    <w:rsid w:val="00011B58"/>
    <w:rsid w:val="00017067"/>
    <w:rsid w:val="00023EEC"/>
    <w:rsid w:val="00034820"/>
    <w:rsid w:val="00044ACE"/>
    <w:rsid w:val="000677FD"/>
    <w:rsid w:val="00071132"/>
    <w:rsid w:val="0007565F"/>
    <w:rsid w:val="00075D37"/>
    <w:rsid w:val="0008048D"/>
    <w:rsid w:val="00083A30"/>
    <w:rsid w:val="00097F16"/>
    <w:rsid w:val="000E0646"/>
    <w:rsid w:val="000E6206"/>
    <w:rsid w:val="00102EE7"/>
    <w:rsid w:val="00103831"/>
    <w:rsid w:val="0011378C"/>
    <w:rsid w:val="00114593"/>
    <w:rsid w:val="001170A5"/>
    <w:rsid w:val="001253A2"/>
    <w:rsid w:val="00127505"/>
    <w:rsid w:val="00127CED"/>
    <w:rsid w:val="00153820"/>
    <w:rsid w:val="0018479C"/>
    <w:rsid w:val="00185688"/>
    <w:rsid w:val="00195E60"/>
    <w:rsid w:val="001A0ECA"/>
    <w:rsid w:val="001B2983"/>
    <w:rsid w:val="001B605B"/>
    <w:rsid w:val="001F1BB5"/>
    <w:rsid w:val="001F664C"/>
    <w:rsid w:val="00213E2C"/>
    <w:rsid w:val="00244B00"/>
    <w:rsid w:val="002848CA"/>
    <w:rsid w:val="002B219B"/>
    <w:rsid w:val="002E3BAC"/>
    <w:rsid w:val="002E5364"/>
    <w:rsid w:val="00304988"/>
    <w:rsid w:val="0032019B"/>
    <w:rsid w:val="00336C2F"/>
    <w:rsid w:val="00372C6B"/>
    <w:rsid w:val="00377646"/>
    <w:rsid w:val="003E4DC9"/>
    <w:rsid w:val="00411313"/>
    <w:rsid w:val="004201B4"/>
    <w:rsid w:val="0044307F"/>
    <w:rsid w:val="00450FBB"/>
    <w:rsid w:val="00451981"/>
    <w:rsid w:val="0045424A"/>
    <w:rsid w:val="00493720"/>
    <w:rsid w:val="004A24F4"/>
    <w:rsid w:val="00530EA7"/>
    <w:rsid w:val="005329FD"/>
    <w:rsid w:val="00561A67"/>
    <w:rsid w:val="00566EA5"/>
    <w:rsid w:val="00582C2E"/>
    <w:rsid w:val="0058311D"/>
    <w:rsid w:val="005B0F53"/>
    <w:rsid w:val="005D23CA"/>
    <w:rsid w:val="00603743"/>
    <w:rsid w:val="0065304A"/>
    <w:rsid w:val="006576E1"/>
    <w:rsid w:val="0066753E"/>
    <w:rsid w:val="00672BA9"/>
    <w:rsid w:val="006975C9"/>
    <w:rsid w:val="006A5734"/>
    <w:rsid w:val="006A6BD3"/>
    <w:rsid w:val="00713186"/>
    <w:rsid w:val="0071438A"/>
    <w:rsid w:val="00726BB0"/>
    <w:rsid w:val="0074703C"/>
    <w:rsid w:val="00761084"/>
    <w:rsid w:val="007A022F"/>
    <w:rsid w:val="008132A4"/>
    <w:rsid w:val="0082405F"/>
    <w:rsid w:val="0082693A"/>
    <w:rsid w:val="00833279"/>
    <w:rsid w:val="00842D3F"/>
    <w:rsid w:val="00872639"/>
    <w:rsid w:val="008A2E62"/>
    <w:rsid w:val="008C7984"/>
    <w:rsid w:val="008D3C3C"/>
    <w:rsid w:val="00981875"/>
    <w:rsid w:val="009C1681"/>
    <w:rsid w:val="009D55B4"/>
    <w:rsid w:val="009D6420"/>
    <w:rsid w:val="009E743B"/>
    <w:rsid w:val="009E7CE7"/>
    <w:rsid w:val="00A00F15"/>
    <w:rsid w:val="00A13FC2"/>
    <w:rsid w:val="00A31194"/>
    <w:rsid w:val="00A43421"/>
    <w:rsid w:val="00A7031F"/>
    <w:rsid w:val="00AD0ED9"/>
    <w:rsid w:val="00AE0050"/>
    <w:rsid w:val="00AE30F8"/>
    <w:rsid w:val="00B02029"/>
    <w:rsid w:val="00B43E0F"/>
    <w:rsid w:val="00B45C79"/>
    <w:rsid w:val="00B45F59"/>
    <w:rsid w:val="00B55E7B"/>
    <w:rsid w:val="00B612D0"/>
    <w:rsid w:val="00B73FAB"/>
    <w:rsid w:val="00B83B81"/>
    <w:rsid w:val="00B9480D"/>
    <w:rsid w:val="00BC20B0"/>
    <w:rsid w:val="00BC278D"/>
    <w:rsid w:val="00BE3895"/>
    <w:rsid w:val="00BE67B4"/>
    <w:rsid w:val="00C008D8"/>
    <w:rsid w:val="00C6527A"/>
    <w:rsid w:val="00C67574"/>
    <w:rsid w:val="00C77216"/>
    <w:rsid w:val="00C93532"/>
    <w:rsid w:val="00CE28A9"/>
    <w:rsid w:val="00D42FF8"/>
    <w:rsid w:val="00D60DF3"/>
    <w:rsid w:val="00D72607"/>
    <w:rsid w:val="00DB7BEC"/>
    <w:rsid w:val="00DD04EC"/>
    <w:rsid w:val="00E22346"/>
    <w:rsid w:val="00E241C6"/>
    <w:rsid w:val="00E31904"/>
    <w:rsid w:val="00E518DF"/>
    <w:rsid w:val="00E72770"/>
    <w:rsid w:val="00E92670"/>
    <w:rsid w:val="00ED12AB"/>
    <w:rsid w:val="00F03018"/>
    <w:rsid w:val="00F821A6"/>
    <w:rsid w:val="00F9658A"/>
    <w:rsid w:val="00FA2BBA"/>
    <w:rsid w:val="00FB2F0F"/>
    <w:rsid w:val="00FD6C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69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B45C79"/>
    <w:pPr>
      <w:keepNext/>
      <w:numPr>
        <w:numId w:val="2"/>
      </w:numPr>
      <w:spacing w:before="240" w:after="60" w:line="360" w:lineRule="auto"/>
      <w:ind w:hanging="574"/>
      <w:outlineLvl w:val="0"/>
    </w:pPr>
    <w:rPr>
      <w:rFonts w:ascii="Arial" w:eastAsia="MS Gothic" w:hAnsi="Arial" w:cs="Times New Roman"/>
      <w:b/>
      <w:bCs/>
      <w:kern w:val="32"/>
      <w:sz w:val="36"/>
      <w:szCs w:val="24"/>
      <w:u w:val="single"/>
      <w:lang w:eastAsia="ja-JP"/>
    </w:rPr>
  </w:style>
  <w:style w:type="paragraph" w:styleId="Heading2">
    <w:name w:val="heading 2"/>
    <w:basedOn w:val="Normal"/>
    <w:next w:val="Normal"/>
    <w:link w:val="Heading2Char"/>
    <w:autoRedefine/>
    <w:qFormat/>
    <w:rsid w:val="00E22346"/>
    <w:pPr>
      <w:keepNext/>
      <w:spacing w:before="240" w:after="60" w:line="240" w:lineRule="auto"/>
      <w:jc w:val="both"/>
      <w:outlineLvl w:val="1"/>
    </w:pPr>
    <w:rPr>
      <w:rFonts w:ascii="Arial" w:eastAsia="MS Gothic" w:hAnsi="Arial" w:cs="Arial"/>
      <w:bCs/>
      <w:iCs/>
      <w:sz w:val="32"/>
      <w:szCs w:val="20"/>
      <w:lang w:val="en-US"/>
    </w:rPr>
  </w:style>
  <w:style w:type="paragraph" w:styleId="Heading3">
    <w:name w:val="heading 3"/>
    <w:basedOn w:val="Normal"/>
    <w:next w:val="Normal"/>
    <w:link w:val="Heading3Char"/>
    <w:autoRedefine/>
    <w:qFormat/>
    <w:rsid w:val="004201B4"/>
    <w:pPr>
      <w:keepNext/>
      <w:spacing w:before="240" w:after="120" w:line="360" w:lineRule="auto"/>
      <w:jc w:val="both"/>
      <w:outlineLvl w:val="2"/>
    </w:pPr>
    <w:rPr>
      <w:rFonts w:ascii="Arial" w:eastAsia="MS Gothic" w:hAnsi="Arial" w:cs="Arial"/>
      <w:bCs/>
      <w:iCs/>
      <w:lang w:val="en-US"/>
    </w:rPr>
  </w:style>
  <w:style w:type="paragraph" w:styleId="Heading4">
    <w:name w:val="heading 4"/>
    <w:basedOn w:val="Normal"/>
    <w:next w:val="Normal"/>
    <w:link w:val="Heading4Char"/>
    <w:autoRedefine/>
    <w:uiPriority w:val="9"/>
    <w:qFormat/>
    <w:rsid w:val="004201B4"/>
    <w:pPr>
      <w:keepNext/>
      <w:spacing w:before="240" w:after="60" w:line="240" w:lineRule="auto"/>
      <w:ind w:left="864" w:hanging="864"/>
      <w:outlineLvl w:val="3"/>
    </w:pPr>
    <w:rPr>
      <w:rFonts w:ascii="Arial" w:eastAsia="MS Mincho" w:hAnsi="Arial" w:cs="Times New Roman"/>
      <w:bCs/>
      <w:lang w:eastAsia="ja-JP"/>
    </w:rPr>
  </w:style>
  <w:style w:type="paragraph" w:styleId="Heading5">
    <w:name w:val="heading 5"/>
    <w:basedOn w:val="Normal"/>
    <w:next w:val="Normal"/>
    <w:link w:val="Heading5Char"/>
    <w:autoRedefine/>
    <w:uiPriority w:val="9"/>
    <w:qFormat/>
    <w:rsid w:val="00B45C79"/>
    <w:pPr>
      <w:numPr>
        <w:ilvl w:val="4"/>
        <w:numId w:val="2"/>
      </w:numPr>
      <w:spacing w:before="240" w:after="60" w:line="240" w:lineRule="auto"/>
      <w:outlineLvl w:val="4"/>
    </w:pPr>
    <w:rPr>
      <w:rFonts w:ascii="Arial" w:eastAsia="MS Mincho" w:hAnsi="Arial" w:cs="Times New Roman"/>
      <w:b/>
      <w:bCs/>
      <w:iC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681"/>
    <w:rPr>
      <w:color w:val="0563C1" w:themeColor="hyperlink"/>
      <w:u w:val="single"/>
    </w:rPr>
  </w:style>
  <w:style w:type="character" w:customStyle="1" w:styleId="Heading1Char">
    <w:name w:val="Heading 1 Char"/>
    <w:basedOn w:val="DefaultParagraphFont"/>
    <w:link w:val="Heading1"/>
    <w:uiPriority w:val="9"/>
    <w:rsid w:val="00B45C79"/>
    <w:rPr>
      <w:rFonts w:ascii="Arial" w:eastAsia="MS Gothic" w:hAnsi="Arial" w:cs="Times New Roman"/>
      <w:b/>
      <w:bCs/>
      <w:kern w:val="32"/>
      <w:sz w:val="36"/>
      <w:szCs w:val="24"/>
      <w:u w:val="single"/>
      <w:lang w:eastAsia="ja-JP"/>
    </w:rPr>
  </w:style>
  <w:style w:type="character" w:customStyle="1" w:styleId="Heading2Char">
    <w:name w:val="Heading 2 Char"/>
    <w:basedOn w:val="DefaultParagraphFont"/>
    <w:link w:val="Heading2"/>
    <w:rsid w:val="00E22346"/>
    <w:rPr>
      <w:rFonts w:ascii="Arial" w:eastAsia="MS Gothic" w:hAnsi="Arial" w:cs="Arial"/>
      <w:bCs/>
      <w:iCs/>
      <w:sz w:val="32"/>
      <w:szCs w:val="20"/>
      <w:lang w:val="en-US"/>
    </w:rPr>
  </w:style>
  <w:style w:type="character" w:customStyle="1" w:styleId="Heading3Char">
    <w:name w:val="Heading 3 Char"/>
    <w:basedOn w:val="DefaultParagraphFont"/>
    <w:link w:val="Heading3"/>
    <w:rsid w:val="004201B4"/>
    <w:rPr>
      <w:rFonts w:ascii="Arial" w:eastAsia="MS Gothic" w:hAnsi="Arial" w:cs="Arial"/>
      <w:bCs/>
      <w:iCs/>
      <w:lang w:val="en-US"/>
    </w:rPr>
  </w:style>
  <w:style w:type="character" w:customStyle="1" w:styleId="Heading4Char">
    <w:name w:val="Heading 4 Char"/>
    <w:basedOn w:val="DefaultParagraphFont"/>
    <w:link w:val="Heading4"/>
    <w:uiPriority w:val="9"/>
    <w:rsid w:val="004201B4"/>
    <w:rPr>
      <w:rFonts w:ascii="Arial" w:eastAsia="MS Mincho" w:hAnsi="Arial" w:cs="Times New Roman"/>
      <w:bCs/>
      <w:lang w:eastAsia="ja-JP"/>
    </w:rPr>
  </w:style>
  <w:style w:type="character" w:customStyle="1" w:styleId="Heading5Char">
    <w:name w:val="Heading 5 Char"/>
    <w:basedOn w:val="DefaultParagraphFont"/>
    <w:link w:val="Heading5"/>
    <w:uiPriority w:val="9"/>
    <w:rsid w:val="00B45C79"/>
    <w:rPr>
      <w:rFonts w:ascii="Arial" w:eastAsia="MS Mincho" w:hAnsi="Arial" w:cs="Times New Roman"/>
      <w:b/>
      <w:bCs/>
      <w:iCs/>
      <w:szCs w:val="26"/>
      <w:lang w:eastAsia="ja-JP"/>
    </w:rPr>
  </w:style>
  <w:style w:type="numbering" w:customStyle="1" w:styleId="HeadingsKate">
    <w:name w:val="HeadingsKate"/>
    <w:rsid w:val="00B45C79"/>
    <w:pPr>
      <w:numPr>
        <w:numId w:val="1"/>
      </w:numPr>
    </w:pPr>
  </w:style>
  <w:style w:type="paragraph" w:styleId="Caption">
    <w:name w:val="caption"/>
    <w:basedOn w:val="Normal"/>
    <w:next w:val="Normal"/>
    <w:autoRedefine/>
    <w:uiPriority w:val="35"/>
    <w:unhideWhenUsed/>
    <w:qFormat/>
    <w:rsid w:val="00017067"/>
    <w:pPr>
      <w:spacing w:after="0" w:line="360" w:lineRule="auto"/>
      <w:ind w:left="142"/>
      <w:jc w:val="both"/>
    </w:pPr>
    <w:rPr>
      <w:rFonts w:ascii="Arial" w:eastAsia="MS Mincho" w:hAnsi="Arial" w:cs="Arial"/>
      <w:bCs/>
      <w:lang w:val="en-US" w:eastAsia="en-GB"/>
    </w:rPr>
  </w:style>
  <w:style w:type="table" w:styleId="LightShading">
    <w:name w:val="Light Shading"/>
    <w:basedOn w:val="TableNormal"/>
    <w:uiPriority w:val="99"/>
    <w:rsid w:val="00B45C79"/>
    <w:pPr>
      <w:spacing w:after="0" w:line="240" w:lineRule="auto"/>
    </w:pPr>
    <w:rPr>
      <w:rFonts w:ascii="Times New Roman" w:eastAsia="MS Mincho" w:hAnsi="Times New Roman" w:cs="Times New Roman"/>
      <w:color w:val="000000" w:themeColor="text1" w:themeShade="BF"/>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530EA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0EA7"/>
    <w:rPr>
      <w:rFonts w:ascii="Lucida Grande" w:hAnsi="Lucida Grande" w:cs="Lucida Grande"/>
      <w:sz w:val="18"/>
      <w:szCs w:val="18"/>
    </w:rPr>
  </w:style>
  <w:style w:type="character" w:customStyle="1" w:styleId="apple-style-span">
    <w:name w:val="apple-style-span"/>
    <w:basedOn w:val="DefaultParagraphFont"/>
    <w:rsid w:val="0018479C"/>
  </w:style>
  <w:style w:type="character" w:customStyle="1" w:styleId="highlight">
    <w:name w:val="highlight"/>
    <w:basedOn w:val="DefaultParagraphFont"/>
    <w:rsid w:val="0018479C"/>
  </w:style>
  <w:style w:type="character" w:styleId="CommentReference">
    <w:name w:val="annotation reference"/>
    <w:basedOn w:val="DefaultParagraphFont"/>
    <w:uiPriority w:val="99"/>
    <w:semiHidden/>
    <w:unhideWhenUsed/>
    <w:rsid w:val="006A6BD3"/>
    <w:rPr>
      <w:sz w:val="18"/>
      <w:szCs w:val="18"/>
    </w:rPr>
  </w:style>
  <w:style w:type="paragraph" w:styleId="CommentText">
    <w:name w:val="annotation text"/>
    <w:basedOn w:val="Normal"/>
    <w:link w:val="CommentTextChar"/>
    <w:uiPriority w:val="99"/>
    <w:semiHidden/>
    <w:unhideWhenUsed/>
    <w:rsid w:val="006A6BD3"/>
    <w:pPr>
      <w:spacing w:line="240" w:lineRule="auto"/>
    </w:pPr>
    <w:rPr>
      <w:sz w:val="24"/>
      <w:szCs w:val="24"/>
    </w:rPr>
  </w:style>
  <w:style w:type="character" w:customStyle="1" w:styleId="CommentTextChar">
    <w:name w:val="Comment Text Char"/>
    <w:basedOn w:val="DefaultParagraphFont"/>
    <w:link w:val="CommentText"/>
    <w:uiPriority w:val="99"/>
    <w:semiHidden/>
    <w:rsid w:val="006A6BD3"/>
    <w:rPr>
      <w:sz w:val="24"/>
      <w:szCs w:val="24"/>
    </w:rPr>
  </w:style>
  <w:style w:type="paragraph" w:styleId="CommentSubject">
    <w:name w:val="annotation subject"/>
    <w:basedOn w:val="CommentText"/>
    <w:next w:val="CommentText"/>
    <w:link w:val="CommentSubjectChar"/>
    <w:uiPriority w:val="99"/>
    <w:semiHidden/>
    <w:unhideWhenUsed/>
    <w:rsid w:val="006A6BD3"/>
    <w:rPr>
      <w:b/>
      <w:bCs/>
      <w:sz w:val="20"/>
      <w:szCs w:val="20"/>
    </w:rPr>
  </w:style>
  <w:style w:type="character" w:customStyle="1" w:styleId="CommentSubjectChar">
    <w:name w:val="Comment Subject Char"/>
    <w:basedOn w:val="CommentTextChar"/>
    <w:link w:val="CommentSubject"/>
    <w:uiPriority w:val="99"/>
    <w:semiHidden/>
    <w:rsid w:val="006A6BD3"/>
    <w:rPr>
      <w:b/>
      <w:bCs/>
      <w:sz w:val="20"/>
      <w:szCs w:val="20"/>
    </w:rPr>
  </w:style>
  <w:style w:type="paragraph" w:styleId="NormalWeb">
    <w:name w:val="Normal (Web)"/>
    <w:basedOn w:val="Normal"/>
    <w:uiPriority w:val="99"/>
    <w:unhideWhenUsed/>
    <w:rsid w:val="002E3BAC"/>
    <w:pPr>
      <w:spacing w:before="100" w:beforeAutospacing="1" w:after="100" w:afterAutospacing="1" w:line="240" w:lineRule="auto"/>
    </w:pPr>
    <w:rPr>
      <w:rFonts w:ascii="Times" w:hAnsi="Times" w:cs="Times New Roman"/>
      <w:sz w:val="20"/>
      <w:szCs w:val="20"/>
      <w:lang w:val="en-US"/>
    </w:rPr>
  </w:style>
  <w:style w:type="table" w:styleId="TableGrid">
    <w:name w:val="Table Grid"/>
    <w:basedOn w:val="TableNormal"/>
    <w:uiPriority w:val="39"/>
    <w:rsid w:val="0060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0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ECA"/>
  </w:style>
  <w:style w:type="paragraph" w:styleId="Footer">
    <w:name w:val="footer"/>
    <w:basedOn w:val="Normal"/>
    <w:link w:val="FooterChar"/>
    <w:uiPriority w:val="99"/>
    <w:unhideWhenUsed/>
    <w:rsid w:val="001A0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ECA"/>
  </w:style>
  <w:style w:type="paragraph" w:styleId="ListParagraph">
    <w:name w:val="List Paragraph"/>
    <w:basedOn w:val="Normal"/>
    <w:uiPriority w:val="34"/>
    <w:qFormat/>
    <w:rsid w:val="00BC20B0"/>
    <w:pPr>
      <w:spacing w:after="200" w:line="276" w:lineRule="auto"/>
      <w:ind w:left="720"/>
      <w:contextualSpacing/>
    </w:pPr>
    <w:rPr>
      <w:rFonts w:eastAsiaTheme="minorEastAsia"/>
      <w:szCs w:val="20"/>
      <w:lang w:eastAsia="zh-CN"/>
    </w:rPr>
  </w:style>
  <w:style w:type="character" w:styleId="LineNumber">
    <w:name w:val="line number"/>
    <w:basedOn w:val="DefaultParagraphFont"/>
    <w:uiPriority w:val="99"/>
    <w:semiHidden/>
    <w:unhideWhenUsed/>
    <w:rsid w:val="00450F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B45C79"/>
    <w:pPr>
      <w:keepNext/>
      <w:numPr>
        <w:numId w:val="2"/>
      </w:numPr>
      <w:spacing w:before="240" w:after="60" w:line="360" w:lineRule="auto"/>
      <w:ind w:hanging="574"/>
      <w:outlineLvl w:val="0"/>
    </w:pPr>
    <w:rPr>
      <w:rFonts w:ascii="Arial" w:eastAsia="MS Gothic" w:hAnsi="Arial" w:cs="Times New Roman"/>
      <w:b/>
      <w:bCs/>
      <w:kern w:val="32"/>
      <w:sz w:val="36"/>
      <w:szCs w:val="24"/>
      <w:u w:val="single"/>
      <w:lang w:eastAsia="ja-JP"/>
    </w:rPr>
  </w:style>
  <w:style w:type="paragraph" w:styleId="Heading2">
    <w:name w:val="heading 2"/>
    <w:basedOn w:val="Normal"/>
    <w:next w:val="Normal"/>
    <w:link w:val="Heading2Char"/>
    <w:autoRedefine/>
    <w:qFormat/>
    <w:rsid w:val="00E22346"/>
    <w:pPr>
      <w:keepNext/>
      <w:spacing w:before="240" w:after="60" w:line="240" w:lineRule="auto"/>
      <w:jc w:val="both"/>
      <w:outlineLvl w:val="1"/>
    </w:pPr>
    <w:rPr>
      <w:rFonts w:ascii="Arial" w:eastAsia="MS Gothic" w:hAnsi="Arial" w:cs="Arial"/>
      <w:bCs/>
      <w:iCs/>
      <w:sz w:val="32"/>
      <w:szCs w:val="20"/>
      <w:lang w:val="en-US"/>
    </w:rPr>
  </w:style>
  <w:style w:type="paragraph" w:styleId="Heading3">
    <w:name w:val="heading 3"/>
    <w:basedOn w:val="Normal"/>
    <w:next w:val="Normal"/>
    <w:link w:val="Heading3Char"/>
    <w:autoRedefine/>
    <w:qFormat/>
    <w:rsid w:val="004201B4"/>
    <w:pPr>
      <w:keepNext/>
      <w:spacing w:before="240" w:after="120" w:line="360" w:lineRule="auto"/>
      <w:jc w:val="both"/>
      <w:outlineLvl w:val="2"/>
    </w:pPr>
    <w:rPr>
      <w:rFonts w:ascii="Arial" w:eastAsia="MS Gothic" w:hAnsi="Arial" w:cs="Arial"/>
      <w:bCs/>
      <w:iCs/>
      <w:lang w:val="en-US"/>
    </w:rPr>
  </w:style>
  <w:style w:type="paragraph" w:styleId="Heading4">
    <w:name w:val="heading 4"/>
    <w:basedOn w:val="Normal"/>
    <w:next w:val="Normal"/>
    <w:link w:val="Heading4Char"/>
    <w:autoRedefine/>
    <w:uiPriority w:val="9"/>
    <w:qFormat/>
    <w:rsid w:val="004201B4"/>
    <w:pPr>
      <w:keepNext/>
      <w:spacing w:before="240" w:after="60" w:line="240" w:lineRule="auto"/>
      <w:ind w:left="864" w:hanging="864"/>
      <w:outlineLvl w:val="3"/>
    </w:pPr>
    <w:rPr>
      <w:rFonts w:ascii="Arial" w:eastAsia="MS Mincho" w:hAnsi="Arial" w:cs="Times New Roman"/>
      <w:bCs/>
      <w:lang w:eastAsia="ja-JP"/>
    </w:rPr>
  </w:style>
  <w:style w:type="paragraph" w:styleId="Heading5">
    <w:name w:val="heading 5"/>
    <w:basedOn w:val="Normal"/>
    <w:next w:val="Normal"/>
    <w:link w:val="Heading5Char"/>
    <w:autoRedefine/>
    <w:uiPriority w:val="9"/>
    <w:qFormat/>
    <w:rsid w:val="00B45C79"/>
    <w:pPr>
      <w:numPr>
        <w:ilvl w:val="4"/>
        <w:numId w:val="2"/>
      </w:numPr>
      <w:spacing w:before="240" w:after="60" w:line="240" w:lineRule="auto"/>
      <w:outlineLvl w:val="4"/>
    </w:pPr>
    <w:rPr>
      <w:rFonts w:ascii="Arial" w:eastAsia="MS Mincho" w:hAnsi="Arial" w:cs="Times New Roman"/>
      <w:b/>
      <w:bCs/>
      <w:iC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681"/>
    <w:rPr>
      <w:color w:val="0563C1" w:themeColor="hyperlink"/>
      <w:u w:val="single"/>
    </w:rPr>
  </w:style>
  <w:style w:type="character" w:customStyle="1" w:styleId="Heading1Char">
    <w:name w:val="Heading 1 Char"/>
    <w:basedOn w:val="DefaultParagraphFont"/>
    <w:link w:val="Heading1"/>
    <w:uiPriority w:val="9"/>
    <w:rsid w:val="00B45C79"/>
    <w:rPr>
      <w:rFonts w:ascii="Arial" w:eastAsia="MS Gothic" w:hAnsi="Arial" w:cs="Times New Roman"/>
      <w:b/>
      <w:bCs/>
      <w:kern w:val="32"/>
      <w:sz w:val="36"/>
      <w:szCs w:val="24"/>
      <w:u w:val="single"/>
      <w:lang w:eastAsia="ja-JP"/>
    </w:rPr>
  </w:style>
  <w:style w:type="character" w:customStyle="1" w:styleId="Heading2Char">
    <w:name w:val="Heading 2 Char"/>
    <w:basedOn w:val="DefaultParagraphFont"/>
    <w:link w:val="Heading2"/>
    <w:rsid w:val="00E22346"/>
    <w:rPr>
      <w:rFonts w:ascii="Arial" w:eastAsia="MS Gothic" w:hAnsi="Arial" w:cs="Arial"/>
      <w:bCs/>
      <w:iCs/>
      <w:sz w:val="32"/>
      <w:szCs w:val="20"/>
      <w:lang w:val="en-US"/>
    </w:rPr>
  </w:style>
  <w:style w:type="character" w:customStyle="1" w:styleId="Heading3Char">
    <w:name w:val="Heading 3 Char"/>
    <w:basedOn w:val="DefaultParagraphFont"/>
    <w:link w:val="Heading3"/>
    <w:rsid w:val="004201B4"/>
    <w:rPr>
      <w:rFonts w:ascii="Arial" w:eastAsia="MS Gothic" w:hAnsi="Arial" w:cs="Arial"/>
      <w:bCs/>
      <w:iCs/>
      <w:lang w:val="en-US"/>
    </w:rPr>
  </w:style>
  <w:style w:type="character" w:customStyle="1" w:styleId="Heading4Char">
    <w:name w:val="Heading 4 Char"/>
    <w:basedOn w:val="DefaultParagraphFont"/>
    <w:link w:val="Heading4"/>
    <w:uiPriority w:val="9"/>
    <w:rsid w:val="004201B4"/>
    <w:rPr>
      <w:rFonts w:ascii="Arial" w:eastAsia="MS Mincho" w:hAnsi="Arial" w:cs="Times New Roman"/>
      <w:bCs/>
      <w:lang w:eastAsia="ja-JP"/>
    </w:rPr>
  </w:style>
  <w:style w:type="character" w:customStyle="1" w:styleId="Heading5Char">
    <w:name w:val="Heading 5 Char"/>
    <w:basedOn w:val="DefaultParagraphFont"/>
    <w:link w:val="Heading5"/>
    <w:uiPriority w:val="9"/>
    <w:rsid w:val="00B45C79"/>
    <w:rPr>
      <w:rFonts w:ascii="Arial" w:eastAsia="MS Mincho" w:hAnsi="Arial" w:cs="Times New Roman"/>
      <w:b/>
      <w:bCs/>
      <w:iCs/>
      <w:szCs w:val="26"/>
      <w:lang w:eastAsia="ja-JP"/>
    </w:rPr>
  </w:style>
  <w:style w:type="numbering" w:customStyle="1" w:styleId="HeadingsKate">
    <w:name w:val="HeadingsKate"/>
    <w:rsid w:val="00B45C79"/>
    <w:pPr>
      <w:numPr>
        <w:numId w:val="1"/>
      </w:numPr>
    </w:pPr>
  </w:style>
  <w:style w:type="paragraph" w:styleId="Caption">
    <w:name w:val="caption"/>
    <w:basedOn w:val="Normal"/>
    <w:next w:val="Normal"/>
    <w:autoRedefine/>
    <w:uiPriority w:val="35"/>
    <w:unhideWhenUsed/>
    <w:qFormat/>
    <w:rsid w:val="00017067"/>
    <w:pPr>
      <w:spacing w:after="0" w:line="360" w:lineRule="auto"/>
      <w:ind w:left="142"/>
      <w:jc w:val="both"/>
    </w:pPr>
    <w:rPr>
      <w:rFonts w:ascii="Arial" w:eastAsia="MS Mincho" w:hAnsi="Arial" w:cs="Arial"/>
      <w:bCs/>
      <w:lang w:val="en-US" w:eastAsia="en-GB"/>
    </w:rPr>
  </w:style>
  <w:style w:type="table" w:styleId="LightShading">
    <w:name w:val="Light Shading"/>
    <w:basedOn w:val="TableNormal"/>
    <w:uiPriority w:val="99"/>
    <w:rsid w:val="00B45C79"/>
    <w:pPr>
      <w:spacing w:after="0" w:line="240" w:lineRule="auto"/>
    </w:pPr>
    <w:rPr>
      <w:rFonts w:ascii="Times New Roman" w:eastAsia="MS Mincho" w:hAnsi="Times New Roman" w:cs="Times New Roman"/>
      <w:color w:val="000000" w:themeColor="text1" w:themeShade="BF"/>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530EA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0EA7"/>
    <w:rPr>
      <w:rFonts w:ascii="Lucida Grande" w:hAnsi="Lucida Grande" w:cs="Lucida Grande"/>
      <w:sz w:val="18"/>
      <w:szCs w:val="18"/>
    </w:rPr>
  </w:style>
  <w:style w:type="character" w:customStyle="1" w:styleId="apple-style-span">
    <w:name w:val="apple-style-span"/>
    <w:basedOn w:val="DefaultParagraphFont"/>
    <w:rsid w:val="0018479C"/>
  </w:style>
  <w:style w:type="character" w:customStyle="1" w:styleId="highlight">
    <w:name w:val="highlight"/>
    <w:basedOn w:val="DefaultParagraphFont"/>
    <w:rsid w:val="0018479C"/>
  </w:style>
  <w:style w:type="character" w:styleId="CommentReference">
    <w:name w:val="annotation reference"/>
    <w:basedOn w:val="DefaultParagraphFont"/>
    <w:uiPriority w:val="99"/>
    <w:semiHidden/>
    <w:unhideWhenUsed/>
    <w:rsid w:val="006A6BD3"/>
    <w:rPr>
      <w:sz w:val="18"/>
      <w:szCs w:val="18"/>
    </w:rPr>
  </w:style>
  <w:style w:type="paragraph" w:styleId="CommentText">
    <w:name w:val="annotation text"/>
    <w:basedOn w:val="Normal"/>
    <w:link w:val="CommentTextChar"/>
    <w:uiPriority w:val="99"/>
    <w:semiHidden/>
    <w:unhideWhenUsed/>
    <w:rsid w:val="006A6BD3"/>
    <w:pPr>
      <w:spacing w:line="240" w:lineRule="auto"/>
    </w:pPr>
    <w:rPr>
      <w:sz w:val="24"/>
      <w:szCs w:val="24"/>
    </w:rPr>
  </w:style>
  <w:style w:type="character" w:customStyle="1" w:styleId="CommentTextChar">
    <w:name w:val="Comment Text Char"/>
    <w:basedOn w:val="DefaultParagraphFont"/>
    <w:link w:val="CommentText"/>
    <w:uiPriority w:val="99"/>
    <w:semiHidden/>
    <w:rsid w:val="006A6BD3"/>
    <w:rPr>
      <w:sz w:val="24"/>
      <w:szCs w:val="24"/>
    </w:rPr>
  </w:style>
  <w:style w:type="paragraph" w:styleId="CommentSubject">
    <w:name w:val="annotation subject"/>
    <w:basedOn w:val="CommentText"/>
    <w:next w:val="CommentText"/>
    <w:link w:val="CommentSubjectChar"/>
    <w:uiPriority w:val="99"/>
    <w:semiHidden/>
    <w:unhideWhenUsed/>
    <w:rsid w:val="006A6BD3"/>
    <w:rPr>
      <w:b/>
      <w:bCs/>
      <w:sz w:val="20"/>
      <w:szCs w:val="20"/>
    </w:rPr>
  </w:style>
  <w:style w:type="character" w:customStyle="1" w:styleId="CommentSubjectChar">
    <w:name w:val="Comment Subject Char"/>
    <w:basedOn w:val="CommentTextChar"/>
    <w:link w:val="CommentSubject"/>
    <w:uiPriority w:val="99"/>
    <w:semiHidden/>
    <w:rsid w:val="006A6BD3"/>
    <w:rPr>
      <w:b/>
      <w:bCs/>
      <w:sz w:val="20"/>
      <w:szCs w:val="20"/>
    </w:rPr>
  </w:style>
  <w:style w:type="paragraph" w:styleId="NormalWeb">
    <w:name w:val="Normal (Web)"/>
    <w:basedOn w:val="Normal"/>
    <w:uiPriority w:val="99"/>
    <w:unhideWhenUsed/>
    <w:rsid w:val="002E3BAC"/>
    <w:pPr>
      <w:spacing w:before="100" w:beforeAutospacing="1" w:after="100" w:afterAutospacing="1" w:line="240" w:lineRule="auto"/>
    </w:pPr>
    <w:rPr>
      <w:rFonts w:ascii="Times" w:hAnsi="Times" w:cs="Times New Roman"/>
      <w:sz w:val="20"/>
      <w:szCs w:val="20"/>
      <w:lang w:val="en-US"/>
    </w:rPr>
  </w:style>
  <w:style w:type="table" w:styleId="TableGrid">
    <w:name w:val="Table Grid"/>
    <w:basedOn w:val="TableNormal"/>
    <w:uiPriority w:val="39"/>
    <w:rsid w:val="0060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0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ECA"/>
  </w:style>
  <w:style w:type="paragraph" w:styleId="Footer">
    <w:name w:val="footer"/>
    <w:basedOn w:val="Normal"/>
    <w:link w:val="FooterChar"/>
    <w:uiPriority w:val="99"/>
    <w:unhideWhenUsed/>
    <w:rsid w:val="001A0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ECA"/>
  </w:style>
  <w:style w:type="paragraph" w:styleId="ListParagraph">
    <w:name w:val="List Paragraph"/>
    <w:basedOn w:val="Normal"/>
    <w:uiPriority w:val="34"/>
    <w:qFormat/>
    <w:rsid w:val="00BC20B0"/>
    <w:pPr>
      <w:spacing w:after="200" w:line="276" w:lineRule="auto"/>
      <w:ind w:left="720"/>
      <w:contextualSpacing/>
    </w:pPr>
    <w:rPr>
      <w:rFonts w:eastAsiaTheme="minorEastAsia"/>
      <w:szCs w:val="20"/>
      <w:lang w:eastAsia="zh-CN"/>
    </w:rPr>
  </w:style>
  <w:style w:type="character" w:styleId="LineNumber">
    <w:name w:val="line number"/>
    <w:basedOn w:val="DefaultParagraphFont"/>
    <w:uiPriority w:val="99"/>
    <w:semiHidden/>
    <w:unhideWhenUsed/>
    <w:rsid w:val="00450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23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Taste preference results</a:t>
            </a:r>
          </a:p>
        </c:rich>
      </c:tx>
      <c:overlay val="0"/>
      <c:spPr>
        <a:noFill/>
        <a:ln>
          <a:noFill/>
        </a:ln>
        <a:effectLst/>
      </c:spPr>
    </c:title>
    <c:autoTitleDeleted val="0"/>
    <c:plotArea>
      <c:layout/>
      <c:barChart>
        <c:barDir val="col"/>
        <c:grouping val="clustered"/>
        <c:varyColors val="0"/>
        <c:ser>
          <c:idx val="0"/>
          <c:order val="0"/>
          <c:tx>
            <c:strRef>
              <c:f>Sheet1!$I$1</c:f>
              <c:strCache>
                <c:ptCount val="1"/>
                <c:pt idx="0">
                  <c:v>CME group</c:v>
                </c:pt>
              </c:strCache>
            </c:strRef>
          </c:tx>
          <c:spPr>
            <a:solidFill>
              <a:schemeClr val="dk1">
                <a:tint val="885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Sheet1!$H$2:$H$7</c:f>
              <c:strCache>
                <c:ptCount val="6"/>
                <c:pt idx="0">
                  <c:v>sweet</c:v>
                </c:pt>
                <c:pt idx="1">
                  <c:v>sour</c:v>
                </c:pt>
                <c:pt idx="2">
                  <c:v>bitter*</c:v>
                </c:pt>
                <c:pt idx="3">
                  <c:v>umami</c:v>
                </c:pt>
                <c:pt idx="4">
                  <c:v>salty</c:v>
                </c:pt>
                <c:pt idx="5">
                  <c:v>water</c:v>
                </c:pt>
              </c:strCache>
            </c:strRef>
          </c:cat>
          <c:val>
            <c:numRef>
              <c:f>Sheet1!$I$2:$I$7</c:f>
              <c:numCache>
                <c:formatCode>General</c:formatCode>
                <c:ptCount val="6"/>
                <c:pt idx="0">
                  <c:v>4.75</c:v>
                </c:pt>
                <c:pt idx="1">
                  <c:v>4.29</c:v>
                </c:pt>
                <c:pt idx="2">
                  <c:v>5.79</c:v>
                </c:pt>
                <c:pt idx="3">
                  <c:v>3.21</c:v>
                </c:pt>
                <c:pt idx="4">
                  <c:v>4</c:v>
                </c:pt>
                <c:pt idx="5">
                  <c:v>6.17</c:v>
                </c:pt>
              </c:numCache>
            </c:numRef>
          </c:val>
        </c:ser>
        <c:ser>
          <c:idx val="1"/>
          <c:order val="1"/>
          <c:tx>
            <c:strRef>
              <c:f>Sheet1!$J$1</c:f>
              <c:strCache>
                <c:ptCount val="1"/>
                <c:pt idx="0">
                  <c:v>Control group</c:v>
                </c:pt>
              </c:strCache>
            </c:strRef>
          </c:tx>
          <c:spPr>
            <a:solidFill>
              <a:schemeClr val="dk1">
                <a:tint val="5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Sheet1!$H$2:$H$7</c:f>
              <c:strCache>
                <c:ptCount val="6"/>
                <c:pt idx="0">
                  <c:v>sweet</c:v>
                </c:pt>
                <c:pt idx="1">
                  <c:v>sour</c:v>
                </c:pt>
                <c:pt idx="2">
                  <c:v>bitter*</c:v>
                </c:pt>
                <c:pt idx="3">
                  <c:v>umami</c:v>
                </c:pt>
                <c:pt idx="4">
                  <c:v>salty</c:v>
                </c:pt>
                <c:pt idx="5">
                  <c:v>water</c:v>
                </c:pt>
              </c:strCache>
            </c:strRef>
          </c:cat>
          <c:val>
            <c:numRef>
              <c:f>Sheet1!$J$2:$J$7</c:f>
              <c:numCache>
                <c:formatCode>General</c:formatCode>
                <c:ptCount val="6"/>
                <c:pt idx="0">
                  <c:v>5.68</c:v>
                </c:pt>
                <c:pt idx="1">
                  <c:v>3.93</c:v>
                </c:pt>
                <c:pt idx="2">
                  <c:v>4.79</c:v>
                </c:pt>
                <c:pt idx="3">
                  <c:v>3.5</c:v>
                </c:pt>
                <c:pt idx="4">
                  <c:v>3.79</c:v>
                </c:pt>
                <c:pt idx="5">
                  <c:v>5.92</c:v>
                </c:pt>
              </c:numCache>
            </c:numRef>
          </c:val>
        </c:ser>
        <c:dLbls>
          <c:showLegendKey val="0"/>
          <c:showVal val="0"/>
          <c:showCatName val="0"/>
          <c:showSerName val="0"/>
          <c:showPercent val="0"/>
          <c:showBubbleSize val="0"/>
        </c:dLbls>
        <c:gapWidth val="219"/>
        <c:overlap val="-27"/>
        <c:axId val="88699648"/>
        <c:axId val="88701568"/>
      </c:barChart>
      <c:catAx>
        <c:axId val="88699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Taste category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01568"/>
        <c:crosses val="autoZero"/>
        <c:auto val="1"/>
        <c:lblAlgn val="ctr"/>
        <c:lblOffset val="100"/>
        <c:noMultiLvlLbl val="0"/>
      </c:catAx>
      <c:valAx>
        <c:axId val="88701568"/>
        <c:scaling>
          <c:orientation val="minMax"/>
          <c:max val="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Hedonic rating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6996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C27EFC-7743-AB49-A699-D87413C4D220}" type="doc">
      <dgm:prSet loTypeId="urn:microsoft.com/office/officeart/2005/8/layout/lProcess1" loCatId="" qsTypeId="urn:microsoft.com/office/officeart/2005/8/quickstyle/simple4" qsCatId="simple" csTypeId="urn:microsoft.com/office/officeart/2005/8/colors/accent1_2" csCatId="accent1" phldr="1"/>
      <dgm:spPr/>
      <dgm:t>
        <a:bodyPr/>
        <a:lstStyle/>
        <a:p>
          <a:endParaRPr lang="en-US"/>
        </a:p>
      </dgm:t>
    </dgm:pt>
    <dgm:pt modelId="{7A9911AB-4A3F-DE4C-A61A-CBF1B20216C3}">
      <dgm:prSet phldrT="[Text]" custT="1"/>
      <dgm:spPr>
        <a:xfrm>
          <a:off x="223161" y="272806"/>
          <a:ext cx="2288579" cy="423065"/>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r>
            <a:rPr lang="en-US" sz="1400" dirty="0" smtClean="0">
              <a:solidFill>
                <a:sysClr val="window" lastClr="FFFFFF"/>
              </a:solidFill>
              <a:latin typeface="Calibri"/>
              <a:ea typeface="+mn-ea"/>
              <a:cs typeface="+mn-cs"/>
            </a:rPr>
            <a:t>CME group</a:t>
          </a:r>
          <a:endParaRPr lang="en-US" sz="1400" dirty="0">
            <a:solidFill>
              <a:sysClr val="window" lastClr="FFFFFF"/>
            </a:solidFill>
            <a:latin typeface="Calibri"/>
            <a:ea typeface="+mn-ea"/>
            <a:cs typeface="+mn-cs"/>
          </a:endParaRPr>
        </a:p>
      </dgm:t>
    </dgm:pt>
    <dgm:pt modelId="{03229833-B9E3-6A43-A9F3-CD14EA93268C}" type="parTrans" cxnId="{4C39798E-88F0-534C-ADB7-592875BB3FF1}">
      <dgm:prSet/>
      <dgm:spPr/>
      <dgm:t>
        <a:bodyPr/>
        <a:lstStyle/>
        <a:p>
          <a:endParaRPr lang="en-US"/>
        </a:p>
      </dgm:t>
    </dgm:pt>
    <dgm:pt modelId="{F11B7D3A-F96E-8448-A782-9D5CE61D6624}" type="sibTrans" cxnId="{4C39798E-88F0-534C-ADB7-592875BB3FF1}">
      <dgm:prSet/>
      <dgm:spPr/>
      <dgm:t>
        <a:bodyPr/>
        <a:lstStyle/>
        <a:p>
          <a:endParaRPr lang="en-US"/>
        </a:p>
      </dgm:t>
    </dgm:pt>
    <dgm:pt modelId="{92471C5D-644B-D743-BF67-A5813E35AD7D}">
      <dgm:prSet phldrT="[Text]" custT="1"/>
      <dgm:spPr>
        <a:xfrm>
          <a:off x="0" y="1058723"/>
          <a:ext cx="2734795" cy="423065"/>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gm:spPr>
      <dgm:t>
        <a:bodyPr/>
        <a:lstStyle/>
        <a:p>
          <a:r>
            <a:rPr lang="en-US" sz="1100" dirty="0" smtClean="0">
              <a:solidFill>
                <a:sysClr val="windowText" lastClr="000000">
                  <a:hueOff val="0"/>
                  <a:satOff val="0"/>
                  <a:lumOff val="0"/>
                  <a:alphaOff val="0"/>
                </a:sysClr>
              </a:solidFill>
              <a:latin typeface="Calibri"/>
              <a:ea typeface="+mn-ea"/>
              <a:cs typeface="+mn-cs"/>
            </a:rPr>
            <a:t>Children aged between 7-13 years</a:t>
          </a:r>
          <a:endParaRPr lang="en-US" sz="1100" dirty="0">
            <a:solidFill>
              <a:sysClr val="windowText" lastClr="000000">
                <a:hueOff val="0"/>
                <a:satOff val="0"/>
                <a:lumOff val="0"/>
                <a:alphaOff val="0"/>
              </a:sysClr>
            </a:solidFill>
            <a:latin typeface="Calibri"/>
            <a:ea typeface="+mn-ea"/>
            <a:cs typeface="+mn-cs"/>
          </a:endParaRPr>
        </a:p>
      </dgm:t>
    </dgm:pt>
    <dgm:pt modelId="{B69D1D5D-A4A8-2743-8875-04CB78D0588B}" type="parTrans" cxnId="{68044218-9E06-4E41-AAB2-636D8AFC62AE}">
      <dgm:prSet/>
      <dgm:spPr>
        <a:xfrm rot="5400233">
          <a:off x="1276711" y="840279"/>
          <a:ext cx="181425" cy="74036"/>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gm:spPr>
      <dgm:t>
        <a:bodyPr/>
        <a:lstStyle/>
        <a:p>
          <a:endParaRPr lang="en-US"/>
        </a:p>
      </dgm:t>
    </dgm:pt>
    <dgm:pt modelId="{CDE61BAB-4CEC-4E49-8319-8BE4D135B662}" type="sibTrans" cxnId="{68044218-9E06-4E41-AAB2-636D8AFC62AE}">
      <dgm:prSet/>
      <dgm:spPr>
        <a:xfrm rot="5412383">
          <a:off x="1256352" y="1591542"/>
          <a:ext cx="219509" cy="74036"/>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gm:spPr>
      <dgm:t>
        <a:bodyPr/>
        <a:lstStyle/>
        <a:p>
          <a:endParaRPr lang="en-US"/>
        </a:p>
      </dgm:t>
    </dgm:pt>
    <dgm:pt modelId="{E071D397-DCFF-0144-9F81-D11768FD4A3D}">
      <dgm:prSet phldrT="[Text]" custT="1"/>
      <dgm:spPr>
        <a:xfrm>
          <a:off x="4867" y="1775332"/>
          <a:ext cx="2719378" cy="567004"/>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gm:spPr>
      <dgm:t>
        <a:bodyPr/>
        <a:lstStyle/>
        <a:p>
          <a:pPr algn="ctr"/>
          <a:r>
            <a:rPr lang="en-US" sz="1100" dirty="0" smtClean="0">
              <a:solidFill>
                <a:sysClr val="windowText" lastClr="000000">
                  <a:hueOff val="0"/>
                  <a:satOff val="0"/>
                  <a:lumOff val="0"/>
                  <a:alphaOff val="0"/>
                </a:sysClr>
              </a:solidFill>
              <a:latin typeface="Calibri"/>
              <a:ea typeface="+mn-ea"/>
              <a:cs typeface="+mn-cs"/>
            </a:rPr>
            <a:t>Consumed a CME diet for presumed CMA (either breastfed or fed with </a:t>
          </a:r>
          <a:r>
            <a:rPr lang="en-US" sz="1100" dirty="0" err="1" smtClean="0">
              <a:solidFill>
                <a:sysClr val="windowText" lastClr="000000">
                  <a:hueOff val="0"/>
                  <a:satOff val="0"/>
                  <a:lumOff val="0"/>
                  <a:alphaOff val="0"/>
                </a:sysClr>
              </a:solidFill>
              <a:latin typeface="Calibri"/>
              <a:ea typeface="+mn-ea"/>
              <a:cs typeface="+mn-cs"/>
            </a:rPr>
            <a:t>specialised</a:t>
          </a:r>
          <a:r>
            <a:rPr lang="en-US" sz="1100" dirty="0" smtClean="0">
              <a:solidFill>
                <a:sysClr val="windowText" lastClr="000000">
                  <a:hueOff val="0"/>
                  <a:satOff val="0"/>
                  <a:lumOff val="0"/>
                  <a:alphaOff val="0"/>
                </a:sysClr>
              </a:solidFill>
              <a:latin typeface="Calibri"/>
              <a:ea typeface="+mn-ea"/>
              <a:cs typeface="+mn-cs"/>
            </a:rPr>
            <a:t> infant formula) during infancy. Currently consuming an unrestricted diet.</a:t>
          </a:r>
          <a:endParaRPr lang="en-US" sz="1100" dirty="0">
            <a:solidFill>
              <a:sysClr val="windowText" lastClr="000000">
                <a:hueOff val="0"/>
                <a:satOff val="0"/>
                <a:lumOff val="0"/>
                <a:alphaOff val="0"/>
              </a:sysClr>
            </a:solidFill>
            <a:latin typeface="Calibri"/>
            <a:ea typeface="+mn-ea"/>
            <a:cs typeface="+mn-cs"/>
          </a:endParaRPr>
        </a:p>
      </dgm:t>
    </dgm:pt>
    <dgm:pt modelId="{8DB31BD1-7A4A-7748-9042-97674686F58F}" type="parTrans" cxnId="{5E5ECB5B-2962-0D46-A2A5-FCC7C9C5A0BE}">
      <dgm:prSet/>
      <dgm:spPr/>
      <dgm:t>
        <a:bodyPr/>
        <a:lstStyle/>
        <a:p>
          <a:endParaRPr lang="en-US"/>
        </a:p>
      </dgm:t>
    </dgm:pt>
    <dgm:pt modelId="{D2B96FF1-036D-3F46-98A2-D0E0BE438C63}" type="sibTrans" cxnId="{5E5ECB5B-2962-0D46-A2A5-FCC7C9C5A0BE}">
      <dgm:prSet/>
      <dgm:spPr>
        <a:xfrm rot="5541170">
          <a:off x="1232032" y="2456859"/>
          <a:ext cx="229299" cy="74036"/>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gm:spPr>
      <dgm:t>
        <a:bodyPr/>
        <a:lstStyle/>
        <a:p>
          <a:endParaRPr lang="en-US"/>
        </a:p>
      </dgm:t>
    </dgm:pt>
    <dgm:pt modelId="{A02B4CFD-36C5-0D41-9343-3971F38BABAF}">
      <dgm:prSet phldrT="[Text]" custT="1"/>
      <dgm:spPr>
        <a:xfrm>
          <a:off x="3074062" y="307811"/>
          <a:ext cx="2170781" cy="423065"/>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r>
            <a:rPr lang="en-US" sz="1400" dirty="0" smtClean="0">
              <a:solidFill>
                <a:sysClr val="window" lastClr="FFFFFF"/>
              </a:solidFill>
              <a:latin typeface="Calibri"/>
              <a:ea typeface="+mn-ea"/>
              <a:cs typeface="+mn-cs"/>
            </a:rPr>
            <a:t>Control group</a:t>
          </a:r>
          <a:endParaRPr lang="en-US" sz="1400" dirty="0">
            <a:solidFill>
              <a:sysClr val="window" lastClr="FFFFFF"/>
            </a:solidFill>
            <a:latin typeface="Calibri"/>
            <a:ea typeface="+mn-ea"/>
            <a:cs typeface="+mn-cs"/>
          </a:endParaRPr>
        </a:p>
      </dgm:t>
    </dgm:pt>
    <dgm:pt modelId="{06BFA4A0-1D55-004B-9BE1-FF8592C9F9BE}" type="parTrans" cxnId="{F6EACB4C-2F9D-D849-BC75-C03820A52AB6}">
      <dgm:prSet/>
      <dgm:spPr/>
      <dgm:t>
        <a:bodyPr/>
        <a:lstStyle/>
        <a:p>
          <a:endParaRPr lang="en-US"/>
        </a:p>
      </dgm:t>
    </dgm:pt>
    <dgm:pt modelId="{DC9BA0AF-44AA-154C-8824-744E1370FF7C}" type="sibTrans" cxnId="{F6EACB4C-2F9D-D849-BC75-C03820A52AB6}">
      <dgm:prSet/>
      <dgm:spPr/>
      <dgm:t>
        <a:bodyPr/>
        <a:lstStyle/>
        <a:p>
          <a:endParaRPr lang="en-US"/>
        </a:p>
      </dgm:t>
    </dgm:pt>
    <dgm:pt modelId="{A8BB2031-3BCC-AF4B-9364-23CA61BEBB48}">
      <dgm:prSet phldrT="[Text]" custT="1"/>
      <dgm:spPr>
        <a:xfrm>
          <a:off x="2954038" y="1775332"/>
          <a:ext cx="2418545" cy="541130"/>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gm:spPr>
      <dgm:t>
        <a:bodyPr/>
        <a:lstStyle/>
        <a:p>
          <a:pPr algn="ctr"/>
          <a:r>
            <a:rPr lang="en-US" sz="1100" dirty="0" smtClean="0">
              <a:solidFill>
                <a:sysClr val="windowText" lastClr="000000">
                  <a:hueOff val="0"/>
                  <a:satOff val="0"/>
                  <a:lumOff val="0"/>
                  <a:alphaOff val="0"/>
                </a:sysClr>
              </a:solidFill>
              <a:latin typeface="Calibri"/>
              <a:ea typeface="+mn-ea"/>
              <a:cs typeface="+mn-cs"/>
            </a:rPr>
            <a:t>Consumed an unrestricted diet during infancy (either breastfed or fed with standard formula). Currently consuming an unrestricted diet.</a:t>
          </a:r>
          <a:endParaRPr lang="en-US" sz="1100" dirty="0">
            <a:solidFill>
              <a:sysClr val="windowText" lastClr="000000">
                <a:hueOff val="0"/>
                <a:satOff val="0"/>
                <a:lumOff val="0"/>
                <a:alphaOff val="0"/>
              </a:sysClr>
            </a:solidFill>
            <a:latin typeface="Calibri"/>
            <a:ea typeface="+mn-ea"/>
            <a:cs typeface="+mn-cs"/>
          </a:endParaRPr>
        </a:p>
      </dgm:t>
    </dgm:pt>
    <dgm:pt modelId="{42E1D85D-D53D-6344-8140-884F13FEF6C3}" type="parTrans" cxnId="{E042EB20-240F-6D4C-8742-11B9272C5AF6}">
      <dgm:prSet/>
      <dgm:spPr/>
      <dgm:t>
        <a:bodyPr/>
        <a:lstStyle/>
        <a:p>
          <a:endParaRPr lang="en-US"/>
        </a:p>
      </dgm:t>
    </dgm:pt>
    <dgm:pt modelId="{6C15C6E8-7E6A-5E49-819F-9A4FC1F44115}" type="sibTrans" cxnId="{E042EB20-240F-6D4C-8742-11B9272C5AF6}">
      <dgm:prSet/>
      <dgm:spPr>
        <a:xfrm rot="5226719">
          <a:off x="4064262" y="2436905"/>
          <a:ext cx="241285" cy="74036"/>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gm:spPr>
      <dgm:t>
        <a:bodyPr/>
        <a:lstStyle/>
        <a:p>
          <a:endParaRPr lang="en-US"/>
        </a:p>
      </dgm:t>
    </dgm:pt>
    <dgm:pt modelId="{32B3F73D-26BC-AD47-BBB6-B197F115D8B0}">
      <dgm:prSet custT="1"/>
      <dgm:spPr>
        <a:xfrm>
          <a:off x="0" y="2645417"/>
          <a:ext cx="2662908" cy="438168"/>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gm:spPr>
      <dgm:t>
        <a:bodyPr/>
        <a:lstStyle/>
        <a:p>
          <a:pPr algn="ctr"/>
          <a:r>
            <a:rPr lang="en-US" sz="1100" dirty="0" smtClean="0">
              <a:solidFill>
                <a:sysClr val="windowText" lastClr="000000">
                  <a:hueOff val="0"/>
                  <a:satOff val="0"/>
                  <a:lumOff val="0"/>
                  <a:alphaOff val="0"/>
                </a:sysClr>
              </a:solidFill>
              <a:latin typeface="Calibri"/>
              <a:ea typeface="+mn-ea"/>
              <a:cs typeface="+mn-cs"/>
            </a:rPr>
            <a:t>Recruited from FAIR</a:t>
          </a:r>
          <a:r>
            <a:rPr lang="en-US" sz="1100" dirty="0" smtClean="0">
              <a:solidFill>
                <a:schemeClr val="tx1"/>
              </a:solidFill>
              <a:latin typeface="Calibri"/>
              <a:ea typeface="+mn-ea"/>
              <a:cs typeface="+mn-cs"/>
            </a:rPr>
            <a:t>* (n = 18) or PIFA**  (n = 5) birth cohort studies or retrospective NHS clinic records (n = 5)</a:t>
          </a:r>
          <a:endParaRPr lang="en-US" sz="1100" dirty="0">
            <a:solidFill>
              <a:schemeClr val="tx1"/>
            </a:solidFill>
            <a:latin typeface="Calibri"/>
            <a:ea typeface="+mn-ea"/>
            <a:cs typeface="+mn-cs"/>
          </a:endParaRPr>
        </a:p>
      </dgm:t>
    </dgm:pt>
    <dgm:pt modelId="{79B81CB9-60F8-F84B-85DA-2847C34CC4CA}" type="parTrans" cxnId="{D79101C4-7670-0247-A6E4-F5A0460B03FA}">
      <dgm:prSet/>
      <dgm:spPr/>
      <dgm:t>
        <a:bodyPr/>
        <a:lstStyle/>
        <a:p>
          <a:endParaRPr lang="en-US"/>
        </a:p>
      </dgm:t>
    </dgm:pt>
    <dgm:pt modelId="{86293AAC-891F-4C45-9105-37446766845F}" type="sibTrans" cxnId="{D79101C4-7670-0247-A6E4-F5A0460B03FA}">
      <dgm:prSet/>
      <dgm:spPr>
        <a:xfrm rot="5093512">
          <a:off x="1355619" y="3097816"/>
          <a:ext cx="0" cy="74036"/>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gm:spPr>
      <dgm:t>
        <a:bodyPr/>
        <a:lstStyle/>
        <a:p>
          <a:endParaRPr lang="en-US"/>
        </a:p>
      </dgm:t>
    </dgm:pt>
    <dgm:pt modelId="{1358D384-E9DF-FC4D-B901-85CAB915DB24}">
      <dgm:prSet custT="1"/>
      <dgm:spPr>
        <a:xfrm>
          <a:off x="2951771" y="2631384"/>
          <a:ext cx="2503497" cy="423065"/>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gm:spPr>
      <dgm:t>
        <a:bodyPr/>
        <a:lstStyle/>
        <a:p>
          <a:r>
            <a:rPr lang="en-US" sz="1100" dirty="0" smtClean="0">
              <a:solidFill>
                <a:sysClr val="windowText" lastClr="000000">
                  <a:hueOff val="0"/>
                  <a:satOff val="0"/>
                  <a:lumOff val="0"/>
                  <a:alphaOff val="0"/>
                </a:sysClr>
              </a:solidFill>
              <a:latin typeface="Calibri"/>
              <a:ea typeface="+mn-ea"/>
              <a:cs typeface="+mn-cs"/>
            </a:rPr>
            <a:t>Recruited </a:t>
          </a:r>
          <a:r>
            <a:rPr lang="en-US" sz="1100" dirty="0" smtClean="0">
              <a:solidFill>
                <a:schemeClr val="tx1"/>
              </a:solidFill>
              <a:latin typeface="Calibri"/>
              <a:ea typeface="+mn-ea"/>
              <a:cs typeface="+mn-cs"/>
            </a:rPr>
            <a:t>from the FAIR* (n = 59) or PIFA** (n = 14) birth </a:t>
          </a:r>
          <a:r>
            <a:rPr lang="en-US" sz="1100" dirty="0" smtClean="0">
              <a:solidFill>
                <a:sysClr val="windowText" lastClr="000000">
                  <a:hueOff val="0"/>
                  <a:satOff val="0"/>
                  <a:lumOff val="0"/>
                  <a:alphaOff val="0"/>
                </a:sysClr>
              </a:solidFill>
              <a:latin typeface="Calibri"/>
              <a:ea typeface="+mn-ea"/>
              <a:cs typeface="+mn-cs"/>
            </a:rPr>
            <a:t>cohort studies</a:t>
          </a:r>
          <a:endParaRPr lang="en-US" sz="1100" dirty="0">
            <a:solidFill>
              <a:sysClr val="windowText" lastClr="000000">
                <a:hueOff val="0"/>
                <a:satOff val="0"/>
                <a:lumOff val="0"/>
                <a:alphaOff val="0"/>
              </a:sysClr>
            </a:solidFill>
            <a:latin typeface="Calibri"/>
            <a:ea typeface="+mn-ea"/>
            <a:cs typeface="+mn-cs"/>
          </a:endParaRPr>
        </a:p>
      </dgm:t>
    </dgm:pt>
    <dgm:pt modelId="{C5F9C68C-BA36-6847-8E86-D671B5A1FB70}" type="parTrans" cxnId="{806553BC-060E-F74F-80BC-896AA0187C06}">
      <dgm:prSet/>
      <dgm:spPr/>
      <dgm:t>
        <a:bodyPr/>
        <a:lstStyle/>
        <a:p>
          <a:endParaRPr lang="en-US"/>
        </a:p>
      </dgm:t>
    </dgm:pt>
    <dgm:pt modelId="{CFE08229-4461-0141-9B72-83CD18EA2CA8}" type="sibTrans" cxnId="{806553BC-060E-F74F-80BC-896AA0187C06}">
      <dgm:prSet/>
      <dgm:spPr>
        <a:xfrm rot="5367122">
          <a:off x="4205786" y="3042861"/>
          <a:ext cx="0" cy="74036"/>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gm:spPr>
      <dgm:t>
        <a:bodyPr/>
        <a:lstStyle/>
        <a:p>
          <a:endParaRPr lang="en-US"/>
        </a:p>
      </dgm:t>
    </dgm:pt>
    <dgm:pt modelId="{1D0FAB74-FFC4-3A46-8866-A3A23519555E}">
      <dgm:prSet phldrT="[Text]" custT="1"/>
      <dgm:spPr>
        <a:xfrm>
          <a:off x="3030419" y="1064604"/>
          <a:ext cx="2340549" cy="423065"/>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gm:spPr>
      <dgm:t>
        <a:bodyPr/>
        <a:lstStyle/>
        <a:p>
          <a:r>
            <a:rPr lang="en-US" sz="1100" dirty="0" smtClean="0">
              <a:solidFill>
                <a:sysClr val="windowText" lastClr="000000">
                  <a:hueOff val="0"/>
                  <a:satOff val="0"/>
                  <a:lumOff val="0"/>
                  <a:alphaOff val="0"/>
                </a:sysClr>
              </a:solidFill>
              <a:latin typeface="Calibri"/>
              <a:ea typeface="+mn-ea"/>
              <a:cs typeface="+mn-cs"/>
            </a:rPr>
            <a:t>Children aged between 7-13 years </a:t>
          </a:r>
          <a:endParaRPr lang="en-US" sz="1100" dirty="0">
            <a:solidFill>
              <a:sysClr val="windowText" lastClr="000000">
                <a:hueOff val="0"/>
                <a:satOff val="0"/>
                <a:lumOff val="0"/>
                <a:alphaOff val="0"/>
              </a:sysClr>
            </a:solidFill>
            <a:latin typeface="Calibri"/>
            <a:ea typeface="+mn-ea"/>
            <a:cs typeface="+mn-cs"/>
          </a:endParaRPr>
        </a:p>
      </dgm:t>
    </dgm:pt>
    <dgm:pt modelId="{CFD9B30F-8FA9-AB42-8CB4-A26364128FDE}" type="parTrans" cxnId="{83C61142-C44B-4447-9EA2-7A8FE94167B8}">
      <dgm:prSet/>
      <dgm:spPr>
        <a:xfrm rot="5212850">
          <a:off x="4096517" y="860722"/>
          <a:ext cx="167111" cy="74036"/>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gm:spPr>
      <dgm:t>
        <a:bodyPr/>
        <a:lstStyle/>
        <a:p>
          <a:endParaRPr lang="en-US"/>
        </a:p>
      </dgm:t>
    </dgm:pt>
    <dgm:pt modelId="{9DE87FED-4B99-2C4C-B4FB-FC0D53C2884E}" type="sibTrans" cxnId="{83C61142-C44B-4447-9EA2-7A8FE94167B8}">
      <dgm:prSet/>
      <dgm:spPr>
        <a:xfrm rot="5566817">
          <a:off x="4076453" y="1594483"/>
          <a:ext cx="213965" cy="74036"/>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gm:spPr>
      <dgm:t>
        <a:bodyPr/>
        <a:lstStyle/>
        <a:p>
          <a:endParaRPr lang="en-US"/>
        </a:p>
      </dgm:t>
    </dgm:pt>
    <dgm:pt modelId="{DFB56639-4E51-FC48-B9EF-C67C6AB58A6A}">
      <dgm:prSet custT="1"/>
      <dgm:spPr>
        <a:xfrm>
          <a:off x="108730" y="3112340"/>
          <a:ext cx="2545025" cy="618284"/>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gm:spPr>
      <dgm:t>
        <a:bodyPr/>
        <a:lstStyle/>
        <a:p>
          <a:r>
            <a:rPr lang="en-US" sz="1100" dirty="0" smtClean="0">
              <a:solidFill>
                <a:sysClr val="windowText" lastClr="000000">
                  <a:hueOff val="0"/>
                  <a:satOff val="0"/>
                  <a:lumOff val="0"/>
                  <a:alphaOff val="0"/>
                </a:sysClr>
              </a:solidFill>
              <a:latin typeface="Calibri"/>
              <a:ea typeface="+mn-ea"/>
              <a:cs typeface="+mn-cs"/>
            </a:rPr>
            <a:t>Completed questionnaire, food diary, taste preference test and </a:t>
          </a:r>
          <a:r>
            <a:rPr lang="en-US" sz="1100" dirty="0" smtClean="0">
              <a:solidFill>
                <a:schemeClr val="tx1"/>
              </a:solidFill>
              <a:latin typeface="Calibri"/>
              <a:ea typeface="+mn-ea"/>
              <a:cs typeface="+mn-cs"/>
            </a:rPr>
            <a:t>had growth measurements taken (n = 28)</a:t>
          </a:r>
          <a:endParaRPr lang="en-US" sz="1100" dirty="0">
            <a:solidFill>
              <a:schemeClr val="tx1"/>
            </a:solidFill>
            <a:latin typeface="Calibri"/>
            <a:ea typeface="+mn-ea"/>
            <a:cs typeface="+mn-cs"/>
          </a:endParaRPr>
        </a:p>
      </dgm:t>
    </dgm:pt>
    <dgm:pt modelId="{26C67AB8-E96A-9E4A-9A62-FF9BF983C47A}" type="parTrans" cxnId="{C5303CEC-E065-1E49-9741-823C50714468}">
      <dgm:prSet/>
      <dgm:spPr/>
      <dgm:t>
        <a:bodyPr/>
        <a:lstStyle/>
        <a:p>
          <a:endParaRPr lang="en-US"/>
        </a:p>
      </dgm:t>
    </dgm:pt>
    <dgm:pt modelId="{FF1EB45C-9BC5-CB42-BACD-17FFB2B9303F}" type="sibTrans" cxnId="{C5303CEC-E065-1E49-9741-823C50714468}">
      <dgm:prSet/>
      <dgm:spPr/>
      <dgm:t>
        <a:bodyPr/>
        <a:lstStyle/>
        <a:p>
          <a:endParaRPr lang="en-US"/>
        </a:p>
      </dgm:t>
    </dgm:pt>
    <dgm:pt modelId="{DF3E6FE3-8860-9D42-A4AF-CE693127577F}">
      <dgm:prSet custT="1"/>
      <dgm:spPr>
        <a:xfrm>
          <a:off x="2951779" y="3105309"/>
          <a:ext cx="2514479" cy="625315"/>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gm:spPr>
      <dgm:t>
        <a:bodyPr/>
        <a:lstStyle/>
        <a:p>
          <a:r>
            <a:rPr lang="en-US" sz="1100" dirty="0" smtClean="0">
              <a:solidFill>
                <a:sysClr val="windowText" lastClr="000000">
                  <a:hueOff val="0"/>
                  <a:satOff val="0"/>
                  <a:lumOff val="0"/>
                  <a:alphaOff val="0"/>
                </a:sysClr>
              </a:solidFill>
              <a:latin typeface="Calibri"/>
              <a:ea typeface="+mn-ea"/>
              <a:cs typeface="+mn-cs"/>
            </a:rPr>
            <a:t>Completed questionnaire, food, diary, taste preference test and had growth measurements </a:t>
          </a:r>
          <a:r>
            <a:rPr lang="en-US" sz="1100" dirty="0" smtClean="0">
              <a:solidFill>
                <a:schemeClr val="tx1"/>
              </a:solidFill>
              <a:latin typeface="Calibri"/>
              <a:ea typeface="+mn-ea"/>
              <a:cs typeface="+mn-cs"/>
            </a:rPr>
            <a:t>taken (n = 73)</a:t>
          </a:r>
          <a:endParaRPr lang="en-US" sz="1100" dirty="0">
            <a:solidFill>
              <a:schemeClr val="tx1"/>
            </a:solidFill>
            <a:latin typeface="Calibri"/>
            <a:ea typeface="+mn-ea"/>
            <a:cs typeface="+mn-cs"/>
          </a:endParaRPr>
        </a:p>
      </dgm:t>
    </dgm:pt>
    <dgm:pt modelId="{32058131-612D-6142-994B-66F061868E82}" type="parTrans" cxnId="{6D63C70B-4271-494C-B21D-BC353D5A67C0}">
      <dgm:prSet/>
      <dgm:spPr/>
      <dgm:t>
        <a:bodyPr/>
        <a:lstStyle/>
        <a:p>
          <a:endParaRPr lang="en-US"/>
        </a:p>
      </dgm:t>
    </dgm:pt>
    <dgm:pt modelId="{B521C73B-1D2B-9149-B24A-5B24426FD30E}" type="sibTrans" cxnId="{6D63C70B-4271-494C-B21D-BC353D5A67C0}">
      <dgm:prSet/>
      <dgm:spPr/>
      <dgm:t>
        <a:bodyPr/>
        <a:lstStyle/>
        <a:p>
          <a:endParaRPr lang="en-US"/>
        </a:p>
      </dgm:t>
    </dgm:pt>
    <dgm:pt modelId="{4949F80C-ACA7-8743-88A5-B45A7F9F62AC}" type="pres">
      <dgm:prSet presAssocID="{9EC27EFC-7743-AB49-A699-D87413C4D220}" presName="Name0" presStyleCnt="0">
        <dgm:presLayoutVars>
          <dgm:dir/>
          <dgm:animLvl val="lvl"/>
          <dgm:resizeHandles val="exact"/>
        </dgm:presLayoutVars>
      </dgm:prSet>
      <dgm:spPr/>
      <dgm:t>
        <a:bodyPr/>
        <a:lstStyle/>
        <a:p>
          <a:endParaRPr lang="en-US"/>
        </a:p>
      </dgm:t>
    </dgm:pt>
    <dgm:pt modelId="{9E43A9E7-B257-2E41-B971-9629F0787410}" type="pres">
      <dgm:prSet presAssocID="{7A9911AB-4A3F-DE4C-A61A-CBF1B20216C3}" presName="vertFlow" presStyleCnt="0"/>
      <dgm:spPr/>
    </dgm:pt>
    <dgm:pt modelId="{6BE0F71E-0843-A140-A4C8-40AA9FB8953C}" type="pres">
      <dgm:prSet presAssocID="{7A9911AB-4A3F-DE4C-A61A-CBF1B20216C3}" presName="header" presStyleLbl="node1" presStyleIdx="0" presStyleCnt="2" custScaleX="135238" custLinFactNeighborX="-3" custLinFactNeighborY="-41578"/>
      <dgm:spPr>
        <a:prstGeom prst="roundRect">
          <a:avLst>
            <a:gd name="adj" fmla="val 10000"/>
          </a:avLst>
        </a:prstGeom>
      </dgm:spPr>
      <dgm:t>
        <a:bodyPr/>
        <a:lstStyle/>
        <a:p>
          <a:endParaRPr lang="en-US"/>
        </a:p>
      </dgm:t>
    </dgm:pt>
    <dgm:pt modelId="{E22F63DC-B09A-BC4D-A6F4-BF2239A369FE}" type="pres">
      <dgm:prSet presAssocID="{B69D1D5D-A4A8-2743-8875-04CB78D0588B}" presName="parTrans" presStyleLbl="sibTrans2D1" presStyleIdx="0" presStyleCnt="8"/>
      <dgm:spPr>
        <a:prstGeom prst="rightArrow">
          <a:avLst>
            <a:gd name="adj1" fmla="val 66700"/>
            <a:gd name="adj2" fmla="val 50000"/>
          </a:avLst>
        </a:prstGeom>
      </dgm:spPr>
      <dgm:t>
        <a:bodyPr/>
        <a:lstStyle/>
        <a:p>
          <a:endParaRPr lang="en-US"/>
        </a:p>
      </dgm:t>
    </dgm:pt>
    <dgm:pt modelId="{B868D597-5B1E-B546-9002-14469A592993}" type="pres">
      <dgm:prSet presAssocID="{92471C5D-644B-D743-BF67-A5813E35AD7D}" presName="child" presStyleLbl="alignAccFollowNode1" presStyleIdx="0" presStyleCnt="8" custScaleX="161606" custLinFactY="1215" custLinFactNeighborX="-1123" custLinFactNeighborY="100000">
        <dgm:presLayoutVars>
          <dgm:chMax val="0"/>
          <dgm:bulletEnabled val="1"/>
        </dgm:presLayoutVars>
      </dgm:prSet>
      <dgm:spPr>
        <a:prstGeom prst="roundRect">
          <a:avLst>
            <a:gd name="adj" fmla="val 10000"/>
          </a:avLst>
        </a:prstGeom>
      </dgm:spPr>
      <dgm:t>
        <a:bodyPr/>
        <a:lstStyle/>
        <a:p>
          <a:endParaRPr lang="en-US"/>
        </a:p>
      </dgm:t>
    </dgm:pt>
    <dgm:pt modelId="{A9DF1471-9013-CC4B-926E-9BDBEA615429}" type="pres">
      <dgm:prSet presAssocID="{CDE61BAB-4CEC-4E49-8319-8BE4D135B662}" presName="sibTrans" presStyleLbl="sibTrans2D1" presStyleIdx="1" presStyleCnt="8"/>
      <dgm:spPr>
        <a:prstGeom prst="rightArrow">
          <a:avLst>
            <a:gd name="adj1" fmla="val 66700"/>
            <a:gd name="adj2" fmla="val 50000"/>
          </a:avLst>
        </a:prstGeom>
      </dgm:spPr>
      <dgm:t>
        <a:bodyPr/>
        <a:lstStyle/>
        <a:p>
          <a:endParaRPr lang="en-US"/>
        </a:p>
      </dgm:t>
    </dgm:pt>
    <dgm:pt modelId="{E26823B8-BEC5-F84F-9E44-5B3828C516C2}" type="pres">
      <dgm:prSet presAssocID="{E071D397-DCFF-0144-9F81-D11768FD4A3D}" presName="child" presStyleLbl="alignAccFollowNode1" presStyleIdx="1" presStyleCnt="8" custScaleX="160695" custScaleY="134023" custLinFactY="35600" custLinFactNeighborX="-174" custLinFactNeighborY="100000">
        <dgm:presLayoutVars>
          <dgm:chMax val="0"/>
          <dgm:bulletEnabled val="1"/>
        </dgm:presLayoutVars>
      </dgm:prSet>
      <dgm:spPr>
        <a:prstGeom prst="roundRect">
          <a:avLst>
            <a:gd name="adj" fmla="val 10000"/>
          </a:avLst>
        </a:prstGeom>
      </dgm:spPr>
      <dgm:t>
        <a:bodyPr/>
        <a:lstStyle/>
        <a:p>
          <a:endParaRPr lang="en-US"/>
        </a:p>
      </dgm:t>
    </dgm:pt>
    <dgm:pt modelId="{15F6B88A-FEC6-CE40-8E90-407B553A8FE5}" type="pres">
      <dgm:prSet presAssocID="{D2B96FF1-036D-3F46-98A2-D0E0BE438C63}" presName="sibTrans" presStyleLbl="sibTrans2D1" presStyleIdx="2" presStyleCnt="8"/>
      <dgm:spPr>
        <a:prstGeom prst="rightArrow">
          <a:avLst>
            <a:gd name="adj1" fmla="val 66700"/>
            <a:gd name="adj2" fmla="val 50000"/>
          </a:avLst>
        </a:prstGeom>
      </dgm:spPr>
      <dgm:t>
        <a:bodyPr/>
        <a:lstStyle/>
        <a:p>
          <a:endParaRPr lang="en-US"/>
        </a:p>
      </dgm:t>
    </dgm:pt>
    <dgm:pt modelId="{2314C591-6330-454C-80F3-5AC6E732F032}" type="pres">
      <dgm:prSet presAssocID="{32B3F73D-26BC-AD47-BBB6-B197F115D8B0}" presName="child" presStyleLbl="alignAccFollowNode1" presStyleIdx="2" presStyleCnt="8" custScaleX="157358" custScaleY="103570" custLinFactY="72239" custLinFactNeighborX="-4424" custLinFactNeighborY="100000">
        <dgm:presLayoutVars>
          <dgm:chMax val="0"/>
          <dgm:bulletEnabled val="1"/>
        </dgm:presLayoutVars>
      </dgm:prSet>
      <dgm:spPr>
        <a:prstGeom prst="roundRect">
          <a:avLst>
            <a:gd name="adj" fmla="val 10000"/>
          </a:avLst>
        </a:prstGeom>
      </dgm:spPr>
      <dgm:t>
        <a:bodyPr/>
        <a:lstStyle/>
        <a:p>
          <a:endParaRPr lang="en-US"/>
        </a:p>
      </dgm:t>
    </dgm:pt>
    <dgm:pt modelId="{E6D6CD8E-1969-374D-A21B-EF9969CD13B8}" type="pres">
      <dgm:prSet presAssocID="{86293AAC-891F-4C45-9105-37446766845F}" presName="sibTrans" presStyleLbl="sibTrans2D1" presStyleIdx="3" presStyleCnt="8"/>
      <dgm:spPr>
        <a:prstGeom prst="rightArrow">
          <a:avLst>
            <a:gd name="adj1" fmla="val 66700"/>
            <a:gd name="adj2" fmla="val 50000"/>
          </a:avLst>
        </a:prstGeom>
      </dgm:spPr>
      <dgm:t>
        <a:bodyPr/>
        <a:lstStyle/>
        <a:p>
          <a:endParaRPr lang="en-US"/>
        </a:p>
      </dgm:t>
    </dgm:pt>
    <dgm:pt modelId="{A8C9ACE4-F797-C147-B74D-745E8DA57B79}" type="pres">
      <dgm:prSet presAssocID="{DFB56639-4E51-FC48-B9EF-C67C6AB58A6A}" presName="child" presStyleLbl="alignAccFollowNode1" presStyleIdx="3" presStyleCnt="8" custScaleX="150392" custScaleY="146144" custLinFactY="76108" custLinFactNeighborX="812" custLinFactNeighborY="100000">
        <dgm:presLayoutVars>
          <dgm:chMax val="0"/>
          <dgm:bulletEnabled val="1"/>
        </dgm:presLayoutVars>
      </dgm:prSet>
      <dgm:spPr>
        <a:prstGeom prst="roundRect">
          <a:avLst>
            <a:gd name="adj" fmla="val 10000"/>
          </a:avLst>
        </a:prstGeom>
      </dgm:spPr>
      <dgm:t>
        <a:bodyPr/>
        <a:lstStyle/>
        <a:p>
          <a:endParaRPr lang="en-US"/>
        </a:p>
      </dgm:t>
    </dgm:pt>
    <dgm:pt modelId="{3D180D2B-45F4-9648-87D6-24FAFBE27E45}" type="pres">
      <dgm:prSet presAssocID="{7A9911AB-4A3F-DE4C-A61A-CBF1B20216C3}" presName="hSp" presStyleCnt="0"/>
      <dgm:spPr/>
    </dgm:pt>
    <dgm:pt modelId="{85DC8DEE-7006-6144-BFDB-31103D2F7113}" type="pres">
      <dgm:prSet presAssocID="{A02B4CFD-36C5-0D41-9343-3971F38BABAF}" presName="vertFlow" presStyleCnt="0"/>
      <dgm:spPr/>
    </dgm:pt>
    <dgm:pt modelId="{FDAA6FFF-316B-C54E-8563-31ED2C5725D3}" type="pres">
      <dgm:prSet presAssocID="{A02B4CFD-36C5-0D41-9343-3971F38BABAF}" presName="header" presStyleLbl="node1" presStyleIdx="1" presStyleCnt="2" custScaleX="128277" custLinFactNeighborX="-4113" custLinFactNeighborY="-17938"/>
      <dgm:spPr>
        <a:prstGeom prst="roundRect">
          <a:avLst>
            <a:gd name="adj" fmla="val 10000"/>
          </a:avLst>
        </a:prstGeom>
      </dgm:spPr>
      <dgm:t>
        <a:bodyPr/>
        <a:lstStyle/>
        <a:p>
          <a:endParaRPr lang="en-US"/>
        </a:p>
      </dgm:t>
    </dgm:pt>
    <dgm:pt modelId="{84BEF5A1-61DF-E246-836D-493B624D5D9F}" type="pres">
      <dgm:prSet presAssocID="{CFD9B30F-8FA9-AB42-8CB4-A26364128FDE}" presName="parTrans" presStyleLbl="sibTrans2D1" presStyleIdx="4" presStyleCnt="8"/>
      <dgm:spPr>
        <a:prstGeom prst="rightArrow">
          <a:avLst>
            <a:gd name="adj1" fmla="val 66700"/>
            <a:gd name="adj2" fmla="val 50000"/>
          </a:avLst>
        </a:prstGeom>
      </dgm:spPr>
      <dgm:t>
        <a:bodyPr/>
        <a:lstStyle/>
        <a:p>
          <a:endParaRPr lang="en-US"/>
        </a:p>
      </dgm:t>
    </dgm:pt>
    <dgm:pt modelId="{F2B285E8-163B-E649-AA84-889F5E233980}" type="pres">
      <dgm:prSet presAssocID="{1D0FAB74-FFC4-3A46-8866-A3A23519555E}" presName="child" presStyleLbl="alignAccFollowNode1" presStyleIdx="4" presStyleCnt="8" custScaleX="138309" custLinFactY="2605" custLinFactNeighborX="-1676" custLinFactNeighborY="100000">
        <dgm:presLayoutVars>
          <dgm:chMax val="0"/>
          <dgm:bulletEnabled val="1"/>
        </dgm:presLayoutVars>
      </dgm:prSet>
      <dgm:spPr>
        <a:prstGeom prst="roundRect">
          <a:avLst>
            <a:gd name="adj" fmla="val 10000"/>
          </a:avLst>
        </a:prstGeom>
      </dgm:spPr>
      <dgm:t>
        <a:bodyPr/>
        <a:lstStyle/>
        <a:p>
          <a:endParaRPr lang="en-US"/>
        </a:p>
      </dgm:t>
    </dgm:pt>
    <dgm:pt modelId="{C38165F6-1136-2645-86C2-1AFF98718F4A}" type="pres">
      <dgm:prSet presAssocID="{9DE87FED-4B99-2C4C-B4FB-FC0D53C2884E}" presName="sibTrans" presStyleLbl="sibTrans2D1" presStyleIdx="5" presStyleCnt="8"/>
      <dgm:spPr>
        <a:prstGeom prst="rightArrow">
          <a:avLst>
            <a:gd name="adj1" fmla="val 66700"/>
            <a:gd name="adj2" fmla="val 50000"/>
          </a:avLst>
        </a:prstGeom>
      </dgm:spPr>
      <dgm:t>
        <a:bodyPr/>
        <a:lstStyle/>
        <a:p>
          <a:endParaRPr lang="en-US"/>
        </a:p>
      </dgm:t>
    </dgm:pt>
    <dgm:pt modelId="{8C1289A2-00CA-3C4E-9BAF-17A294E0F6FD}" type="pres">
      <dgm:prSet presAssocID="{A8BB2031-3BCC-AF4B-9364-23CA61BEBB48}" presName="child" presStyleLbl="alignAccFollowNode1" presStyleIdx="5" presStyleCnt="8" custScaleX="142918" custScaleY="127907" custLinFactY="35600" custLinFactNeighborX="-3885" custLinFactNeighborY="100000">
        <dgm:presLayoutVars>
          <dgm:chMax val="0"/>
          <dgm:bulletEnabled val="1"/>
        </dgm:presLayoutVars>
      </dgm:prSet>
      <dgm:spPr>
        <a:prstGeom prst="roundRect">
          <a:avLst>
            <a:gd name="adj" fmla="val 10000"/>
          </a:avLst>
        </a:prstGeom>
      </dgm:spPr>
      <dgm:t>
        <a:bodyPr/>
        <a:lstStyle/>
        <a:p>
          <a:endParaRPr lang="en-US"/>
        </a:p>
      </dgm:t>
    </dgm:pt>
    <dgm:pt modelId="{714EFDF8-8F37-3B4C-BA51-43335F4395FA}" type="pres">
      <dgm:prSet presAssocID="{6C15C6E8-7E6A-5E49-819F-9A4FC1F44115}" presName="sibTrans" presStyleLbl="sibTrans2D1" presStyleIdx="6" presStyleCnt="8"/>
      <dgm:spPr>
        <a:prstGeom prst="rightArrow">
          <a:avLst>
            <a:gd name="adj1" fmla="val 66700"/>
            <a:gd name="adj2" fmla="val 50000"/>
          </a:avLst>
        </a:prstGeom>
      </dgm:spPr>
      <dgm:t>
        <a:bodyPr/>
        <a:lstStyle/>
        <a:p>
          <a:endParaRPr lang="en-US"/>
        </a:p>
      </dgm:t>
    </dgm:pt>
    <dgm:pt modelId="{1D2A6A3E-C1EA-4041-A61F-D07C84E5AA0C}" type="pres">
      <dgm:prSet presAssocID="{1358D384-E9DF-FC4D-B901-85CAB915DB24}" presName="child" presStyleLbl="alignAccFollowNode1" presStyleIdx="6" presStyleCnt="8" custScaleX="147938" custLinFactY="75038" custLinFactNeighborX="-1509" custLinFactNeighborY="100000">
        <dgm:presLayoutVars>
          <dgm:chMax val="0"/>
          <dgm:bulletEnabled val="1"/>
        </dgm:presLayoutVars>
      </dgm:prSet>
      <dgm:spPr>
        <a:prstGeom prst="roundRect">
          <a:avLst>
            <a:gd name="adj" fmla="val 10000"/>
          </a:avLst>
        </a:prstGeom>
      </dgm:spPr>
      <dgm:t>
        <a:bodyPr/>
        <a:lstStyle/>
        <a:p>
          <a:endParaRPr lang="en-US"/>
        </a:p>
      </dgm:t>
    </dgm:pt>
    <dgm:pt modelId="{1502E888-8E90-3242-83E0-5B24F423C38C}" type="pres">
      <dgm:prSet presAssocID="{CFE08229-4461-0141-9B72-83CD18EA2CA8}" presName="sibTrans" presStyleLbl="sibTrans2D1" presStyleIdx="7" presStyleCnt="8"/>
      <dgm:spPr>
        <a:prstGeom prst="rightArrow">
          <a:avLst>
            <a:gd name="adj1" fmla="val 66700"/>
            <a:gd name="adj2" fmla="val 50000"/>
          </a:avLst>
        </a:prstGeom>
      </dgm:spPr>
      <dgm:t>
        <a:bodyPr/>
        <a:lstStyle/>
        <a:p>
          <a:endParaRPr lang="en-US"/>
        </a:p>
      </dgm:t>
    </dgm:pt>
    <dgm:pt modelId="{DCE1BF40-24EC-6C41-91CE-8B8D29F2F028}" type="pres">
      <dgm:prSet presAssocID="{DF3E6FE3-8860-9D42-A4AF-CE693127577F}" presName="child" presStyleLbl="alignAccFollowNode1" presStyleIdx="7" presStyleCnt="8" custScaleX="148587" custScaleY="147806" custLinFactY="84570" custLinFactNeighborX="-1184" custLinFactNeighborY="100000">
        <dgm:presLayoutVars>
          <dgm:chMax val="0"/>
          <dgm:bulletEnabled val="1"/>
        </dgm:presLayoutVars>
      </dgm:prSet>
      <dgm:spPr>
        <a:prstGeom prst="roundRect">
          <a:avLst>
            <a:gd name="adj" fmla="val 10000"/>
          </a:avLst>
        </a:prstGeom>
      </dgm:spPr>
      <dgm:t>
        <a:bodyPr/>
        <a:lstStyle/>
        <a:p>
          <a:endParaRPr lang="en-US"/>
        </a:p>
      </dgm:t>
    </dgm:pt>
  </dgm:ptLst>
  <dgm:cxnLst>
    <dgm:cxn modelId="{2CA7F7AE-1BFB-4408-9594-CCAFDBD84844}" type="presOf" srcId="{DFB56639-4E51-FC48-B9EF-C67C6AB58A6A}" destId="{A8C9ACE4-F797-C147-B74D-745E8DA57B79}" srcOrd="0" destOrd="0" presId="urn:microsoft.com/office/officeart/2005/8/layout/lProcess1"/>
    <dgm:cxn modelId="{9D3C68A4-1CA3-45BF-976F-016E4A24E3F1}" type="presOf" srcId="{A02B4CFD-36C5-0D41-9343-3971F38BABAF}" destId="{FDAA6FFF-316B-C54E-8563-31ED2C5725D3}" srcOrd="0" destOrd="0" presId="urn:microsoft.com/office/officeart/2005/8/layout/lProcess1"/>
    <dgm:cxn modelId="{D79101C4-7670-0247-A6E4-F5A0460B03FA}" srcId="{7A9911AB-4A3F-DE4C-A61A-CBF1B20216C3}" destId="{32B3F73D-26BC-AD47-BBB6-B197F115D8B0}" srcOrd="2" destOrd="0" parTransId="{79B81CB9-60F8-F84B-85DA-2847C34CC4CA}" sibTransId="{86293AAC-891F-4C45-9105-37446766845F}"/>
    <dgm:cxn modelId="{26C252A7-C589-457B-A039-52114D254F39}" type="presOf" srcId="{CDE61BAB-4CEC-4E49-8319-8BE4D135B662}" destId="{A9DF1471-9013-CC4B-926E-9BDBEA615429}" srcOrd="0" destOrd="0" presId="urn:microsoft.com/office/officeart/2005/8/layout/lProcess1"/>
    <dgm:cxn modelId="{8AC9AE31-E8AE-40C2-A86A-88A3F13215FD}" type="presOf" srcId="{CFE08229-4461-0141-9B72-83CD18EA2CA8}" destId="{1502E888-8E90-3242-83E0-5B24F423C38C}" srcOrd="0" destOrd="0" presId="urn:microsoft.com/office/officeart/2005/8/layout/lProcess1"/>
    <dgm:cxn modelId="{AC41D591-9AA4-4611-8769-43F001C752CD}" type="presOf" srcId="{92471C5D-644B-D743-BF67-A5813E35AD7D}" destId="{B868D597-5B1E-B546-9002-14469A592993}" srcOrd="0" destOrd="0" presId="urn:microsoft.com/office/officeart/2005/8/layout/lProcess1"/>
    <dgm:cxn modelId="{BD260985-E0C7-49A3-98F9-AD2823B1BF3C}" type="presOf" srcId="{86293AAC-891F-4C45-9105-37446766845F}" destId="{E6D6CD8E-1969-374D-A21B-EF9969CD13B8}" srcOrd="0" destOrd="0" presId="urn:microsoft.com/office/officeart/2005/8/layout/lProcess1"/>
    <dgm:cxn modelId="{293736C7-3294-424C-A094-CE5D9CF55895}" type="presOf" srcId="{9DE87FED-4B99-2C4C-B4FB-FC0D53C2884E}" destId="{C38165F6-1136-2645-86C2-1AFF98718F4A}" srcOrd="0" destOrd="0" presId="urn:microsoft.com/office/officeart/2005/8/layout/lProcess1"/>
    <dgm:cxn modelId="{168DF505-772F-4CB0-BDBD-D0416879F5D7}" type="presOf" srcId="{7A9911AB-4A3F-DE4C-A61A-CBF1B20216C3}" destId="{6BE0F71E-0843-A140-A4C8-40AA9FB8953C}" srcOrd="0" destOrd="0" presId="urn:microsoft.com/office/officeart/2005/8/layout/lProcess1"/>
    <dgm:cxn modelId="{68044218-9E06-4E41-AAB2-636D8AFC62AE}" srcId="{7A9911AB-4A3F-DE4C-A61A-CBF1B20216C3}" destId="{92471C5D-644B-D743-BF67-A5813E35AD7D}" srcOrd="0" destOrd="0" parTransId="{B69D1D5D-A4A8-2743-8875-04CB78D0588B}" sibTransId="{CDE61BAB-4CEC-4E49-8319-8BE4D135B662}"/>
    <dgm:cxn modelId="{D5866DCA-8C4B-433B-AAB2-00FFE899C135}" type="presOf" srcId="{B69D1D5D-A4A8-2743-8875-04CB78D0588B}" destId="{E22F63DC-B09A-BC4D-A6F4-BF2239A369FE}" srcOrd="0" destOrd="0" presId="urn:microsoft.com/office/officeart/2005/8/layout/lProcess1"/>
    <dgm:cxn modelId="{E042EB20-240F-6D4C-8742-11B9272C5AF6}" srcId="{A02B4CFD-36C5-0D41-9343-3971F38BABAF}" destId="{A8BB2031-3BCC-AF4B-9364-23CA61BEBB48}" srcOrd="1" destOrd="0" parTransId="{42E1D85D-D53D-6344-8140-884F13FEF6C3}" sibTransId="{6C15C6E8-7E6A-5E49-819F-9A4FC1F44115}"/>
    <dgm:cxn modelId="{23271457-C94E-4D7F-A40C-B074D890A4B7}" type="presOf" srcId="{E071D397-DCFF-0144-9F81-D11768FD4A3D}" destId="{E26823B8-BEC5-F84F-9E44-5B3828C516C2}" srcOrd="0" destOrd="0" presId="urn:microsoft.com/office/officeart/2005/8/layout/lProcess1"/>
    <dgm:cxn modelId="{021D4F85-58E7-433D-9D95-E97AB39295A8}" type="presOf" srcId="{A8BB2031-3BCC-AF4B-9364-23CA61BEBB48}" destId="{8C1289A2-00CA-3C4E-9BAF-17A294E0F6FD}" srcOrd="0" destOrd="0" presId="urn:microsoft.com/office/officeart/2005/8/layout/lProcess1"/>
    <dgm:cxn modelId="{83C61142-C44B-4447-9EA2-7A8FE94167B8}" srcId="{A02B4CFD-36C5-0D41-9343-3971F38BABAF}" destId="{1D0FAB74-FFC4-3A46-8866-A3A23519555E}" srcOrd="0" destOrd="0" parTransId="{CFD9B30F-8FA9-AB42-8CB4-A26364128FDE}" sibTransId="{9DE87FED-4B99-2C4C-B4FB-FC0D53C2884E}"/>
    <dgm:cxn modelId="{C5303CEC-E065-1E49-9741-823C50714468}" srcId="{7A9911AB-4A3F-DE4C-A61A-CBF1B20216C3}" destId="{DFB56639-4E51-FC48-B9EF-C67C6AB58A6A}" srcOrd="3" destOrd="0" parTransId="{26C67AB8-E96A-9E4A-9A62-FF9BF983C47A}" sibTransId="{FF1EB45C-9BC5-CB42-BACD-17FFB2B9303F}"/>
    <dgm:cxn modelId="{BEA89FD8-AAF1-4E15-8DA6-8140AED99395}" type="presOf" srcId="{32B3F73D-26BC-AD47-BBB6-B197F115D8B0}" destId="{2314C591-6330-454C-80F3-5AC6E732F032}" srcOrd="0" destOrd="0" presId="urn:microsoft.com/office/officeart/2005/8/layout/lProcess1"/>
    <dgm:cxn modelId="{0CCA631C-A018-4019-9C8B-155507886AF0}" type="presOf" srcId="{DF3E6FE3-8860-9D42-A4AF-CE693127577F}" destId="{DCE1BF40-24EC-6C41-91CE-8B8D29F2F028}" srcOrd="0" destOrd="0" presId="urn:microsoft.com/office/officeart/2005/8/layout/lProcess1"/>
    <dgm:cxn modelId="{806553BC-060E-F74F-80BC-896AA0187C06}" srcId="{A02B4CFD-36C5-0D41-9343-3971F38BABAF}" destId="{1358D384-E9DF-FC4D-B901-85CAB915DB24}" srcOrd="2" destOrd="0" parTransId="{C5F9C68C-BA36-6847-8E86-D671B5A1FB70}" sibTransId="{CFE08229-4461-0141-9B72-83CD18EA2CA8}"/>
    <dgm:cxn modelId="{4C39798E-88F0-534C-ADB7-592875BB3FF1}" srcId="{9EC27EFC-7743-AB49-A699-D87413C4D220}" destId="{7A9911AB-4A3F-DE4C-A61A-CBF1B20216C3}" srcOrd="0" destOrd="0" parTransId="{03229833-B9E3-6A43-A9F3-CD14EA93268C}" sibTransId="{F11B7D3A-F96E-8448-A782-9D5CE61D6624}"/>
    <dgm:cxn modelId="{534291A8-0C3F-4F3F-AEEC-E42B5514ED16}" type="presOf" srcId="{D2B96FF1-036D-3F46-98A2-D0E0BE438C63}" destId="{15F6B88A-FEC6-CE40-8E90-407B553A8FE5}" srcOrd="0" destOrd="0" presId="urn:microsoft.com/office/officeart/2005/8/layout/lProcess1"/>
    <dgm:cxn modelId="{E06D4FA8-C100-4D1A-8FF2-7B89D79B970E}" type="presOf" srcId="{9EC27EFC-7743-AB49-A699-D87413C4D220}" destId="{4949F80C-ACA7-8743-88A5-B45A7F9F62AC}" srcOrd="0" destOrd="0" presId="urn:microsoft.com/office/officeart/2005/8/layout/lProcess1"/>
    <dgm:cxn modelId="{98F6DCD7-591F-478A-8B94-60A2B540C71B}" type="presOf" srcId="{CFD9B30F-8FA9-AB42-8CB4-A26364128FDE}" destId="{84BEF5A1-61DF-E246-836D-493B624D5D9F}" srcOrd="0" destOrd="0" presId="urn:microsoft.com/office/officeart/2005/8/layout/lProcess1"/>
    <dgm:cxn modelId="{50A3BDDF-6EA4-4B42-8554-6CA430C8EA6A}" type="presOf" srcId="{1358D384-E9DF-FC4D-B901-85CAB915DB24}" destId="{1D2A6A3E-C1EA-4041-A61F-D07C84E5AA0C}" srcOrd="0" destOrd="0" presId="urn:microsoft.com/office/officeart/2005/8/layout/lProcess1"/>
    <dgm:cxn modelId="{F6EACB4C-2F9D-D849-BC75-C03820A52AB6}" srcId="{9EC27EFC-7743-AB49-A699-D87413C4D220}" destId="{A02B4CFD-36C5-0D41-9343-3971F38BABAF}" srcOrd="1" destOrd="0" parTransId="{06BFA4A0-1D55-004B-9BE1-FF8592C9F9BE}" sibTransId="{DC9BA0AF-44AA-154C-8824-744E1370FF7C}"/>
    <dgm:cxn modelId="{21CC51A0-7979-495C-81C8-DF9B914873D1}" type="presOf" srcId="{1D0FAB74-FFC4-3A46-8866-A3A23519555E}" destId="{F2B285E8-163B-E649-AA84-889F5E233980}" srcOrd="0" destOrd="0" presId="urn:microsoft.com/office/officeart/2005/8/layout/lProcess1"/>
    <dgm:cxn modelId="{C3A76637-0427-46A7-A477-8E2D0E7F2D5A}" type="presOf" srcId="{6C15C6E8-7E6A-5E49-819F-9A4FC1F44115}" destId="{714EFDF8-8F37-3B4C-BA51-43335F4395FA}" srcOrd="0" destOrd="0" presId="urn:microsoft.com/office/officeart/2005/8/layout/lProcess1"/>
    <dgm:cxn modelId="{6D63C70B-4271-494C-B21D-BC353D5A67C0}" srcId="{A02B4CFD-36C5-0D41-9343-3971F38BABAF}" destId="{DF3E6FE3-8860-9D42-A4AF-CE693127577F}" srcOrd="3" destOrd="0" parTransId="{32058131-612D-6142-994B-66F061868E82}" sibTransId="{B521C73B-1D2B-9149-B24A-5B24426FD30E}"/>
    <dgm:cxn modelId="{5E5ECB5B-2962-0D46-A2A5-FCC7C9C5A0BE}" srcId="{7A9911AB-4A3F-DE4C-A61A-CBF1B20216C3}" destId="{E071D397-DCFF-0144-9F81-D11768FD4A3D}" srcOrd="1" destOrd="0" parTransId="{8DB31BD1-7A4A-7748-9042-97674686F58F}" sibTransId="{D2B96FF1-036D-3F46-98A2-D0E0BE438C63}"/>
    <dgm:cxn modelId="{DFDB6843-AE01-4FDF-AAAF-E0AE28CAFAC2}" type="presParOf" srcId="{4949F80C-ACA7-8743-88A5-B45A7F9F62AC}" destId="{9E43A9E7-B257-2E41-B971-9629F0787410}" srcOrd="0" destOrd="0" presId="urn:microsoft.com/office/officeart/2005/8/layout/lProcess1"/>
    <dgm:cxn modelId="{690DD060-8C65-4AFA-91B3-7C4081DE1EA7}" type="presParOf" srcId="{9E43A9E7-B257-2E41-B971-9629F0787410}" destId="{6BE0F71E-0843-A140-A4C8-40AA9FB8953C}" srcOrd="0" destOrd="0" presId="urn:microsoft.com/office/officeart/2005/8/layout/lProcess1"/>
    <dgm:cxn modelId="{CE6213B5-0FDC-4BA6-8C75-9E4C8A364C9E}" type="presParOf" srcId="{9E43A9E7-B257-2E41-B971-9629F0787410}" destId="{E22F63DC-B09A-BC4D-A6F4-BF2239A369FE}" srcOrd="1" destOrd="0" presId="urn:microsoft.com/office/officeart/2005/8/layout/lProcess1"/>
    <dgm:cxn modelId="{BEDC0F4E-FF99-462D-84E3-025D215A8D82}" type="presParOf" srcId="{9E43A9E7-B257-2E41-B971-9629F0787410}" destId="{B868D597-5B1E-B546-9002-14469A592993}" srcOrd="2" destOrd="0" presId="urn:microsoft.com/office/officeart/2005/8/layout/lProcess1"/>
    <dgm:cxn modelId="{C5C796EB-9528-4276-B57C-210785F0A6F4}" type="presParOf" srcId="{9E43A9E7-B257-2E41-B971-9629F0787410}" destId="{A9DF1471-9013-CC4B-926E-9BDBEA615429}" srcOrd="3" destOrd="0" presId="urn:microsoft.com/office/officeart/2005/8/layout/lProcess1"/>
    <dgm:cxn modelId="{A4F37E52-866A-47B2-90FB-1997EAD6849B}" type="presParOf" srcId="{9E43A9E7-B257-2E41-B971-9629F0787410}" destId="{E26823B8-BEC5-F84F-9E44-5B3828C516C2}" srcOrd="4" destOrd="0" presId="urn:microsoft.com/office/officeart/2005/8/layout/lProcess1"/>
    <dgm:cxn modelId="{B4EC09D6-8C6C-4293-8425-7AD99F49B881}" type="presParOf" srcId="{9E43A9E7-B257-2E41-B971-9629F0787410}" destId="{15F6B88A-FEC6-CE40-8E90-407B553A8FE5}" srcOrd="5" destOrd="0" presId="urn:microsoft.com/office/officeart/2005/8/layout/lProcess1"/>
    <dgm:cxn modelId="{7CD1C69B-D484-4EC9-B9FB-410C43C821A0}" type="presParOf" srcId="{9E43A9E7-B257-2E41-B971-9629F0787410}" destId="{2314C591-6330-454C-80F3-5AC6E732F032}" srcOrd="6" destOrd="0" presId="urn:microsoft.com/office/officeart/2005/8/layout/lProcess1"/>
    <dgm:cxn modelId="{43ECDC8F-787D-43F3-98BE-EAA675B98E1E}" type="presParOf" srcId="{9E43A9E7-B257-2E41-B971-9629F0787410}" destId="{E6D6CD8E-1969-374D-A21B-EF9969CD13B8}" srcOrd="7" destOrd="0" presId="urn:microsoft.com/office/officeart/2005/8/layout/lProcess1"/>
    <dgm:cxn modelId="{B819BAFF-DA34-496D-924A-C31C9E1C6540}" type="presParOf" srcId="{9E43A9E7-B257-2E41-B971-9629F0787410}" destId="{A8C9ACE4-F797-C147-B74D-745E8DA57B79}" srcOrd="8" destOrd="0" presId="urn:microsoft.com/office/officeart/2005/8/layout/lProcess1"/>
    <dgm:cxn modelId="{1C72CBD1-6674-4B04-BAF5-18BC93087C9D}" type="presParOf" srcId="{4949F80C-ACA7-8743-88A5-B45A7F9F62AC}" destId="{3D180D2B-45F4-9648-87D6-24FAFBE27E45}" srcOrd="1" destOrd="0" presId="urn:microsoft.com/office/officeart/2005/8/layout/lProcess1"/>
    <dgm:cxn modelId="{5DBCD8B0-CA2A-48E2-A765-ACC66147ACA1}" type="presParOf" srcId="{4949F80C-ACA7-8743-88A5-B45A7F9F62AC}" destId="{85DC8DEE-7006-6144-BFDB-31103D2F7113}" srcOrd="2" destOrd="0" presId="urn:microsoft.com/office/officeart/2005/8/layout/lProcess1"/>
    <dgm:cxn modelId="{AA54B142-3D4C-4117-94EC-B01DBD53A44C}" type="presParOf" srcId="{85DC8DEE-7006-6144-BFDB-31103D2F7113}" destId="{FDAA6FFF-316B-C54E-8563-31ED2C5725D3}" srcOrd="0" destOrd="0" presId="urn:microsoft.com/office/officeart/2005/8/layout/lProcess1"/>
    <dgm:cxn modelId="{E65B2A54-B318-45ED-B7FD-0299C0C62BA0}" type="presParOf" srcId="{85DC8DEE-7006-6144-BFDB-31103D2F7113}" destId="{84BEF5A1-61DF-E246-836D-493B624D5D9F}" srcOrd="1" destOrd="0" presId="urn:microsoft.com/office/officeart/2005/8/layout/lProcess1"/>
    <dgm:cxn modelId="{CD7D0B66-D13A-49A3-88F6-3B6DDF3FC990}" type="presParOf" srcId="{85DC8DEE-7006-6144-BFDB-31103D2F7113}" destId="{F2B285E8-163B-E649-AA84-889F5E233980}" srcOrd="2" destOrd="0" presId="urn:microsoft.com/office/officeart/2005/8/layout/lProcess1"/>
    <dgm:cxn modelId="{4CE687BA-E5F1-41CD-9F2E-D15AA70F5601}" type="presParOf" srcId="{85DC8DEE-7006-6144-BFDB-31103D2F7113}" destId="{C38165F6-1136-2645-86C2-1AFF98718F4A}" srcOrd="3" destOrd="0" presId="urn:microsoft.com/office/officeart/2005/8/layout/lProcess1"/>
    <dgm:cxn modelId="{4C3A35B6-C330-4923-B188-B0B7FFFEC03A}" type="presParOf" srcId="{85DC8DEE-7006-6144-BFDB-31103D2F7113}" destId="{8C1289A2-00CA-3C4E-9BAF-17A294E0F6FD}" srcOrd="4" destOrd="0" presId="urn:microsoft.com/office/officeart/2005/8/layout/lProcess1"/>
    <dgm:cxn modelId="{D5238BB1-EAF3-47E7-8DC2-A439521833E5}" type="presParOf" srcId="{85DC8DEE-7006-6144-BFDB-31103D2F7113}" destId="{714EFDF8-8F37-3B4C-BA51-43335F4395FA}" srcOrd="5" destOrd="0" presId="urn:microsoft.com/office/officeart/2005/8/layout/lProcess1"/>
    <dgm:cxn modelId="{027D49C8-6780-4773-997A-F65A2CB4FF1D}" type="presParOf" srcId="{85DC8DEE-7006-6144-BFDB-31103D2F7113}" destId="{1D2A6A3E-C1EA-4041-A61F-D07C84E5AA0C}" srcOrd="6" destOrd="0" presId="urn:microsoft.com/office/officeart/2005/8/layout/lProcess1"/>
    <dgm:cxn modelId="{A30B7F73-B0BA-4CF8-90FD-6674A0FCE51D}" type="presParOf" srcId="{85DC8DEE-7006-6144-BFDB-31103D2F7113}" destId="{1502E888-8E90-3242-83E0-5B24F423C38C}" srcOrd="7" destOrd="0" presId="urn:microsoft.com/office/officeart/2005/8/layout/lProcess1"/>
    <dgm:cxn modelId="{036F3BB6-A34A-4004-B793-7FDE21C862D1}" type="presParOf" srcId="{85DC8DEE-7006-6144-BFDB-31103D2F7113}" destId="{DCE1BF40-24EC-6C41-91CE-8B8D29F2F028}" srcOrd="8" destOrd="0" presId="urn:microsoft.com/office/officeart/2005/8/layout/l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E0F71E-0843-A140-A4C8-40AA9FB8953C}">
      <dsp:nvSpPr>
        <dsp:cNvPr id="0" name=""/>
        <dsp:cNvSpPr/>
      </dsp:nvSpPr>
      <dsp:spPr>
        <a:xfrm>
          <a:off x="223161" y="272806"/>
          <a:ext cx="2288579" cy="423065"/>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dirty="0" smtClean="0">
              <a:solidFill>
                <a:sysClr val="window" lastClr="FFFFFF"/>
              </a:solidFill>
              <a:latin typeface="Calibri"/>
              <a:ea typeface="+mn-ea"/>
              <a:cs typeface="+mn-cs"/>
            </a:rPr>
            <a:t>CME group</a:t>
          </a:r>
          <a:endParaRPr lang="en-US" sz="1400" kern="1200" dirty="0">
            <a:solidFill>
              <a:sysClr val="window" lastClr="FFFFFF"/>
            </a:solidFill>
            <a:latin typeface="Calibri"/>
            <a:ea typeface="+mn-ea"/>
            <a:cs typeface="+mn-cs"/>
          </a:endParaRPr>
        </a:p>
      </dsp:txBody>
      <dsp:txXfrm>
        <a:off x="235552" y="285197"/>
        <a:ext cx="2263797" cy="398283"/>
      </dsp:txXfrm>
    </dsp:sp>
    <dsp:sp modelId="{E22F63DC-B09A-BC4D-A6F4-BF2239A369FE}">
      <dsp:nvSpPr>
        <dsp:cNvPr id="0" name=""/>
        <dsp:cNvSpPr/>
      </dsp:nvSpPr>
      <dsp:spPr>
        <a:xfrm rot="5400233">
          <a:off x="1276711" y="840279"/>
          <a:ext cx="181425" cy="74036"/>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868D597-5B1E-B546-9002-14469A592993}">
      <dsp:nvSpPr>
        <dsp:cNvPr id="0" name=""/>
        <dsp:cNvSpPr/>
      </dsp:nvSpPr>
      <dsp:spPr>
        <a:xfrm>
          <a:off x="0" y="1058723"/>
          <a:ext cx="2734795" cy="423065"/>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Text" lastClr="000000">
                  <a:hueOff val="0"/>
                  <a:satOff val="0"/>
                  <a:lumOff val="0"/>
                  <a:alphaOff val="0"/>
                </a:sysClr>
              </a:solidFill>
              <a:latin typeface="Calibri"/>
              <a:ea typeface="+mn-ea"/>
              <a:cs typeface="+mn-cs"/>
            </a:rPr>
            <a:t>Children aged between 7-13 years</a:t>
          </a:r>
          <a:endParaRPr lang="en-US" sz="1100" kern="1200" dirty="0">
            <a:solidFill>
              <a:sysClr val="windowText" lastClr="000000">
                <a:hueOff val="0"/>
                <a:satOff val="0"/>
                <a:lumOff val="0"/>
                <a:alphaOff val="0"/>
              </a:sysClr>
            </a:solidFill>
            <a:latin typeface="Calibri"/>
            <a:ea typeface="+mn-ea"/>
            <a:cs typeface="+mn-cs"/>
          </a:endParaRPr>
        </a:p>
      </dsp:txBody>
      <dsp:txXfrm>
        <a:off x="12391" y="1071114"/>
        <a:ext cx="2710013" cy="398283"/>
      </dsp:txXfrm>
    </dsp:sp>
    <dsp:sp modelId="{A9DF1471-9013-CC4B-926E-9BDBEA615429}">
      <dsp:nvSpPr>
        <dsp:cNvPr id="0" name=""/>
        <dsp:cNvSpPr/>
      </dsp:nvSpPr>
      <dsp:spPr>
        <a:xfrm rot="5412383">
          <a:off x="1256352" y="1591542"/>
          <a:ext cx="219509" cy="74036"/>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26823B8-BEC5-F84F-9E44-5B3828C516C2}">
      <dsp:nvSpPr>
        <dsp:cNvPr id="0" name=""/>
        <dsp:cNvSpPr/>
      </dsp:nvSpPr>
      <dsp:spPr>
        <a:xfrm>
          <a:off x="4867" y="1775332"/>
          <a:ext cx="2719378" cy="567004"/>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Text" lastClr="000000">
                  <a:hueOff val="0"/>
                  <a:satOff val="0"/>
                  <a:lumOff val="0"/>
                  <a:alphaOff val="0"/>
                </a:sysClr>
              </a:solidFill>
              <a:latin typeface="Calibri"/>
              <a:ea typeface="+mn-ea"/>
              <a:cs typeface="+mn-cs"/>
            </a:rPr>
            <a:t>Consumed a CME diet for presumed CMA (either breastfed or fed with </a:t>
          </a:r>
          <a:r>
            <a:rPr lang="en-US" sz="1100" kern="1200" dirty="0" err="1" smtClean="0">
              <a:solidFill>
                <a:sysClr val="windowText" lastClr="000000">
                  <a:hueOff val="0"/>
                  <a:satOff val="0"/>
                  <a:lumOff val="0"/>
                  <a:alphaOff val="0"/>
                </a:sysClr>
              </a:solidFill>
              <a:latin typeface="Calibri"/>
              <a:ea typeface="+mn-ea"/>
              <a:cs typeface="+mn-cs"/>
            </a:rPr>
            <a:t>specialised</a:t>
          </a:r>
          <a:r>
            <a:rPr lang="en-US" sz="1100" kern="1200" dirty="0" smtClean="0">
              <a:solidFill>
                <a:sysClr val="windowText" lastClr="000000">
                  <a:hueOff val="0"/>
                  <a:satOff val="0"/>
                  <a:lumOff val="0"/>
                  <a:alphaOff val="0"/>
                </a:sysClr>
              </a:solidFill>
              <a:latin typeface="Calibri"/>
              <a:ea typeface="+mn-ea"/>
              <a:cs typeface="+mn-cs"/>
            </a:rPr>
            <a:t> infant formula) during infancy. Currently consuming an unrestricted diet.</a:t>
          </a:r>
          <a:endParaRPr lang="en-US" sz="1100" kern="1200" dirty="0">
            <a:solidFill>
              <a:sysClr val="windowText" lastClr="000000">
                <a:hueOff val="0"/>
                <a:satOff val="0"/>
                <a:lumOff val="0"/>
                <a:alphaOff val="0"/>
              </a:sysClr>
            </a:solidFill>
            <a:latin typeface="Calibri"/>
            <a:ea typeface="+mn-ea"/>
            <a:cs typeface="+mn-cs"/>
          </a:endParaRPr>
        </a:p>
      </dsp:txBody>
      <dsp:txXfrm>
        <a:off x="21474" y="1791939"/>
        <a:ext cx="2686164" cy="533790"/>
      </dsp:txXfrm>
    </dsp:sp>
    <dsp:sp modelId="{15F6B88A-FEC6-CE40-8E90-407B553A8FE5}">
      <dsp:nvSpPr>
        <dsp:cNvPr id="0" name=""/>
        <dsp:cNvSpPr/>
      </dsp:nvSpPr>
      <dsp:spPr>
        <a:xfrm rot="5541170">
          <a:off x="1232032" y="2456859"/>
          <a:ext cx="229299" cy="74036"/>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314C591-6330-454C-80F3-5AC6E732F032}">
      <dsp:nvSpPr>
        <dsp:cNvPr id="0" name=""/>
        <dsp:cNvSpPr/>
      </dsp:nvSpPr>
      <dsp:spPr>
        <a:xfrm>
          <a:off x="0" y="2645417"/>
          <a:ext cx="2662908" cy="438168"/>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Text" lastClr="000000">
                  <a:hueOff val="0"/>
                  <a:satOff val="0"/>
                  <a:lumOff val="0"/>
                  <a:alphaOff val="0"/>
                </a:sysClr>
              </a:solidFill>
              <a:latin typeface="Calibri"/>
              <a:ea typeface="+mn-ea"/>
              <a:cs typeface="+mn-cs"/>
            </a:rPr>
            <a:t>Recruited from FAIR</a:t>
          </a:r>
          <a:r>
            <a:rPr lang="en-US" sz="1100" kern="1200" dirty="0" smtClean="0">
              <a:solidFill>
                <a:schemeClr val="tx1"/>
              </a:solidFill>
              <a:latin typeface="Calibri"/>
              <a:ea typeface="+mn-ea"/>
              <a:cs typeface="+mn-cs"/>
            </a:rPr>
            <a:t>* (n = 18) or PIFA**  (n = 5) birth cohort studies or retrospective NHS clinic records (n = 5)</a:t>
          </a:r>
          <a:endParaRPr lang="en-US" sz="1100" kern="1200" dirty="0">
            <a:solidFill>
              <a:schemeClr val="tx1"/>
            </a:solidFill>
            <a:latin typeface="Calibri"/>
            <a:ea typeface="+mn-ea"/>
            <a:cs typeface="+mn-cs"/>
          </a:endParaRPr>
        </a:p>
      </dsp:txBody>
      <dsp:txXfrm>
        <a:off x="12834" y="2658251"/>
        <a:ext cx="2637240" cy="412500"/>
      </dsp:txXfrm>
    </dsp:sp>
    <dsp:sp modelId="{E6D6CD8E-1969-374D-A21B-EF9969CD13B8}">
      <dsp:nvSpPr>
        <dsp:cNvPr id="0" name=""/>
        <dsp:cNvSpPr/>
      </dsp:nvSpPr>
      <dsp:spPr>
        <a:xfrm rot="5093512">
          <a:off x="1355619" y="3097816"/>
          <a:ext cx="0" cy="74036"/>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A8C9ACE4-F797-C147-B74D-745E8DA57B79}">
      <dsp:nvSpPr>
        <dsp:cNvPr id="0" name=""/>
        <dsp:cNvSpPr/>
      </dsp:nvSpPr>
      <dsp:spPr>
        <a:xfrm>
          <a:off x="108730" y="3112340"/>
          <a:ext cx="2545025" cy="618284"/>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Text" lastClr="000000">
                  <a:hueOff val="0"/>
                  <a:satOff val="0"/>
                  <a:lumOff val="0"/>
                  <a:alphaOff val="0"/>
                </a:sysClr>
              </a:solidFill>
              <a:latin typeface="Calibri"/>
              <a:ea typeface="+mn-ea"/>
              <a:cs typeface="+mn-cs"/>
            </a:rPr>
            <a:t>Completed questionnaire, food diary, taste preference test and </a:t>
          </a:r>
          <a:r>
            <a:rPr lang="en-US" sz="1100" kern="1200" dirty="0" smtClean="0">
              <a:solidFill>
                <a:schemeClr val="tx1"/>
              </a:solidFill>
              <a:latin typeface="Calibri"/>
              <a:ea typeface="+mn-ea"/>
              <a:cs typeface="+mn-cs"/>
            </a:rPr>
            <a:t>had growth measurements taken (n = 28)</a:t>
          </a:r>
          <a:endParaRPr lang="en-US" sz="1100" kern="1200" dirty="0">
            <a:solidFill>
              <a:schemeClr val="tx1"/>
            </a:solidFill>
            <a:latin typeface="Calibri"/>
            <a:ea typeface="+mn-ea"/>
            <a:cs typeface="+mn-cs"/>
          </a:endParaRPr>
        </a:p>
      </dsp:txBody>
      <dsp:txXfrm>
        <a:off x="126839" y="3130449"/>
        <a:ext cx="2508807" cy="582066"/>
      </dsp:txXfrm>
    </dsp:sp>
    <dsp:sp modelId="{FDAA6FFF-316B-C54E-8563-31ED2C5725D3}">
      <dsp:nvSpPr>
        <dsp:cNvPr id="0" name=""/>
        <dsp:cNvSpPr/>
      </dsp:nvSpPr>
      <dsp:spPr>
        <a:xfrm>
          <a:off x="3074062" y="307811"/>
          <a:ext cx="2170781" cy="423065"/>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dirty="0" smtClean="0">
              <a:solidFill>
                <a:sysClr val="window" lastClr="FFFFFF"/>
              </a:solidFill>
              <a:latin typeface="Calibri"/>
              <a:ea typeface="+mn-ea"/>
              <a:cs typeface="+mn-cs"/>
            </a:rPr>
            <a:t>Control group</a:t>
          </a:r>
          <a:endParaRPr lang="en-US" sz="1400" kern="1200" dirty="0">
            <a:solidFill>
              <a:sysClr val="window" lastClr="FFFFFF"/>
            </a:solidFill>
            <a:latin typeface="Calibri"/>
            <a:ea typeface="+mn-ea"/>
            <a:cs typeface="+mn-cs"/>
          </a:endParaRPr>
        </a:p>
      </dsp:txBody>
      <dsp:txXfrm>
        <a:off x="3086453" y="320202"/>
        <a:ext cx="2145999" cy="398283"/>
      </dsp:txXfrm>
    </dsp:sp>
    <dsp:sp modelId="{84BEF5A1-61DF-E246-836D-493B624D5D9F}">
      <dsp:nvSpPr>
        <dsp:cNvPr id="0" name=""/>
        <dsp:cNvSpPr/>
      </dsp:nvSpPr>
      <dsp:spPr>
        <a:xfrm rot="5212850">
          <a:off x="4096517" y="860722"/>
          <a:ext cx="167111" cy="74036"/>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2B285E8-163B-E649-AA84-889F5E233980}">
      <dsp:nvSpPr>
        <dsp:cNvPr id="0" name=""/>
        <dsp:cNvSpPr/>
      </dsp:nvSpPr>
      <dsp:spPr>
        <a:xfrm>
          <a:off x="3030419" y="1064604"/>
          <a:ext cx="2340549" cy="423065"/>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Text" lastClr="000000">
                  <a:hueOff val="0"/>
                  <a:satOff val="0"/>
                  <a:lumOff val="0"/>
                  <a:alphaOff val="0"/>
                </a:sysClr>
              </a:solidFill>
              <a:latin typeface="Calibri"/>
              <a:ea typeface="+mn-ea"/>
              <a:cs typeface="+mn-cs"/>
            </a:rPr>
            <a:t>Children aged between 7-13 years </a:t>
          </a:r>
          <a:endParaRPr lang="en-US" sz="1100" kern="1200" dirty="0">
            <a:solidFill>
              <a:sysClr val="windowText" lastClr="000000">
                <a:hueOff val="0"/>
                <a:satOff val="0"/>
                <a:lumOff val="0"/>
                <a:alphaOff val="0"/>
              </a:sysClr>
            </a:solidFill>
            <a:latin typeface="Calibri"/>
            <a:ea typeface="+mn-ea"/>
            <a:cs typeface="+mn-cs"/>
          </a:endParaRPr>
        </a:p>
      </dsp:txBody>
      <dsp:txXfrm>
        <a:off x="3042810" y="1076995"/>
        <a:ext cx="2315767" cy="398283"/>
      </dsp:txXfrm>
    </dsp:sp>
    <dsp:sp modelId="{C38165F6-1136-2645-86C2-1AFF98718F4A}">
      <dsp:nvSpPr>
        <dsp:cNvPr id="0" name=""/>
        <dsp:cNvSpPr/>
      </dsp:nvSpPr>
      <dsp:spPr>
        <a:xfrm rot="5566817">
          <a:off x="4076453" y="1594483"/>
          <a:ext cx="213965" cy="74036"/>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C1289A2-00CA-3C4E-9BAF-17A294E0F6FD}">
      <dsp:nvSpPr>
        <dsp:cNvPr id="0" name=""/>
        <dsp:cNvSpPr/>
      </dsp:nvSpPr>
      <dsp:spPr>
        <a:xfrm>
          <a:off x="2954038" y="1775332"/>
          <a:ext cx="2418545" cy="541130"/>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Text" lastClr="000000">
                  <a:hueOff val="0"/>
                  <a:satOff val="0"/>
                  <a:lumOff val="0"/>
                  <a:alphaOff val="0"/>
                </a:sysClr>
              </a:solidFill>
              <a:latin typeface="Calibri"/>
              <a:ea typeface="+mn-ea"/>
              <a:cs typeface="+mn-cs"/>
            </a:rPr>
            <a:t>Consumed an unrestricted diet during infancy (either breastfed or fed with standard formula). Currently consuming an unrestricted diet.</a:t>
          </a:r>
          <a:endParaRPr lang="en-US" sz="1100" kern="1200" dirty="0">
            <a:solidFill>
              <a:sysClr val="windowText" lastClr="000000">
                <a:hueOff val="0"/>
                <a:satOff val="0"/>
                <a:lumOff val="0"/>
                <a:alphaOff val="0"/>
              </a:sysClr>
            </a:solidFill>
            <a:latin typeface="Calibri"/>
            <a:ea typeface="+mn-ea"/>
            <a:cs typeface="+mn-cs"/>
          </a:endParaRPr>
        </a:p>
      </dsp:txBody>
      <dsp:txXfrm>
        <a:off x="2969887" y="1791181"/>
        <a:ext cx="2386847" cy="509432"/>
      </dsp:txXfrm>
    </dsp:sp>
    <dsp:sp modelId="{714EFDF8-8F37-3B4C-BA51-43335F4395FA}">
      <dsp:nvSpPr>
        <dsp:cNvPr id="0" name=""/>
        <dsp:cNvSpPr/>
      </dsp:nvSpPr>
      <dsp:spPr>
        <a:xfrm rot="5226719">
          <a:off x="4064262" y="2436905"/>
          <a:ext cx="241285" cy="74036"/>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1D2A6A3E-C1EA-4041-A61F-D07C84E5AA0C}">
      <dsp:nvSpPr>
        <dsp:cNvPr id="0" name=""/>
        <dsp:cNvSpPr/>
      </dsp:nvSpPr>
      <dsp:spPr>
        <a:xfrm>
          <a:off x="2951771" y="2631384"/>
          <a:ext cx="2503497" cy="423065"/>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Text" lastClr="000000">
                  <a:hueOff val="0"/>
                  <a:satOff val="0"/>
                  <a:lumOff val="0"/>
                  <a:alphaOff val="0"/>
                </a:sysClr>
              </a:solidFill>
              <a:latin typeface="Calibri"/>
              <a:ea typeface="+mn-ea"/>
              <a:cs typeface="+mn-cs"/>
            </a:rPr>
            <a:t>Recruited </a:t>
          </a:r>
          <a:r>
            <a:rPr lang="en-US" sz="1100" kern="1200" dirty="0" smtClean="0">
              <a:solidFill>
                <a:schemeClr val="tx1"/>
              </a:solidFill>
              <a:latin typeface="Calibri"/>
              <a:ea typeface="+mn-ea"/>
              <a:cs typeface="+mn-cs"/>
            </a:rPr>
            <a:t>from the FAIR* (n = 59) or PIFA** (n = 14) birth </a:t>
          </a:r>
          <a:r>
            <a:rPr lang="en-US" sz="1100" kern="1200" dirty="0" smtClean="0">
              <a:solidFill>
                <a:sysClr val="windowText" lastClr="000000">
                  <a:hueOff val="0"/>
                  <a:satOff val="0"/>
                  <a:lumOff val="0"/>
                  <a:alphaOff val="0"/>
                </a:sysClr>
              </a:solidFill>
              <a:latin typeface="Calibri"/>
              <a:ea typeface="+mn-ea"/>
              <a:cs typeface="+mn-cs"/>
            </a:rPr>
            <a:t>cohort studies</a:t>
          </a:r>
          <a:endParaRPr lang="en-US" sz="1100" kern="1200" dirty="0">
            <a:solidFill>
              <a:sysClr val="windowText" lastClr="000000">
                <a:hueOff val="0"/>
                <a:satOff val="0"/>
                <a:lumOff val="0"/>
                <a:alphaOff val="0"/>
              </a:sysClr>
            </a:solidFill>
            <a:latin typeface="Calibri"/>
            <a:ea typeface="+mn-ea"/>
            <a:cs typeface="+mn-cs"/>
          </a:endParaRPr>
        </a:p>
      </dsp:txBody>
      <dsp:txXfrm>
        <a:off x="2964162" y="2643775"/>
        <a:ext cx="2478715" cy="398283"/>
      </dsp:txXfrm>
    </dsp:sp>
    <dsp:sp modelId="{1502E888-8E90-3242-83E0-5B24F423C38C}">
      <dsp:nvSpPr>
        <dsp:cNvPr id="0" name=""/>
        <dsp:cNvSpPr/>
      </dsp:nvSpPr>
      <dsp:spPr>
        <a:xfrm rot="5367122">
          <a:off x="4205786" y="3042861"/>
          <a:ext cx="0" cy="74036"/>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CE1BF40-24EC-6C41-91CE-8B8D29F2F028}">
      <dsp:nvSpPr>
        <dsp:cNvPr id="0" name=""/>
        <dsp:cNvSpPr/>
      </dsp:nvSpPr>
      <dsp:spPr>
        <a:xfrm>
          <a:off x="2951779" y="3105309"/>
          <a:ext cx="2514479" cy="625315"/>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Text" lastClr="000000">
                  <a:hueOff val="0"/>
                  <a:satOff val="0"/>
                  <a:lumOff val="0"/>
                  <a:alphaOff val="0"/>
                </a:sysClr>
              </a:solidFill>
              <a:latin typeface="Calibri"/>
              <a:ea typeface="+mn-ea"/>
              <a:cs typeface="+mn-cs"/>
            </a:rPr>
            <a:t>Completed questionnaire, food, diary, taste preference test and had growth measurements </a:t>
          </a:r>
          <a:r>
            <a:rPr lang="en-US" sz="1100" kern="1200" dirty="0" smtClean="0">
              <a:solidFill>
                <a:schemeClr val="tx1"/>
              </a:solidFill>
              <a:latin typeface="Calibri"/>
              <a:ea typeface="+mn-ea"/>
              <a:cs typeface="+mn-cs"/>
            </a:rPr>
            <a:t>taken (n = 73)</a:t>
          </a:r>
          <a:endParaRPr lang="en-US" sz="1100" kern="1200" dirty="0">
            <a:solidFill>
              <a:schemeClr val="tx1"/>
            </a:solidFill>
            <a:latin typeface="Calibri"/>
            <a:ea typeface="+mn-ea"/>
            <a:cs typeface="+mn-cs"/>
          </a:endParaRPr>
        </a:p>
      </dsp:txBody>
      <dsp:txXfrm>
        <a:off x="2970094" y="3123624"/>
        <a:ext cx="2477849" cy="58868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D70E-2FD9-4965-89B8-E0734AF1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46219</Words>
  <Characters>263452</Characters>
  <Application>Microsoft Office Word</Application>
  <DocSecurity>4</DocSecurity>
  <Lines>2195</Lines>
  <Paragraphs>618</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309053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Maslin</dc:creator>
  <cp:lastModifiedBy>Whalley T.</cp:lastModifiedBy>
  <cp:revision>2</cp:revision>
  <cp:lastPrinted>2016-02-17T11:10:00Z</cp:lastPrinted>
  <dcterms:created xsi:type="dcterms:W3CDTF">2016-07-07T12:59:00Z</dcterms:created>
  <dcterms:modified xsi:type="dcterms:W3CDTF">2016-07-07T12:59:00Z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kate.maslin@port.ac.uk@www.mendeley.com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http://www.zotero.org/styles/vancouver-brackets-only-year-no-issue</vt:lpwstr>
  </property>
  <property fmtid="{D5CDD505-2E9C-101B-9397-08002B2CF9AE}" pid="24" name="Mendeley Recent Style Name 9_1">
    <vt:lpwstr>Vancouver (brackets, only year in date, no issue numbers)</vt:lpwstr>
  </property>
</Properties>
</file>